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43" w:rsidRPr="00035743" w:rsidRDefault="00035743" w:rsidP="00035743">
      <w:pPr>
        <w:widowControl/>
        <w:shd w:val="clear" w:color="auto" w:fill="FFFFFF"/>
        <w:spacing w:line="330" w:lineRule="atLeast"/>
        <w:jc w:val="center"/>
        <w:rPr>
          <w:rFonts w:ascii="宋体" w:eastAsia="宋体" w:hAnsi="宋体" w:cs="宋体" w:hint="eastAsia"/>
          <w:color w:val="FFFFFF"/>
          <w:kern w:val="0"/>
          <w:sz w:val="22"/>
          <w:szCs w:val="18"/>
        </w:rPr>
      </w:pPr>
      <w:r w:rsidRPr="00035743">
        <w:rPr>
          <w:rFonts w:ascii="宋体" w:eastAsia="宋体" w:hAnsi="宋体" w:cs="宋体" w:hint="eastAsia"/>
          <w:color w:val="444444"/>
          <w:kern w:val="0"/>
          <w:sz w:val="36"/>
          <w:szCs w:val="18"/>
        </w:rPr>
        <w:t>在线多参数水质监测系统</w:t>
      </w:r>
    </w:p>
    <w:p w:rsidR="00035743" w:rsidRDefault="00035743" w:rsidP="00035743">
      <w:pPr>
        <w:widowControl/>
        <w:shd w:val="clear" w:color="auto" w:fill="FFFFFF"/>
        <w:spacing w:line="330" w:lineRule="atLeast"/>
        <w:jc w:val="center"/>
        <w:rPr>
          <w:rFonts w:ascii="宋体" w:eastAsia="宋体" w:hAnsi="宋体" w:cs="宋体" w:hint="eastAsia"/>
          <w:color w:val="444444"/>
          <w:kern w:val="0"/>
          <w:sz w:val="18"/>
          <w:szCs w:val="18"/>
        </w:rPr>
      </w:pPr>
      <w:r>
        <w:rPr>
          <w:rFonts w:ascii="宋体" w:eastAsia="宋体" w:hAnsi="宋体" w:cs="宋体" w:hint="eastAsia"/>
          <w:noProof/>
          <w:color w:val="444444"/>
          <w:kern w:val="0"/>
          <w:sz w:val="18"/>
          <w:szCs w:val="18"/>
        </w:rPr>
        <w:drawing>
          <wp:inline distT="0" distB="0" distL="0" distR="0">
            <wp:extent cx="1933575" cy="1570362"/>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33575" cy="1570362"/>
                    </a:xfrm>
                    <a:prstGeom prst="rect">
                      <a:avLst/>
                    </a:prstGeom>
                    <a:noFill/>
                    <a:ln w="9525">
                      <a:noFill/>
                      <a:miter lim="800000"/>
                      <a:headEnd/>
                      <a:tailEnd/>
                    </a:ln>
                  </pic:spPr>
                </pic:pic>
              </a:graphicData>
            </a:graphic>
          </wp:inline>
        </w:drawing>
      </w:r>
    </w:p>
    <w:p w:rsidR="00035743" w:rsidRDefault="00035743" w:rsidP="00035743">
      <w:pPr>
        <w:widowControl/>
        <w:shd w:val="clear" w:color="auto" w:fill="FFFFFF"/>
        <w:spacing w:line="276" w:lineRule="auto"/>
        <w:jc w:val="left"/>
        <w:rPr>
          <w:rFonts w:ascii="宋体" w:eastAsia="宋体" w:hAnsi="宋体" w:cs="宋体" w:hint="eastAsia"/>
          <w:color w:val="444444"/>
          <w:kern w:val="0"/>
          <w:sz w:val="22"/>
          <w:szCs w:val="18"/>
        </w:rPr>
      </w:pPr>
      <w:r w:rsidRPr="00035743">
        <w:rPr>
          <w:rFonts w:ascii="宋体" w:eastAsia="宋体" w:hAnsi="宋体" w:cs="宋体" w:hint="eastAsia"/>
          <w:color w:val="444444"/>
          <w:kern w:val="0"/>
          <w:sz w:val="22"/>
          <w:szCs w:val="18"/>
        </w:rPr>
        <w:br/>
      </w:r>
      <w:r w:rsidRPr="00035743">
        <w:rPr>
          <w:rFonts w:ascii="宋体" w:eastAsia="宋体" w:hAnsi="宋体" w:cs="宋体" w:hint="eastAsia"/>
          <w:color w:val="444444"/>
          <w:kern w:val="0"/>
          <w:sz w:val="22"/>
          <w:szCs w:val="18"/>
        </w:rPr>
        <w:t> AP-7000是Aquaread公司生产的用于水质长期监测的探头，系统包含抗生物污染组件和自清扫系统，能够现场长期监测，无需定期清洁和维护。 </w:t>
      </w:r>
      <w:r w:rsidRPr="00035743">
        <w:rPr>
          <w:rFonts w:ascii="宋体" w:eastAsia="宋体" w:hAnsi="宋体" w:cs="宋体" w:hint="eastAsia"/>
          <w:color w:val="444444"/>
          <w:kern w:val="0"/>
          <w:sz w:val="22"/>
          <w:szCs w:val="18"/>
        </w:rPr>
        <w:br/>
        <w:t> </w:t>
      </w:r>
      <w:r w:rsidRPr="00035743">
        <w:rPr>
          <w:rFonts w:ascii="宋体" w:eastAsia="宋体" w:hAnsi="宋体" w:cs="宋体" w:hint="eastAsia"/>
          <w:color w:val="444444"/>
          <w:kern w:val="0"/>
          <w:sz w:val="22"/>
          <w:szCs w:val="18"/>
        </w:rPr>
        <w:br/>
        <w:t> AP-7000系统标准配置为光学溶解氧、pH、ORP、EC、深度和温度基本参数测量，同时有六个接口可用于连接任意六个ISE和光学传感器。 </w:t>
      </w:r>
      <w:r w:rsidRPr="00035743">
        <w:rPr>
          <w:rFonts w:ascii="宋体" w:eastAsia="宋体" w:hAnsi="宋体" w:cs="宋体" w:hint="eastAsia"/>
          <w:color w:val="444444"/>
          <w:kern w:val="0"/>
          <w:sz w:val="22"/>
          <w:szCs w:val="18"/>
        </w:rPr>
        <w:br/>
      </w:r>
      <w:r w:rsidRPr="00035743">
        <w:rPr>
          <w:rFonts w:ascii="宋体" w:eastAsia="宋体" w:hAnsi="宋体" w:cs="宋体" w:hint="eastAsia"/>
          <w:color w:val="444444"/>
          <w:kern w:val="0"/>
          <w:sz w:val="22"/>
          <w:szCs w:val="18"/>
        </w:rPr>
        <w:br/>
        <w:t> 系统可通过Aquaread GPS Aquameter现场读取数据，可以通过Aquaread Logger保存数据，并可以通过Aquaread Telemetric System进行远程传输.</w:t>
      </w:r>
      <w:r w:rsidRPr="00035743">
        <w:rPr>
          <w:rFonts w:ascii="宋体" w:eastAsia="宋体" w:hAnsi="宋体" w:cs="宋体" w:hint="eastAsia"/>
          <w:color w:val="444444"/>
          <w:kern w:val="0"/>
          <w:sz w:val="22"/>
          <w:szCs w:val="18"/>
        </w:rPr>
        <w:br/>
      </w:r>
      <w:r w:rsidRPr="00035743">
        <w:rPr>
          <w:rFonts w:ascii="宋体" w:eastAsia="宋体" w:hAnsi="宋体" w:cs="宋体" w:hint="eastAsia"/>
          <w:color w:val="444444"/>
          <w:kern w:val="0"/>
          <w:sz w:val="22"/>
          <w:szCs w:val="18"/>
        </w:rPr>
        <w:br/>
        <w:t> AP-7000探头有两种型号可选，一种为AP-7000,另一种为AP-7000-SDI。 AP-7000-SDI系统提供SDI和Modbus (RS-485)输出，方便进行系统集成。 </w:t>
      </w:r>
      <w:r w:rsidRPr="00035743">
        <w:rPr>
          <w:rFonts w:ascii="宋体" w:eastAsia="宋体" w:hAnsi="宋体" w:cs="宋体" w:hint="eastAsia"/>
          <w:color w:val="444444"/>
          <w:kern w:val="0"/>
          <w:sz w:val="22"/>
          <w:szCs w:val="18"/>
        </w:rPr>
        <w:br/>
      </w:r>
      <w:r w:rsidRPr="00035743">
        <w:rPr>
          <w:rFonts w:ascii="宋体" w:eastAsia="宋体" w:hAnsi="宋体" w:cs="宋体" w:hint="eastAsia"/>
          <w:color w:val="444444"/>
          <w:kern w:val="0"/>
          <w:sz w:val="22"/>
          <w:szCs w:val="18"/>
        </w:rPr>
        <w:br/>
        <w:t>英国AQUARead公司由一群曾经为高速军用飞机设计移动地图卫星导航系统的技术工程师研发而成，产品在野外测量实践中非常稳定，已广泛用于水环境监测、水文、水利、水务等领域。其产品特色如下： </w:t>
      </w:r>
      <w:r w:rsidRPr="00035743">
        <w:rPr>
          <w:rFonts w:ascii="宋体" w:eastAsia="宋体" w:hAnsi="宋体" w:cs="宋体" w:hint="eastAsia"/>
          <w:color w:val="444444"/>
          <w:kern w:val="0"/>
          <w:sz w:val="22"/>
          <w:szCs w:val="18"/>
        </w:rPr>
        <w:br/>
        <w:t>  </w:t>
      </w:r>
      <w:r w:rsidRPr="00035743">
        <w:rPr>
          <w:rFonts w:ascii="宋体" w:eastAsia="宋体" w:hAnsi="宋体" w:cs="宋体" w:hint="eastAsia"/>
          <w:color w:val="444444"/>
          <w:kern w:val="0"/>
          <w:sz w:val="22"/>
          <w:szCs w:val="18"/>
        </w:rPr>
        <w:br/>
      </w:r>
      <w:r w:rsidRPr="00035743">
        <w:rPr>
          <w:rFonts w:ascii="宋体" w:eastAsia="宋体" w:hAnsi="宋体" w:cs="宋体" w:hint="eastAsia"/>
          <w:b/>
          <w:color w:val="444444"/>
          <w:kern w:val="0"/>
          <w:sz w:val="22"/>
          <w:szCs w:val="18"/>
        </w:rPr>
        <w:t>仪器特点:</w:t>
      </w:r>
    </w:p>
    <w:p w:rsidR="00035743" w:rsidRDefault="00035743" w:rsidP="00DB1FD3">
      <w:pPr>
        <w:widowControl/>
        <w:shd w:val="clear" w:color="auto" w:fill="FFFFFF"/>
        <w:spacing w:line="360" w:lineRule="auto"/>
        <w:jc w:val="left"/>
        <w:rPr>
          <w:rFonts w:ascii="宋体" w:eastAsia="宋体" w:hAnsi="宋体" w:cs="宋体" w:hint="eastAsia"/>
          <w:color w:val="444444"/>
          <w:kern w:val="0"/>
          <w:sz w:val="22"/>
          <w:szCs w:val="18"/>
        </w:rPr>
      </w:pPr>
      <w:r w:rsidRPr="00035743">
        <w:rPr>
          <w:rFonts w:ascii="宋体" w:eastAsia="宋体" w:hAnsi="宋体" w:cs="宋体" w:hint="eastAsia"/>
          <w:color w:val="444444"/>
          <w:kern w:val="0"/>
          <w:sz w:val="22"/>
          <w:szCs w:val="18"/>
        </w:rPr>
        <w:t>防污组件和外壳以及独特的双面刷自动清洗确保了仪器能够长期在野外环境使用,无需定期清洗和维护.</w:t>
      </w:r>
    </w:p>
    <w:p w:rsidR="00035743" w:rsidRDefault="00035743" w:rsidP="00DB1FD3">
      <w:pPr>
        <w:widowControl/>
        <w:shd w:val="clear" w:color="auto" w:fill="FFFFFF"/>
        <w:spacing w:line="360" w:lineRule="auto"/>
        <w:jc w:val="left"/>
        <w:rPr>
          <w:rFonts w:ascii="宋体" w:eastAsia="宋体" w:hAnsi="宋体" w:cs="宋体" w:hint="eastAsia"/>
          <w:color w:val="444444"/>
          <w:kern w:val="0"/>
          <w:sz w:val="22"/>
          <w:szCs w:val="18"/>
        </w:rPr>
      </w:pPr>
      <w:r w:rsidRPr="00035743">
        <w:rPr>
          <w:rFonts w:ascii="宋体" w:eastAsia="宋体" w:hAnsi="宋体" w:cs="宋体" w:hint="eastAsia"/>
          <w:color w:val="444444"/>
          <w:kern w:val="0"/>
          <w:sz w:val="22"/>
          <w:szCs w:val="18"/>
        </w:rPr>
        <w:t>模块化设计： 探头+数据模块自由组合，探头里面电极可自由组合</w:t>
      </w:r>
    </w:p>
    <w:p w:rsidR="00035743" w:rsidRDefault="00035743" w:rsidP="00DB1FD3">
      <w:pPr>
        <w:widowControl/>
        <w:shd w:val="clear" w:color="auto" w:fill="FFFFFF"/>
        <w:spacing w:line="360" w:lineRule="auto"/>
        <w:jc w:val="left"/>
        <w:rPr>
          <w:rFonts w:ascii="宋体" w:eastAsia="宋体" w:hAnsi="宋体" w:cs="宋体" w:hint="eastAsia"/>
          <w:color w:val="444444"/>
          <w:kern w:val="0"/>
          <w:sz w:val="22"/>
          <w:szCs w:val="18"/>
        </w:rPr>
      </w:pPr>
      <w:r w:rsidRPr="00035743">
        <w:rPr>
          <w:rFonts w:ascii="宋体" w:eastAsia="宋体" w:hAnsi="宋体" w:cs="宋体" w:hint="eastAsia"/>
          <w:color w:val="444444"/>
          <w:kern w:val="0"/>
          <w:sz w:val="22"/>
          <w:szCs w:val="18"/>
        </w:rPr>
        <w:t>抗生物污染组件：纳米材料包被，抗生物污染 </w:t>
      </w:r>
      <w:r w:rsidRPr="00035743">
        <w:rPr>
          <w:rFonts w:ascii="宋体" w:eastAsia="宋体" w:hAnsi="宋体" w:cs="宋体" w:hint="eastAsia"/>
          <w:color w:val="444444"/>
          <w:kern w:val="0"/>
          <w:sz w:val="22"/>
          <w:szCs w:val="18"/>
        </w:rPr>
        <w:br/>
        <w:t>GPS地理位置信息：采集数据保护地理位置信息，无需手动记录 </w:t>
      </w:r>
    </w:p>
    <w:p w:rsidR="00035743" w:rsidRDefault="00035743" w:rsidP="00DB1FD3">
      <w:pPr>
        <w:widowControl/>
        <w:shd w:val="clear" w:color="auto" w:fill="FFFFFF"/>
        <w:spacing w:line="360" w:lineRule="auto"/>
        <w:jc w:val="left"/>
        <w:rPr>
          <w:rFonts w:ascii="宋体" w:eastAsia="宋体" w:hAnsi="宋体" w:cs="宋体" w:hint="eastAsia"/>
          <w:color w:val="444444"/>
          <w:kern w:val="0"/>
          <w:sz w:val="22"/>
          <w:szCs w:val="18"/>
        </w:rPr>
      </w:pPr>
      <w:r w:rsidRPr="00035743">
        <w:rPr>
          <w:rFonts w:ascii="宋体" w:eastAsia="宋体" w:hAnsi="宋体" w:cs="宋体" w:hint="eastAsia"/>
          <w:color w:val="444444"/>
          <w:kern w:val="0"/>
          <w:sz w:val="22"/>
          <w:szCs w:val="18"/>
        </w:rPr>
        <w:t> 可选RS485和SDI输出： 方便系统集成 </w:t>
      </w:r>
    </w:p>
    <w:p w:rsidR="00035743" w:rsidRPr="00035743" w:rsidRDefault="00035743" w:rsidP="00DB1FD3">
      <w:pPr>
        <w:widowControl/>
        <w:shd w:val="clear" w:color="auto" w:fill="FFFFFF"/>
        <w:spacing w:line="360" w:lineRule="auto"/>
        <w:jc w:val="left"/>
        <w:rPr>
          <w:rFonts w:ascii="宋体" w:eastAsia="宋体" w:hAnsi="宋体" w:cs="宋体"/>
          <w:color w:val="444444"/>
          <w:kern w:val="0"/>
          <w:sz w:val="18"/>
          <w:szCs w:val="18"/>
        </w:rPr>
      </w:pPr>
      <w:r w:rsidRPr="00035743">
        <w:rPr>
          <w:rFonts w:ascii="宋体" w:eastAsia="宋体" w:hAnsi="宋体" w:cs="宋体" w:hint="eastAsia"/>
          <w:color w:val="444444"/>
          <w:kern w:val="0"/>
          <w:sz w:val="22"/>
          <w:szCs w:val="18"/>
        </w:rPr>
        <w:t>可选远程传输：通过GPRS等远程传输</w:t>
      </w:r>
      <w:r w:rsidRPr="00035743">
        <w:rPr>
          <w:rFonts w:ascii="宋体" w:eastAsia="宋体" w:hAnsi="宋体" w:cs="宋体" w:hint="eastAsia"/>
          <w:color w:val="444444"/>
          <w:kern w:val="0"/>
          <w:sz w:val="22"/>
          <w:szCs w:val="18"/>
        </w:rPr>
        <w:br/>
      </w:r>
    </w:p>
    <w:p w:rsidR="00035743" w:rsidRPr="00DB1FD3" w:rsidRDefault="00035743" w:rsidP="00035743">
      <w:pPr>
        <w:widowControl/>
        <w:shd w:val="clear" w:color="auto" w:fill="FFFFFF"/>
        <w:spacing w:line="330" w:lineRule="atLeast"/>
        <w:jc w:val="left"/>
        <w:rPr>
          <w:rFonts w:ascii="宋体" w:eastAsia="宋体" w:hAnsi="宋体" w:cs="宋体" w:hint="eastAsia"/>
          <w:color w:val="444444"/>
          <w:kern w:val="0"/>
          <w:sz w:val="24"/>
          <w:szCs w:val="18"/>
        </w:rPr>
      </w:pPr>
      <w:r w:rsidRPr="00035743">
        <w:rPr>
          <w:rFonts w:ascii="宋体" w:eastAsia="宋体" w:hAnsi="宋体" w:cs="宋体" w:hint="eastAsia"/>
          <w:color w:val="444444"/>
          <w:kern w:val="0"/>
          <w:szCs w:val="18"/>
        </w:rPr>
        <w:lastRenderedPageBreak/>
        <w:t>可选ISE和光学传感器： </w:t>
      </w:r>
      <w:r w:rsidRPr="00035743">
        <w:rPr>
          <w:rFonts w:ascii="宋体" w:eastAsia="宋体" w:hAnsi="宋体" w:cs="宋体" w:hint="eastAsia"/>
          <w:color w:val="444444"/>
          <w:kern w:val="0"/>
          <w:szCs w:val="18"/>
        </w:rPr>
        <w:br/>
        <w:t>ISE 电极: 铵/氨, 氯, 氟化物, 硝酸盐, 钙. </w:t>
      </w:r>
      <w:r w:rsidRPr="00035743">
        <w:rPr>
          <w:rFonts w:ascii="宋体" w:eastAsia="宋体" w:hAnsi="宋体" w:cs="宋体" w:hint="eastAsia"/>
          <w:color w:val="444444"/>
          <w:kern w:val="0"/>
          <w:szCs w:val="18"/>
        </w:rPr>
        <w:br/>
        <w:t>光学电极: 浊度，叶绿素，淡水蓝绿藻类，海洋蓝绿藻类，若丹明WT染料，荧光染料，成品油。 </w:t>
      </w:r>
      <w:r w:rsidRPr="00035743">
        <w:rPr>
          <w:rFonts w:ascii="宋体" w:eastAsia="宋体" w:hAnsi="宋体" w:cs="宋体" w:hint="eastAsia"/>
          <w:color w:val="444444"/>
          <w:kern w:val="0"/>
          <w:szCs w:val="18"/>
        </w:rPr>
        <w:br/>
      </w:r>
      <w:r w:rsidRPr="00035743">
        <w:rPr>
          <w:rFonts w:ascii="宋体" w:eastAsia="宋体" w:hAnsi="宋体" w:cs="宋体" w:hint="eastAsia"/>
          <w:color w:val="444444"/>
          <w:kern w:val="0"/>
          <w:szCs w:val="18"/>
        </w:rPr>
        <w:br/>
      </w:r>
      <w:r w:rsidRPr="00035743">
        <w:rPr>
          <w:rFonts w:ascii="宋体" w:eastAsia="宋体" w:hAnsi="宋体" w:cs="宋体" w:hint="eastAsia"/>
          <w:color w:val="444444"/>
          <w:kern w:val="0"/>
          <w:sz w:val="24"/>
          <w:szCs w:val="18"/>
        </w:rPr>
        <w:t>可选ISE 电极</w:t>
      </w:r>
    </w:p>
    <w:tbl>
      <w:tblPr>
        <w:tblW w:w="90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75"/>
        <w:gridCol w:w="2694"/>
        <w:gridCol w:w="2659"/>
        <w:gridCol w:w="850"/>
      </w:tblGrid>
      <w:tr w:rsidR="00035743" w:rsidRPr="00035743" w:rsidTr="00DB1FD3">
        <w:trPr>
          <w:trHeight w:val="579"/>
          <w:tblCellSpacing w:w="15" w:type="dxa"/>
        </w:trPr>
        <w:tc>
          <w:tcPr>
            <w:tcW w:w="2830"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参数</w:t>
            </w:r>
          </w:p>
        </w:tc>
        <w:tc>
          <w:tcPr>
            <w:tcW w:w="2664"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范围</w:t>
            </w:r>
          </w:p>
        </w:tc>
        <w:tc>
          <w:tcPr>
            <w:tcW w:w="2629"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分辨率</w:t>
            </w:r>
          </w:p>
        </w:tc>
        <w:tc>
          <w:tcPr>
            <w:tcW w:w="805"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准确率</w:t>
            </w:r>
          </w:p>
        </w:tc>
      </w:tr>
      <w:tr w:rsidR="00035743" w:rsidRPr="00035743" w:rsidTr="00DB1FD3">
        <w:trPr>
          <w:trHeight w:val="694"/>
          <w:tblCellSpacing w:w="15" w:type="dxa"/>
        </w:trPr>
        <w:tc>
          <w:tcPr>
            <w:tcW w:w="2830"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氨氮 †</w:t>
            </w:r>
          </w:p>
        </w:tc>
        <w:tc>
          <w:tcPr>
            <w:tcW w:w="2664" w:type="dxa"/>
            <w:vMerge w:val="restart"/>
            <w:vAlign w:val="center"/>
            <w:hideMark/>
          </w:tcPr>
          <w:p w:rsidR="00035743" w:rsidRPr="00035743" w:rsidRDefault="00035743" w:rsidP="00035743">
            <w:pPr>
              <w:widowControl/>
              <w:jc w:val="left"/>
              <w:rPr>
                <w:rFonts w:ascii="宋体" w:eastAsia="宋体" w:hAnsi="宋体" w:cs="宋体"/>
                <w:kern w:val="0"/>
                <w:sz w:val="24"/>
                <w:szCs w:val="24"/>
              </w:rPr>
            </w:pPr>
            <w:r w:rsidRPr="00035743">
              <w:rPr>
                <w:rFonts w:ascii="宋体" w:eastAsia="宋体" w:hAnsi="宋体" w:cs="宋体"/>
                <w:kern w:val="0"/>
                <w:sz w:val="24"/>
                <w:szCs w:val="24"/>
              </w:rPr>
              <w:t>0 – 1,000mg/L (ppm)</w:t>
            </w:r>
            <w:r w:rsidRPr="00035743">
              <w:rPr>
                <w:rFonts w:ascii="宋体" w:eastAsia="宋体" w:hAnsi="宋体" w:cs="宋体"/>
                <w:kern w:val="0"/>
                <w:sz w:val="24"/>
                <w:szCs w:val="24"/>
              </w:rPr>
              <w:br/>
              <w:t> </w:t>
            </w:r>
          </w:p>
        </w:tc>
        <w:tc>
          <w:tcPr>
            <w:tcW w:w="2629" w:type="dxa"/>
            <w:vMerge w:val="restart"/>
            <w:vAlign w:val="center"/>
            <w:hideMark/>
          </w:tcPr>
          <w:p w:rsidR="00DB1FD3" w:rsidRDefault="00DB1FD3" w:rsidP="00DB1FD3">
            <w:pPr>
              <w:widowControl/>
              <w:ind w:leftChars="57" w:left="240" w:hangingChars="50" w:hanging="120"/>
              <w:jc w:val="left"/>
              <w:rPr>
                <w:rFonts w:ascii="宋体" w:eastAsia="宋体" w:hAnsi="宋体" w:cs="宋体" w:hint="eastAsia"/>
                <w:kern w:val="0"/>
                <w:sz w:val="24"/>
                <w:szCs w:val="24"/>
              </w:rPr>
            </w:pPr>
            <w:r>
              <w:rPr>
                <w:rFonts w:ascii="宋体" w:eastAsia="宋体" w:hAnsi="宋体" w:cs="宋体"/>
                <w:kern w:val="0"/>
                <w:sz w:val="24"/>
                <w:szCs w:val="24"/>
              </w:rPr>
              <w:t>两个自动确定的量</w:t>
            </w:r>
            <w:r w:rsidR="00035743" w:rsidRPr="00035743">
              <w:rPr>
                <w:rFonts w:ascii="宋体" w:eastAsia="宋体" w:hAnsi="宋体" w:cs="宋体"/>
                <w:kern w:val="0"/>
                <w:sz w:val="24"/>
                <w:szCs w:val="24"/>
              </w:rPr>
              <w:t>0.00 - 99.99 mg/L, </w:t>
            </w:r>
            <w:r>
              <w:rPr>
                <w:rFonts w:ascii="宋体" w:eastAsia="宋体" w:hAnsi="宋体" w:cs="宋体" w:hint="eastAsia"/>
                <w:kern w:val="0"/>
                <w:sz w:val="24"/>
                <w:szCs w:val="24"/>
              </w:rPr>
              <w:t xml:space="preserve">    </w:t>
            </w:r>
          </w:p>
          <w:p w:rsidR="00035743" w:rsidRPr="00035743" w:rsidRDefault="00DB1FD3" w:rsidP="00DB1FD3">
            <w:pPr>
              <w:widowControl/>
              <w:ind w:firstLineChars="100" w:firstLine="240"/>
              <w:jc w:val="left"/>
              <w:rPr>
                <w:rFonts w:ascii="宋体" w:eastAsia="宋体" w:hAnsi="宋体" w:cs="宋体"/>
                <w:kern w:val="0"/>
                <w:sz w:val="24"/>
                <w:szCs w:val="24"/>
              </w:rPr>
            </w:pPr>
            <w:r>
              <w:rPr>
                <w:rFonts w:ascii="宋体" w:eastAsia="宋体" w:hAnsi="宋体" w:cs="宋体"/>
                <w:kern w:val="0"/>
                <w:sz w:val="24"/>
                <w:szCs w:val="24"/>
              </w:rPr>
              <w:t>100.0–</w:t>
            </w:r>
            <w:r w:rsidR="00035743" w:rsidRPr="00035743">
              <w:rPr>
                <w:rFonts w:ascii="宋体" w:eastAsia="宋体" w:hAnsi="宋体" w:cs="宋体"/>
                <w:kern w:val="0"/>
                <w:sz w:val="24"/>
                <w:szCs w:val="24"/>
              </w:rPr>
              <w:t>999.9 mg/L</w:t>
            </w:r>
          </w:p>
        </w:tc>
        <w:tc>
          <w:tcPr>
            <w:tcW w:w="805" w:type="dxa"/>
            <w:vMerge w:val="restart"/>
            <w:vAlign w:val="center"/>
            <w:hideMark/>
          </w:tcPr>
          <w:p w:rsidR="00035743" w:rsidRPr="00035743" w:rsidRDefault="00035743" w:rsidP="00035743">
            <w:pPr>
              <w:widowControl/>
              <w:jc w:val="left"/>
              <w:rPr>
                <w:rFonts w:ascii="宋体" w:eastAsia="宋体" w:hAnsi="宋体" w:cs="宋体"/>
                <w:kern w:val="0"/>
                <w:sz w:val="24"/>
                <w:szCs w:val="24"/>
              </w:rPr>
            </w:pPr>
            <w:r w:rsidRPr="00035743">
              <w:rPr>
                <w:rFonts w:ascii="宋体" w:eastAsia="宋体" w:hAnsi="宋体" w:cs="宋体"/>
                <w:kern w:val="0"/>
                <w:sz w:val="24"/>
                <w:szCs w:val="24"/>
              </w:rPr>
              <w:t>± 10%</w:t>
            </w:r>
          </w:p>
        </w:tc>
      </w:tr>
      <w:tr w:rsidR="00035743" w:rsidRPr="00035743" w:rsidTr="00DB1FD3">
        <w:trPr>
          <w:trHeight w:val="694"/>
          <w:tblCellSpacing w:w="15" w:type="dxa"/>
        </w:trPr>
        <w:tc>
          <w:tcPr>
            <w:tcW w:w="2830"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硝酸盐</w:t>
            </w:r>
          </w:p>
        </w:tc>
        <w:tc>
          <w:tcPr>
            <w:tcW w:w="2664" w:type="dxa"/>
            <w:vMerge/>
            <w:vAlign w:val="center"/>
            <w:hideMark/>
          </w:tcPr>
          <w:p w:rsidR="00035743" w:rsidRPr="00035743" w:rsidRDefault="00035743" w:rsidP="00035743">
            <w:pPr>
              <w:widowControl/>
              <w:jc w:val="left"/>
              <w:rPr>
                <w:rFonts w:ascii="宋体" w:eastAsia="宋体" w:hAnsi="宋体" w:cs="宋体"/>
                <w:kern w:val="0"/>
                <w:sz w:val="24"/>
                <w:szCs w:val="24"/>
              </w:rPr>
            </w:pPr>
          </w:p>
        </w:tc>
        <w:tc>
          <w:tcPr>
            <w:tcW w:w="2629" w:type="dxa"/>
            <w:vMerge/>
            <w:vAlign w:val="center"/>
            <w:hideMark/>
          </w:tcPr>
          <w:p w:rsidR="00035743" w:rsidRPr="00035743" w:rsidRDefault="00035743" w:rsidP="00035743">
            <w:pPr>
              <w:widowControl/>
              <w:jc w:val="left"/>
              <w:rPr>
                <w:rFonts w:ascii="宋体" w:eastAsia="宋体" w:hAnsi="宋体" w:cs="宋体"/>
                <w:kern w:val="0"/>
                <w:sz w:val="24"/>
                <w:szCs w:val="24"/>
              </w:rPr>
            </w:pPr>
          </w:p>
        </w:tc>
        <w:tc>
          <w:tcPr>
            <w:tcW w:w="805" w:type="dxa"/>
            <w:vMerge/>
            <w:vAlign w:val="center"/>
            <w:hideMark/>
          </w:tcPr>
          <w:p w:rsidR="00035743" w:rsidRPr="00035743" w:rsidRDefault="00035743" w:rsidP="00035743">
            <w:pPr>
              <w:widowControl/>
              <w:jc w:val="left"/>
              <w:rPr>
                <w:rFonts w:ascii="宋体" w:eastAsia="宋体" w:hAnsi="宋体" w:cs="宋体"/>
                <w:kern w:val="0"/>
                <w:sz w:val="24"/>
                <w:szCs w:val="24"/>
              </w:rPr>
            </w:pPr>
          </w:p>
        </w:tc>
      </w:tr>
      <w:tr w:rsidR="00035743" w:rsidRPr="00035743" w:rsidTr="00DB1FD3">
        <w:trPr>
          <w:trHeight w:val="694"/>
          <w:tblCellSpacing w:w="15" w:type="dxa"/>
        </w:trPr>
        <w:tc>
          <w:tcPr>
            <w:tcW w:w="2830"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氯化物</w:t>
            </w:r>
          </w:p>
        </w:tc>
        <w:tc>
          <w:tcPr>
            <w:tcW w:w="2664" w:type="dxa"/>
            <w:vMerge/>
            <w:vAlign w:val="center"/>
            <w:hideMark/>
          </w:tcPr>
          <w:p w:rsidR="00035743" w:rsidRPr="00035743" w:rsidRDefault="00035743" w:rsidP="00035743">
            <w:pPr>
              <w:widowControl/>
              <w:jc w:val="left"/>
              <w:rPr>
                <w:rFonts w:ascii="宋体" w:eastAsia="宋体" w:hAnsi="宋体" w:cs="宋体"/>
                <w:kern w:val="0"/>
                <w:sz w:val="24"/>
                <w:szCs w:val="24"/>
              </w:rPr>
            </w:pPr>
          </w:p>
        </w:tc>
        <w:tc>
          <w:tcPr>
            <w:tcW w:w="2629" w:type="dxa"/>
            <w:vMerge/>
            <w:vAlign w:val="center"/>
            <w:hideMark/>
          </w:tcPr>
          <w:p w:rsidR="00035743" w:rsidRPr="00035743" w:rsidRDefault="00035743" w:rsidP="00035743">
            <w:pPr>
              <w:widowControl/>
              <w:jc w:val="left"/>
              <w:rPr>
                <w:rFonts w:ascii="宋体" w:eastAsia="宋体" w:hAnsi="宋体" w:cs="宋体"/>
                <w:kern w:val="0"/>
                <w:sz w:val="24"/>
                <w:szCs w:val="24"/>
              </w:rPr>
            </w:pPr>
          </w:p>
        </w:tc>
        <w:tc>
          <w:tcPr>
            <w:tcW w:w="805" w:type="dxa"/>
            <w:vMerge/>
            <w:vAlign w:val="center"/>
            <w:hideMark/>
          </w:tcPr>
          <w:p w:rsidR="00035743" w:rsidRPr="00035743" w:rsidRDefault="00035743" w:rsidP="00035743">
            <w:pPr>
              <w:widowControl/>
              <w:jc w:val="left"/>
              <w:rPr>
                <w:rFonts w:ascii="宋体" w:eastAsia="宋体" w:hAnsi="宋体" w:cs="宋体"/>
                <w:kern w:val="0"/>
                <w:sz w:val="24"/>
                <w:szCs w:val="24"/>
              </w:rPr>
            </w:pPr>
          </w:p>
        </w:tc>
      </w:tr>
      <w:tr w:rsidR="00035743" w:rsidRPr="00035743" w:rsidTr="00DB1FD3">
        <w:trPr>
          <w:trHeight w:val="694"/>
          <w:tblCellSpacing w:w="15" w:type="dxa"/>
        </w:trPr>
        <w:tc>
          <w:tcPr>
            <w:tcW w:w="2830"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氟化物</w:t>
            </w:r>
          </w:p>
        </w:tc>
        <w:tc>
          <w:tcPr>
            <w:tcW w:w="2664" w:type="dxa"/>
            <w:vMerge/>
            <w:vAlign w:val="center"/>
            <w:hideMark/>
          </w:tcPr>
          <w:p w:rsidR="00035743" w:rsidRPr="00035743" w:rsidRDefault="00035743" w:rsidP="00035743">
            <w:pPr>
              <w:widowControl/>
              <w:jc w:val="left"/>
              <w:rPr>
                <w:rFonts w:ascii="宋体" w:eastAsia="宋体" w:hAnsi="宋体" w:cs="宋体"/>
                <w:kern w:val="0"/>
                <w:sz w:val="24"/>
                <w:szCs w:val="24"/>
              </w:rPr>
            </w:pPr>
          </w:p>
        </w:tc>
        <w:tc>
          <w:tcPr>
            <w:tcW w:w="2629" w:type="dxa"/>
            <w:vMerge/>
            <w:vAlign w:val="center"/>
            <w:hideMark/>
          </w:tcPr>
          <w:p w:rsidR="00035743" w:rsidRPr="00035743" w:rsidRDefault="00035743" w:rsidP="00035743">
            <w:pPr>
              <w:widowControl/>
              <w:jc w:val="left"/>
              <w:rPr>
                <w:rFonts w:ascii="宋体" w:eastAsia="宋体" w:hAnsi="宋体" w:cs="宋体"/>
                <w:kern w:val="0"/>
                <w:sz w:val="24"/>
                <w:szCs w:val="24"/>
              </w:rPr>
            </w:pPr>
          </w:p>
        </w:tc>
        <w:tc>
          <w:tcPr>
            <w:tcW w:w="805" w:type="dxa"/>
            <w:vMerge/>
            <w:vAlign w:val="center"/>
            <w:hideMark/>
          </w:tcPr>
          <w:p w:rsidR="00035743" w:rsidRPr="00035743" w:rsidRDefault="00035743" w:rsidP="00035743">
            <w:pPr>
              <w:widowControl/>
              <w:jc w:val="left"/>
              <w:rPr>
                <w:rFonts w:ascii="宋体" w:eastAsia="宋体" w:hAnsi="宋体" w:cs="宋体"/>
                <w:kern w:val="0"/>
                <w:sz w:val="24"/>
                <w:szCs w:val="24"/>
              </w:rPr>
            </w:pPr>
          </w:p>
        </w:tc>
      </w:tr>
      <w:tr w:rsidR="00035743" w:rsidRPr="00035743" w:rsidTr="00DB1FD3">
        <w:trPr>
          <w:trHeight w:val="694"/>
          <w:tblCellSpacing w:w="15" w:type="dxa"/>
        </w:trPr>
        <w:tc>
          <w:tcPr>
            <w:tcW w:w="2830"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钙</w:t>
            </w:r>
          </w:p>
        </w:tc>
        <w:tc>
          <w:tcPr>
            <w:tcW w:w="2664" w:type="dxa"/>
            <w:vMerge/>
            <w:vAlign w:val="center"/>
            <w:hideMark/>
          </w:tcPr>
          <w:p w:rsidR="00035743" w:rsidRPr="00035743" w:rsidRDefault="00035743" w:rsidP="00035743">
            <w:pPr>
              <w:widowControl/>
              <w:jc w:val="left"/>
              <w:rPr>
                <w:rFonts w:ascii="宋体" w:eastAsia="宋体" w:hAnsi="宋体" w:cs="宋体"/>
                <w:kern w:val="0"/>
                <w:sz w:val="24"/>
                <w:szCs w:val="24"/>
              </w:rPr>
            </w:pPr>
          </w:p>
        </w:tc>
        <w:tc>
          <w:tcPr>
            <w:tcW w:w="2629" w:type="dxa"/>
            <w:vMerge/>
            <w:vAlign w:val="center"/>
            <w:hideMark/>
          </w:tcPr>
          <w:p w:rsidR="00035743" w:rsidRPr="00035743" w:rsidRDefault="00035743" w:rsidP="00035743">
            <w:pPr>
              <w:widowControl/>
              <w:jc w:val="left"/>
              <w:rPr>
                <w:rFonts w:ascii="宋体" w:eastAsia="宋体" w:hAnsi="宋体" w:cs="宋体"/>
                <w:kern w:val="0"/>
                <w:sz w:val="24"/>
                <w:szCs w:val="24"/>
              </w:rPr>
            </w:pPr>
          </w:p>
        </w:tc>
        <w:tc>
          <w:tcPr>
            <w:tcW w:w="805" w:type="dxa"/>
            <w:vMerge/>
            <w:vAlign w:val="center"/>
            <w:hideMark/>
          </w:tcPr>
          <w:p w:rsidR="00035743" w:rsidRPr="00035743" w:rsidRDefault="00035743" w:rsidP="00035743">
            <w:pPr>
              <w:widowControl/>
              <w:jc w:val="left"/>
              <w:rPr>
                <w:rFonts w:ascii="宋体" w:eastAsia="宋体" w:hAnsi="宋体" w:cs="宋体"/>
                <w:kern w:val="0"/>
                <w:sz w:val="24"/>
                <w:szCs w:val="24"/>
              </w:rPr>
            </w:pPr>
          </w:p>
        </w:tc>
      </w:tr>
      <w:tr w:rsidR="00035743" w:rsidRPr="00035743" w:rsidTr="00DB1FD3">
        <w:trPr>
          <w:trHeight w:val="694"/>
          <w:tblCellSpacing w:w="15" w:type="dxa"/>
        </w:trPr>
        <w:tc>
          <w:tcPr>
            <w:tcW w:w="2830"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铵</w:t>
            </w:r>
          </w:p>
        </w:tc>
        <w:tc>
          <w:tcPr>
            <w:tcW w:w="2664" w:type="dxa"/>
            <w:vMerge/>
            <w:vAlign w:val="center"/>
            <w:hideMark/>
          </w:tcPr>
          <w:p w:rsidR="00035743" w:rsidRPr="00035743" w:rsidRDefault="00035743" w:rsidP="00035743">
            <w:pPr>
              <w:widowControl/>
              <w:jc w:val="left"/>
              <w:rPr>
                <w:rFonts w:ascii="宋体" w:eastAsia="宋体" w:hAnsi="宋体" w:cs="宋体"/>
                <w:kern w:val="0"/>
                <w:sz w:val="24"/>
                <w:szCs w:val="24"/>
              </w:rPr>
            </w:pPr>
          </w:p>
        </w:tc>
        <w:tc>
          <w:tcPr>
            <w:tcW w:w="2629" w:type="dxa"/>
            <w:vMerge/>
            <w:vAlign w:val="center"/>
            <w:hideMark/>
          </w:tcPr>
          <w:p w:rsidR="00035743" w:rsidRPr="00035743" w:rsidRDefault="00035743" w:rsidP="00035743">
            <w:pPr>
              <w:widowControl/>
              <w:jc w:val="left"/>
              <w:rPr>
                <w:rFonts w:ascii="宋体" w:eastAsia="宋体" w:hAnsi="宋体" w:cs="宋体"/>
                <w:kern w:val="0"/>
                <w:sz w:val="24"/>
                <w:szCs w:val="24"/>
              </w:rPr>
            </w:pPr>
          </w:p>
        </w:tc>
        <w:tc>
          <w:tcPr>
            <w:tcW w:w="805" w:type="dxa"/>
            <w:vMerge/>
            <w:vAlign w:val="center"/>
            <w:hideMark/>
          </w:tcPr>
          <w:p w:rsidR="00035743" w:rsidRPr="00035743" w:rsidRDefault="00035743" w:rsidP="00035743">
            <w:pPr>
              <w:widowControl/>
              <w:jc w:val="left"/>
              <w:rPr>
                <w:rFonts w:ascii="宋体" w:eastAsia="宋体" w:hAnsi="宋体" w:cs="宋体"/>
                <w:kern w:val="0"/>
                <w:sz w:val="24"/>
                <w:szCs w:val="24"/>
              </w:rPr>
            </w:pPr>
          </w:p>
        </w:tc>
      </w:tr>
    </w:tbl>
    <w:p w:rsidR="00035743" w:rsidRDefault="00035743" w:rsidP="00035743">
      <w:pPr>
        <w:widowControl/>
        <w:shd w:val="clear" w:color="auto" w:fill="FFFFFF"/>
        <w:spacing w:line="330" w:lineRule="atLeast"/>
        <w:jc w:val="left"/>
        <w:rPr>
          <w:rFonts w:ascii="宋体" w:eastAsia="宋体" w:hAnsi="宋体" w:cs="宋体" w:hint="eastAsia"/>
          <w:color w:val="444444"/>
          <w:kern w:val="0"/>
          <w:szCs w:val="18"/>
        </w:rPr>
      </w:pPr>
      <w:r w:rsidRPr="00035743">
        <w:rPr>
          <w:rFonts w:ascii="宋体" w:eastAsia="宋体" w:hAnsi="宋体" w:cs="宋体" w:hint="eastAsia"/>
          <w:color w:val="444444"/>
          <w:kern w:val="0"/>
          <w:szCs w:val="18"/>
        </w:rPr>
        <w:t>†带此符号参数需要有铵电极。 读数通过铵电极、PH和温度电极读数计算得到 </w:t>
      </w:r>
      <w:r w:rsidRPr="00035743">
        <w:rPr>
          <w:rFonts w:ascii="宋体" w:eastAsia="宋体" w:hAnsi="宋体" w:cs="宋体" w:hint="eastAsia"/>
          <w:color w:val="444444"/>
          <w:kern w:val="0"/>
          <w:szCs w:val="18"/>
        </w:rPr>
        <w:br/>
        <w:t> </w:t>
      </w:r>
    </w:p>
    <w:p w:rsidR="00DB1FD3" w:rsidRDefault="00DB1FD3" w:rsidP="00035743">
      <w:pPr>
        <w:widowControl/>
        <w:shd w:val="clear" w:color="auto" w:fill="FFFFFF"/>
        <w:spacing w:line="330" w:lineRule="atLeast"/>
        <w:jc w:val="left"/>
        <w:rPr>
          <w:rFonts w:ascii="宋体" w:eastAsia="宋体" w:hAnsi="宋体" w:cs="宋体" w:hint="eastAsia"/>
          <w:color w:val="444444"/>
          <w:kern w:val="0"/>
          <w:szCs w:val="18"/>
        </w:rPr>
      </w:pPr>
    </w:p>
    <w:p w:rsidR="00035743" w:rsidRPr="00035743" w:rsidRDefault="00035743" w:rsidP="00035743">
      <w:pPr>
        <w:widowControl/>
        <w:shd w:val="clear" w:color="auto" w:fill="FFFFFF"/>
        <w:spacing w:after="240" w:line="330" w:lineRule="atLeast"/>
        <w:jc w:val="left"/>
        <w:rPr>
          <w:rFonts w:ascii="宋体" w:eastAsia="宋体" w:hAnsi="宋体" w:cs="宋体" w:hint="eastAsia"/>
          <w:color w:val="444444"/>
          <w:kern w:val="0"/>
          <w:szCs w:val="18"/>
        </w:rPr>
      </w:pPr>
      <w:r w:rsidRPr="00035743">
        <w:rPr>
          <w:rFonts w:ascii="宋体" w:eastAsia="宋体" w:hAnsi="宋体" w:cs="宋体" w:hint="eastAsia"/>
          <w:color w:val="444444"/>
          <w:kern w:val="0"/>
          <w:szCs w:val="18"/>
        </w:rPr>
        <w:t>可选光学电极</w:t>
      </w:r>
    </w:p>
    <w:tbl>
      <w:tblPr>
        <w:tblW w:w="928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72"/>
        <w:gridCol w:w="2983"/>
        <w:gridCol w:w="3611"/>
        <w:gridCol w:w="923"/>
      </w:tblGrid>
      <w:tr w:rsidR="00DB1FD3" w:rsidRPr="00035743" w:rsidTr="00DB1FD3">
        <w:trPr>
          <w:trHeight w:val="624"/>
          <w:tblCellSpacing w:w="15" w:type="dxa"/>
        </w:trPr>
        <w:tc>
          <w:tcPr>
            <w:tcW w:w="1727"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叶绿素 A</w:t>
            </w:r>
          </w:p>
        </w:tc>
        <w:tc>
          <w:tcPr>
            <w:tcW w:w="2953" w:type="dxa"/>
            <w:vAlign w:val="center"/>
            <w:hideMark/>
          </w:tcPr>
          <w:p w:rsidR="00035743" w:rsidRPr="00035743" w:rsidRDefault="00035743" w:rsidP="00DB1FD3">
            <w:pPr>
              <w:widowControl/>
              <w:ind w:firstLineChars="50" w:firstLine="120"/>
              <w:jc w:val="left"/>
              <w:rPr>
                <w:rFonts w:ascii="宋体" w:eastAsia="宋体" w:hAnsi="宋体" w:cs="宋体"/>
                <w:kern w:val="0"/>
                <w:sz w:val="24"/>
                <w:szCs w:val="24"/>
              </w:rPr>
            </w:pPr>
            <w:r>
              <w:rPr>
                <w:rFonts w:ascii="宋体" w:eastAsia="宋体" w:hAnsi="宋体" w:cs="宋体"/>
                <w:kern w:val="0"/>
                <w:sz w:val="24"/>
                <w:szCs w:val="24"/>
              </w:rPr>
              <w:t>0–</w:t>
            </w:r>
            <w:r w:rsidRPr="00035743">
              <w:rPr>
                <w:rFonts w:ascii="宋体" w:eastAsia="宋体" w:hAnsi="宋体" w:cs="宋体"/>
                <w:kern w:val="0"/>
                <w:sz w:val="24"/>
                <w:szCs w:val="24"/>
              </w:rPr>
              <w:t>500 μg/L (ppb)</w:t>
            </w:r>
          </w:p>
        </w:tc>
        <w:tc>
          <w:tcPr>
            <w:tcW w:w="3581" w:type="dxa"/>
            <w:vAlign w:val="center"/>
            <w:hideMark/>
          </w:tcPr>
          <w:p w:rsidR="00035743" w:rsidRPr="00035743" w:rsidRDefault="00035743" w:rsidP="00DB1FD3">
            <w:pPr>
              <w:widowControl/>
              <w:ind w:firstLineChars="50" w:firstLine="120"/>
              <w:jc w:val="left"/>
              <w:rPr>
                <w:rFonts w:ascii="宋体" w:eastAsia="宋体" w:hAnsi="宋体" w:cs="宋体"/>
                <w:kern w:val="0"/>
                <w:sz w:val="24"/>
                <w:szCs w:val="24"/>
              </w:rPr>
            </w:pPr>
            <w:r w:rsidRPr="00035743">
              <w:rPr>
                <w:rFonts w:ascii="宋体" w:eastAsia="宋体" w:hAnsi="宋体" w:cs="宋体"/>
                <w:kern w:val="0"/>
                <w:sz w:val="24"/>
                <w:szCs w:val="24"/>
              </w:rPr>
              <w:t>0.1 μg/L</w:t>
            </w:r>
          </w:p>
        </w:tc>
        <w:tc>
          <w:tcPr>
            <w:tcW w:w="878" w:type="dxa"/>
            <w:vAlign w:val="center"/>
            <w:hideMark/>
          </w:tcPr>
          <w:p w:rsidR="00035743" w:rsidRPr="00035743" w:rsidRDefault="00035743" w:rsidP="00035743">
            <w:pPr>
              <w:widowControl/>
              <w:jc w:val="left"/>
              <w:rPr>
                <w:rFonts w:ascii="宋体" w:eastAsia="宋体" w:hAnsi="宋体" w:cs="宋体"/>
                <w:kern w:val="0"/>
                <w:sz w:val="24"/>
                <w:szCs w:val="24"/>
              </w:rPr>
            </w:pPr>
            <w:r w:rsidRPr="00035743">
              <w:rPr>
                <w:rFonts w:ascii="宋体" w:eastAsia="宋体" w:hAnsi="宋体" w:cs="宋体"/>
                <w:kern w:val="0"/>
                <w:sz w:val="24"/>
                <w:szCs w:val="24"/>
              </w:rPr>
              <w:t>± 2%</w:t>
            </w:r>
          </w:p>
        </w:tc>
      </w:tr>
      <w:tr w:rsidR="00DB1FD3" w:rsidRPr="00035743" w:rsidTr="00DB1FD3">
        <w:trPr>
          <w:trHeight w:val="624"/>
          <w:tblCellSpacing w:w="15" w:type="dxa"/>
        </w:trPr>
        <w:tc>
          <w:tcPr>
            <w:tcW w:w="1727"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浅水蓝绿藻</w:t>
            </w:r>
          </w:p>
        </w:tc>
        <w:tc>
          <w:tcPr>
            <w:tcW w:w="2953" w:type="dxa"/>
            <w:vAlign w:val="center"/>
            <w:hideMark/>
          </w:tcPr>
          <w:p w:rsidR="00035743" w:rsidRPr="00035743" w:rsidRDefault="00035743" w:rsidP="00DB1FD3">
            <w:pPr>
              <w:widowControl/>
              <w:ind w:firstLineChars="50" w:firstLine="120"/>
              <w:jc w:val="left"/>
              <w:rPr>
                <w:rFonts w:ascii="宋体" w:eastAsia="宋体" w:hAnsi="宋体" w:cs="宋体"/>
                <w:kern w:val="0"/>
                <w:sz w:val="24"/>
                <w:szCs w:val="24"/>
              </w:rPr>
            </w:pPr>
            <w:r>
              <w:rPr>
                <w:rFonts w:ascii="宋体" w:eastAsia="宋体" w:hAnsi="宋体" w:cs="宋体"/>
                <w:kern w:val="0"/>
                <w:sz w:val="24"/>
                <w:szCs w:val="24"/>
              </w:rPr>
              <w:t>0–</w:t>
            </w:r>
            <w:r w:rsidRPr="00035743">
              <w:rPr>
                <w:rFonts w:ascii="宋体" w:eastAsia="宋体" w:hAnsi="宋体" w:cs="宋体"/>
                <w:kern w:val="0"/>
                <w:sz w:val="24"/>
                <w:szCs w:val="24"/>
              </w:rPr>
              <w:t>300,000 cells/mL</w:t>
            </w:r>
          </w:p>
        </w:tc>
        <w:tc>
          <w:tcPr>
            <w:tcW w:w="3581" w:type="dxa"/>
            <w:vAlign w:val="center"/>
            <w:hideMark/>
          </w:tcPr>
          <w:p w:rsidR="00035743" w:rsidRPr="00035743" w:rsidRDefault="00035743" w:rsidP="00DB1FD3">
            <w:pPr>
              <w:widowControl/>
              <w:ind w:firstLineChars="50" w:firstLine="120"/>
              <w:jc w:val="left"/>
              <w:rPr>
                <w:rFonts w:ascii="宋体" w:eastAsia="宋体" w:hAnsi="宋体" w:cs="宋体"/>
                <w:kern w:val="0"/>
                <w:sz w:val="24"/>
                <w:szCs w:val="24"/>
              </w:rPr>
            </w:pPr>
            <w:r w:rsidRPr="00035743">
              <w:rPr>
                <w:rFonts w:ascii="宋体" w:eastAsia="宋体" w:hAnsi="宋体" w:cs="宋体"/>
                <w:kern w:val="0"/>
                <w:sz w:val="24"/>
                <w:szCs w:val="24"/>
              </w:rPr>
              <w:t>1 cell/mL</w:t>
            </w:r>
          </w:p>
        </w:tc>
        <w:tc>
          <w:tcPr>
            <w:tcW w:w="878" w:type="dxa"/>
            <w:vAlign w:val="center"/>
            <w:hideMark/>
          </w:tcPr>
          <w:p w:rsidR="00035743" w:rsidRPr="00035743" w:rsidRDefault="00035743" w:rsidP="00035743">
            <w:pPr>
              <w:widowControl/>
              <w:jc w:val="left"/>
              <w:rPr>
                <w:rFonts w:ascii="宋体" w:eastAsia="宋体" w:hAnsi="宋体" w:cs="宋体"/>
                <w:kern w:val="0"/>
                <w:sz w:val="24"/>
                <w:szCs w:val="24"/>
              </w:rPr>
            </w:pPr>
            <w:r w:rsidRPr="00035743">
              <w:rPr>
                <w:rFonts w:ascii="宋体" w:eastAsia="宋体" w:hAnsi="宋体" w:cs="宋体"/>
                <w:kern w:val="0"/>
                <w:sz w:val="24"/>
                <w:szCs w:val="24"/>
              </w:rPr>
              <w:t>± 2%</w:t>
            </w:r>
          </w:p>
        </w:tc>
      </w:tr>
      <w:tr w:rsidR="00DB1FD3" w:rsidRPr="00035743" w:rsidTr="00DB1FD3">
        <w:trPr>
          <w:trHeight w:val="624"/>
          <w:tblCellSpacing w:w="15" w:type="dxa"/>
        </w:trPr>
        <w:tc>
          <w:tcPr>
            <w:tcW w:w="1727"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海水蓝绿藻</w:t>
            </w:r>
          </w:p>
        </w:tc>
        <w:tc>
          <w:tcPr>
            <w:tcW w:w="2953" w:type="dxa"/>
            <w:vAlign w:val="center"/>
            <w:hideMark/>
          </w:tcPr>
          <w:p w:rsidR="00035743" w:rsidRPr="00035743" w:rsidRDefault="00035743" w:rsidP="00DB1FD3">
            <w:pPr>
              <w:widowControl/>
              <w:ind w:firstLineChars="50" w:firstLine="120"/>
              <w:jc w:val="left"/>
              <w:rPr>
                <w:rFonts w:ascii="宋体" w:eastAsia="宋体" w:hAnsi="宋体" w:cs="宋体"/>
                <w:kern w:val="0"/>
                <w:sz w:val="24"/>
                <w:szCs w:val="24"/>
              </w:rPr>
            </w:pPr>
            <w:r>
              <w:rPr>
                <w:rFonts w:ascii="宋体" w:eastAsia="宋体" w:hAnsi="宋体" w:cs="宋体"/>
                <w:kern w:val="0"/>
                <w:sz w:val="24"/>
                <w:szCs w:val="24"/>
              </w:rPr>
              <w:t>0–</w:t>
            </w:r>
            <w:r w:rsidRPr="00035743">
              <w:rPr>
                <w:rFonts w:ascii="宋体" w:eastAsia="宋体" w:hAnsi="宋体" w:cs="宋体"/>
                <w:kern w:val="0"/>
                <w:sz w:val="24"/>
                <w:szCs w:val="24"/>
              </w:rPr>
              <w:t>200,000 cells/mL</w:t>
            </w:r>
          </w:p>
        </w:tc>
        <w:tc>
          <w:tcPr>
            <w:tcW w:w="3581" w:type="dxa"/>
            <w:vAlign w:val="center"/>
            <w:hideMark/>
          </w:tcPr>
          <w:p w:rsidR="00035743" w:rsidRPr="00035743" w:rsidRDefault="00035743" w:rsidP="00DB1FD3">
            <w:pPr>
              <w:widowControl/>
              <w:ind w:firstLineChars="50" w:firstLine="120"/>
              <w:jc w:val="left"/>
              <w:rPr>
                <w:rFonts w:ascii="宋体" w:eastAsia="宋体" w:hAnsi="宋体" w:cs="宋体"/>
                <w:kern w:val="0"/>
                <w:sz w:val="24"/>
                <w:szCs w:val="24"/>
              </w:rPr>
            </w:pPr>
            <w:r w:rsidRPr="00035743">
              <w:rPr>
                <w:rFonts w:ascii="宋体" w:eastAsia="宋体" w:hAnsi="宋体" w:cs="宋体"/>
                <w:kern w:val="0"/>
                <w:sz w:val="24"/>
                <w:szCs w:val="24"/>
              </w:rPr>
              <w:t>1 cell/mL</w:t>
            </w:r>
          </w:p>
        </w:tc>
        <w:tc>
          <w:tcPr>
            <w:tcW w:w="878" w:type="dxa"/>
            <w:vAlign w:val="center"/>
            <w:hideMark/>
          </w:tcPr>
          <w:p w:rsidR="00035743" w:rsidRPr="00035743" w:rsidRDefault="00035743" w:rsidP="00035743">
            <w:pPr>
              <w:widowControl/>
              <w:jc w:val="left"/>
              <w:rPr>
                <w:rFonts w:ascii="宋体" w:eastAsia="宋体" w:hAnsi="宋体" w:cs="宋体"/>
                <w:kern w:val="0"/>
                <w:sz w:val="24"/>
                <w:szCs w:val="24"/>
              </w:rPr>
            </w:pPr>
            <w:r w:rsidRPr="00035743">
              <w:rPr>
                <w:rFonts w:ascii="宋体" w:eastAsia="宋体" w:hAnsi="宋体" w:cs="宋体"/>
                <w:kern w:val="0"/>
                <w:sz w:val="24"/>
                <w:szCs w:val="24"/>
              </w:rPr>
              <w:t>± 2%</w:t>
            </w:r>
          </w:p>
        </w:tc>
      </w:tr>
      <w:tr w:rsidR="00DB1FD3" w:rsidRPr="00035743" w:rsidTr="00DB1FD3">
        <w:trPr>
          <w:trHeight w:val="624"/>
          <w:tblCellSpacing w:w="15" w:type="dxa"/>
        </w:trPr>
        <w:tc>
          <w:tcPr>
            <w:tcW w:w="1727"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浊度</w:t>
            </w:r>
          </w:p>
        </w:tc>
        <w:tc>
          <w:tcPr>
            <w:tcW w:w="2953" w:type="dxa"/>
            <w:vAlign w:val="center"/>
            <w:hideMark/>
          </w:tcPr>
          <w:p w:rsidR="00035743" w:rsidRPr="00035743" w:rsidRDefault="00035743" w:rsidP="00DB1FD3">
            <w:pPr>
              <w:widowControl/>
              <w:ind w:firstLineChars="50" w:firstLine="120"/>
              <w:jc w:val="left"/>
              <w:rPr>
                <w:rFonts w:ascii="宋体" w:eastAsia="宋体" w:hAnsi="宋体" w:cs="宋体"/>
                <w:kern w:val="0"/>
                <w:sz w:val="24"/>
                <w:szCs w:val="24"/>
              </w:rPr>
            </w:pPr>
            <w:r>
              <w:rPr>
                <w:rFonts w:ascii="宋体" w:eastAsia="宋体" w:hAnsi="宋体" w:cs="宋体"/>
                <w:kern w:val="0"/>
                <w:sz w:val="24"/>
                <w:szCs w:val="24"/>
              </w:rPr>
              <w:t>0–</w:t>
            </w:r>
            <w:r w:rsidRPr="00035743">
              <w:rPr>
                <w:rFonts w:ascii="宋体" w:eastAsia="宋体" w:hAnsi="宋体" w:cs="宋体"/>
                <w:kern w:val="0"/>
                <w:sz w:val="24"/>
                <w:szCs w:val="24"/>
              </w:rPr>
              <w:t>3000 NTU</w:t>
            </w:r>
          </w:p>
        </w:tc>
        <w:tc>
          <w:tcPr>
            <w:tcW w:w="3581" w:type="dxa"/>
            <w:vAlign w:val="center"/>
            <w:hideMark/>
          </w:tcPr>
          <w:p w:rsidR="00035743" w:rsidRPr="00035743" w:rsidRDefault="00035743" w:rsidP="00DB1FD3">
            <w:pPr>
              <w:widowControl/>
              <w:ind w:leftChars="57" w:left="120"/>
              <w:jc w:val="left"/>
              <w:rPr>
                <w:rFonts w:ascii="宋体" w:eastAsia="宋体" w:hAnsi="宋体" w:cs="宋体"/>
                <w:kern w:val="0"/>
                <w:sz w:val="24"/>
                <w:szCs w:val="24"/>
              </w:rPr>
            </w:pPr>
            <w:r w:rsidRPr="00035743">
              <w:rPr>
                <w:rFonts w:ascii="宋体" w:eastAsia="宋体" w:hAnsi="宋体" w:cs="宋体"/>
                <w:kern w:val="0"/>
                <w:sz w:val="24"/>
                <w:szCs w:val="24"/>
              </w:rPr>
              <w:t>两个自动确定的量程：</w:t>
            </w:r>
            <w:r>
              <w:rPr>
                <w:rFonts w:ascii="宋体" w:eastAsia="宋体" w:hAnsi="宋体" w:cs="宋体"/>
                <w:kern w:val="0"/>
                <w:sz w:val="24"/>
                <w:szCs w:val="24"/>
              </w:rPr>
              <w:t>0.0</w:t>
            </w:r>
            <w:r>
              <w:rPr>
                <w:rFonts w:ascii="宋体" w:eastAsia="宋体" w:hAnsi="宋体" w:cs="宋体" w:hint="eastAsia"/>
                <w:kern w:val="0"/>
                <w:sz w:val="24"/>
                <w:szCs w:val="24"/>
              </w:rPr>
              <w:t>-</w:t>
            </w:r>
            <w:r>
              <w:rPr>
                <w:rFonts w:ascii="宋体" w:eastAsia="宋体" w:hAnsi="宋体" w:cs="宋体"/>
                <w:kern w:val="0"/>
                <w:sz w:val="24"/>
                <w:szCs w:val="24"/>
              </w:rPr>
              <w:t>99.9 NTU, 100</w:t>
            </w:r>
            <w:r>
              <w:rPr>
                <w:rFonts w:ascii="宋体" w:eastAsia="宋体" w:hAnsi="宋体" w:cs="宋体" w:hint="eastAsia"/>
                <w:kern w:val="0"/>
                <w:sz w:val="24"/>
                <w:szCs w:val="24"/>
              </w:rPr>
              <w:t>-</w:t>
            </w:r>
            <w:r w:rsidRPr="00035743">
              <w:rPr>
                <w:rFonts w:ascii="宋体" w:eastAsia="宋体" w:hAnsi="宋体" w:cs="宋体"/>
                <w:kern w:val="0"/>
                <w:sz w:val="24"/>
                <w:szCs w:val="24"/>
              </w:rPr>
              <w:t>3000 NTU</w:t>
            </w:r>
          </w:p>
        </w:tc>
        <w:tc>
          <w:tcPr>
            <w:tcW w:w="878" w:type="dxa"/>
            <w:vAlign w:val="center"/>
            <w:hideMark/>
          </w:tcPr>
          <w:p w:rsidR="00035743" w:rsidRPr="00035743" w:rsidRDefault="00035743" w:rsidP="00035743">
            <w:pPr>
              <w:widowControl/>
              <w:jc w:val="left"/>
              <w:rPr>
                <w:rFonts w:ascii="宋体" w:eastAsia="宋体" w:hAnsi="宋体" w:cs="宋体"/>
                <w:kern w:val="0"/>
                <w:sz w:val="24"/>
                <w:szCs w:val="24"/>
              </w:rPr>
            </w:pPr>
            <w:r w:rsidRPr="00035743">
              <w:rPr>
                <w:rFonts w:ascii="宋体" w:eastAsia="宋体" w:hAnsi="宋体" w:cs="宋体"/>
                <w:kern w:val="0"/>
                <w:sz w:val="24"/>
                <w:szCs w:val="24"/>
              </w:rPr>
              <w:t>± 2%</w:t>
            </w:r>
          </w:p>
        </w:tc>
      </w:tr>
      <w:tr w:rsidR="00DB1FD3" w:rsidRPr="00035743" w:rsidTr="00DB1FD3">
        <w:trPr>
          <w:trHeight w:val="624"/>
          <w:tblCellSpacing w:w="15" w:type="dxa"/>
        </w:trPr>
        <w:tc>
          <w:tcPr>
            <w:tcW w:w="1727"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若丹明</w:t>
            </w:r>
          </w:p>
        </w:tc>
        <w:tc>
          <w:tcPr>
            <w:tcW w:w="2953" w:type="dxa"/>
            <w:vAlign w:val="center"/>
            <w:hideMark/>
          </w:tcPr>
          <w:p w:rsidR="00035743" w:rsidRPr="00035743" w:rsidRDefault="00035743" w:rsidP="00DB1FD3">
            <w:pPr>
              <w:widowControl/>
              <w:ind w:firstLineChars="50" w:firstLine="120"/>
              <w:jc w:val="left"/>
              <w:rPr>
                <w:rFonts w:ascii="宋体" w:eastAsia="宋体" w:hAnsi="宋体" w:cs="宋体"/>
                <w:kern w:val="0"/>
                <w:sz w:val="24"/>
                <w:szCs w:val="24"/>
              </w:rPr>
            </w:pPr>
            <w:r>
              <w:rPr>
                <w:rFonts w:ascii="宋体" w:eastAsia="宋体" w:hAnsi="宋体" w:cs="宋体"/>
                <w:kern w:val="0"/>
                <w:sz w:val="24"/>
                <w:szCs w:val="24"/>
              </w:rPr>
              <w:t>0–</w:t>
            </w:r>
            <w:r w:rsidRPr="00035743">
              <w:rPr>
                <w:rFonts w:ascii="宋体" w:eastAsia="宋体" w:hAnsi="宋体" w:cs="宋体"/>
                <w:kern w:val="0"/>
                <w:sz w:val="24"/>
                <w:szCs w:val="24"/>
              </w:rPr>
              <w:t>500 μg/L (ppb)</w:t>
            </w:r>
          </w:p>
        </w:tc>
        <w:tc>
          <w:tcPr>
            <w:tcW w:w="3581" w:type="dxa"/>
            <w:vAlign w:val="center"/>
            <w:hideMark/>
          </w:tcPr>
          <w:p w:rsidR="00035743" w:rsidRPr="00035743" w:rsidRDefault="00035743" w:rsidP="00DB1FD3">
            <w:pPr>
              <w:widowControl/>
              <w:ind w:firstLineChars="50" w:firstLine="120"/>
              <w:jc w:val="left"/>
              <w:rPr>
                <w:rFonts w:ascii="宋体" w:eastAsia="宋体" w:hAnsi="宋体" w:cs="宋体"/>
                <w:kern w:val="0"/>
                <w:sz w:val="24"/>
                <w:szCs w:val="24"/>
              </w:rPr>
            </w:pPr>
            <w:r w:rsidRPr="00035743">
              <w:rPr>
                <w:rFonts w:ascii="宋体" w:eastAsia="宋体" w:hAnsi="宋体" w:cs="宋体"/>
                <w:kern w:val="0"/>
                <w:sz w:val="24"/>
                <w:szCs w:val="24"/>
              </w:rPr>
              <w:t>0.1 μg/L</w:t>
            </w:r>
          </w:p>
        </w:tc>
        <w:tc>
          <w:tcPr>
            <w:tcW w:w="878" w:type="dxa"/>
            <w:vAlign w:val="center"/>
            <w:hideMark/>
          </w:tcPr>
          <w:p w:rsidR="00035743" w:rsidRPr="00035743" w:rsidRDefault="00035743" w:rsidP="00035743">
            <w:pPr>
              <w:widowControl/>
              <w:jc w:val="left"/>
              <w:rPr>
                <w:rFonts w:ascii="宋体" w:eastAsia="宋体" w:hAnsi="宋体" w:cs="宋体"/>
                <w:kern w:val="0"/>
                <w:sz w:val="24"/>
                <w:szCs w:val="24"/>
              </w:rPr>
            </w:pPr>
            <w:r w:rsidRPr="00035743">
              <w:rPr>
                <w:rFonts w:ascii="宋体" w:eastAsia="宋体" w:hAnsi="宋体" w:cs="宋体"/>
                <w:kern w:val="0"/>
                <w:sz w:val="24"/>
                <w:szCs w:val="24"/>
              </w:rPr>
              <w:t>± 5%</w:t>
            </w:r>
          </w:p>
        </w:tc>
      </w:tr>
      <w:tr w:rsidR="00DB1FD3" w:rsidRPr="00035743" w:rsidTr="00DB1FD3">
        <w:trPr>
          <w:trHeight w:val="624"/>
          <w:tblCellSpacing w:w="15" w:type="dxa"/>
        </w:trPr>
        <w:tc>
          <w:tcPr>
            <w:tcW w:w="1727"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荧光染料</w:t>
            </w:r>
          </w:p>
        </w:tc>
        <w:tc>
          <w:tcPr>
            <w:tcW w:w="2953" w:type="dxa"/>
            <w:vAlign w:val="center"/>
            <w:hideMark/>
          </w:tcPr>
          <w:p w:rsidR="00035743" w:rsidRPr="00035743" w:rsidRDefault="00035743" w:rsidP="00DB1FD3">
            <w:pPr>
              <w:widowControl/>
              <w:ind w:firstLineChars="50" w:firstLine="120"/>
              <w:jc w:val="left"/>
              <w:rPr>
                <w:rFonts w:ascii="宋体" w:eastAsia="宋体" w:hAnsi="宋体" w:cs="宋体"/>
                <w:kern w:val="0"/>
                <w:sz w:val="24"/>
                <w:szCs w:val="24"/>
              </w:rPr>
            </w:pPr>
            <w:r>
              <w:rPr>
                <w:rFonts w:ascii="宋体" w:eastAsia="宋体" w:hAnsi="宋体" w:cs="宋体"/>
                <w:kern w:val="0"/>
                <w:sz w:val="24"/>
                <w:szCs w:val="24"/>
              </w:rPr>
              <w:t>0–</w:t>
            </w:r>
            <w:r w:rsidRPr="00035743">
              <w:rPr>
                <w:rFonts w:ascii="宋体" w:eastAsia="宋体" w:hAnsi="宋体" w:cs="宋体"/>
                <w:kern w:val="0"/>
                <w:sz w:val="24"/>
                <w:szCs w:val="24"/>
              </w:rPr>
              <w:t>500 μg/L (ppb)</w:t>
            </w:r>
          </w:p>
        </w:tc>
        <w:tc>
          <w:tcPr>
            <w:tcW w:w="3581" w:type="dxa"/>
            <w:vAlign w:val="center"/>
            <w:hideMark/>
          </w:tcPr>
          <w:p w:rsidR="00035743" w:rsidRPr="00035743" w:rsidRDefault="00035743" w:rsidP="00DB1FD3">
            <w:pPr>
              <w:widowControl/>
              <w:ind w:firstLineChars="50" w:firstLine="120"/>
              <w:jc w:val="left"/>
              <w:rPr>
                <w:rFonts w:ascii="宋体" w:eastAsia="宋体" w:hAnsi="宋体" w:cs="宋体"/>
                <w:kern w:val="0"/>
                <w:sz w:val="24"/>
                <w:szCs w:val="24"/>
              </w:rPr>
            </w:pPr>
            <w:r w:rsidRPr="00035743">
              <w:rPr>
                <w:rFonts w:ascii="宋体" w:eastAsia="宋体" w:hAnsi="宋体" w:cs="宋体"/>
                <w:kern w:val="0"/>
                <w:sz w:val="24"/>
                <w:szCs w:val="24"/>
              </w:rPr>
              <w:t>0.1 μg/L</w:t>
            </w:r>
          </w:p>
        </w:tc>
        <w:tc>
          <w:tcPr>
            <w:tcW w:w="878" w:type="dxa"/>
            <w:vAlign w:val="center"/>
            <w:hideMark/>
          </w:tcPr>
          <w:p w:rsidR="00035743" w:rsidRPr="00035743" w:rsidRDefault="00035743" w:rsidP="00035743">
            <w:pPr>
              <w:widowControl/>
              <w:jc w:val="left"/>
              <w:rPr>
                <w:rFonts w:ascii="宋体" w:eastAsia="宋体" w:hAnsi="宋体" w:cs="宋体"/>
                <w:kern w:val="0"/>
                <w:sz w:val="24"/>
                <w:szCs w:val="24"/>
              </w:rPr>
            </w:pPr>
            <w:r w:rsidRPr="00035743">
              <w:rPr>
                <w:rFonts w:ascii="宋体" w:eastAsia="宋体" w:hAnsi="宋体" w:cs="宋体"/>
                <w:kern w:val="0"/>
                <w:sz w:val="24"/>
                <w:szCs w:val="24"/>
              </w:rPr>
              <w:t>± 5%</w:t>
            </w:r>
          </w:p>
        </w:tc>
      </w:tr>
      <w:tr w:rsidR="00DB1FD3" w:rsidRPr="00035743" w:rsidTr="00DB1FD3">
        <w:trPr>
          <w:trHeight w:val="624"/>
          <w:tblCellSpacing w:w="15" w:type="dxa"/>
        </w:trPr>
        <w:tc>
          <w:tcPr>
            <w:tcW w:w="1727" w:type="dxa"/>
            <w:vAlign w:val="center"/>
            <w:hideMark/>
          </w:tcPr>
          <w:p w:rsidR="00035743" w:rsidRPr="00035743" w:rsidRDefault="00035743" w:rsidP="00035743">
            <w:pPr>
              <w:widowControl/>
              <w:jc w:val="center"/>
              <w:rPr>
                <w:rFonts w:ascii="宋体" w:eastAsia="宋体" w:hAnsi="宋体" w:cs="宋体"/>
                <w:kern w:val="0"/>
                <w:sz w:val="24"/>
                <w:szCs w:val="24"/>
              </w:rPr>
            </w:pPr>
            <w:r w:rsidRPr="00035743">
              <w:rPr>
                <w:rFonts w:ascii="宋体" w:eastAsia="宋体" w:hAnsi="宋体" w:cs="宋体"/>
                <w:kern w:val="0"/>
                <w:sz w:val="24"/>
                <w:szCs w:val="24"/>
              </w:rPr>
              <w:t>成品油</w:t>
            </w:r>
          </w:p>
        </w:tc>
        <w:tc>
          <w:tcPr>
            <w:tcW w:w="2953" w:type="dxa"/>
            <w:vAlign w:val="center"/>
            <w:hideMark/>
          </w:tcPr>
          <w:p w:rsidR="00035743" w:rsidRPr="00035743" w:rsidRDefault="00035743" w:rsidP="00DB1FD3">
            <w:pPr>
              <w:widowControl/>
              <w:ind w:firstLineChars="50" w:firstLine="120"/>
              <w:jc w:val="left"/>
              <w:rPr>
                <w:rFonts w:ascii="宋体" w:eastAsia="宋体" w:hAnsi="宋体" w:cs="宋体"/>
                <w:kern w:val="0"/>
                <w:sz w:val="24"/>
                <w:szCs w:val="24"/>
              </w:rPr>
            </w:pPr>
            <w:r>
              <w:rPr>
                <w:rFonts w:ascii="宋体" w:eastAsia="宋体" w:hAnsi="宋体" w:cs="宋体"/>
                <w:kern w:val="0"/>
                <w:sz w:val="24"/>
                <w:szCs w:val="24"/>
              </w:rPr>
              <w:t>0–</w:t>
            </w:r>
            <w:r w:rsidRPr="00035743">
              <w:rPr>
                <w:rFonts w:ascii="宋体" w:eastAsia="宋体" w:hAnsi="宋体" w:cs="宋体"/>
                <w:kern w:val="0"/>
                <w:sz w:val="24"/>
                <w:szCs w:val="24"/>
              </w:rPr>
              <w:t>10,000 μg/L (ppb)</w:t>
            </w:r>
          </w:p>
        </w:tc>
        <w:tc>
          <w:tcPr>
            <w:tcW w:w="3581" w:type="dxa"/>
            <w:vAlign w:val="center"/>
            <w:hideMark/>
          </w:tcPr>
          <w:p w:rsidR="00035743" w:rsidRPr="00035743" w:rsidRDefault="00035743" w:rsidP="00DB1FD3">
            <w:pPr>
              <w:widowControl/>
              <w:ind w:firstLineChars="50" w:firstLine="120"/>
              <w:jc w:val="left"/>
              <w:rPr>
                <w:rFonts w:ascii="宋体" w:eastAsia="宋体" w:hAnsi="宋体" w:cs="宋体"/>
                <w:kern w:val="0"/>
                <w:sz w:val="24"/>
                <w:szCs w:val="24"/>
              </w:rPr>
            </w:pPr>
            <w:r w:rsidRPr="00035743">
              <w:rPr>
                <w:rFonts w:ascii="宋体" w:eastAsia="宋体" w:hAnsi="宋体" w:cs="宋体"/>
                <w:kern w:val="0"/>
                <w:sz w:val="24"/>
                <w:szCs w:val="24"/>
              </w:rPr>
              <w:t>0.1 μg/L</w:t>
            </w:r>
          </w:p>
        </w:tc>
        <w:tc>
          <w:tcPr>
            <w:tcW w:w="878" w:type="dxa"/>
            <w:vAlign w:val="center"/>
            <w:hideMark/>
          </w:tcPr>
          <w:p w:rsidR="00035743" w:rsidRPr="00035743" w:rsidRDefault="00035743" w:rsidP="00035743">
            <w:pPr>
              <w:widowControl/>
              <w:jc w:val="left"/>
              <w:rPr>
                <w:rFonts w:ascii="宋体" w:eastAsia="宋体" w:hAnsi="宋体" w:cs="宋体"/>
                <w:kern w:val="0"/>
                <w:sz w:val="24"/>
                <w:szCs w:val="24"/>
              </w:rPr>
            </w:pPr>
            <w:r w:rsidRPr="00035743">
              <w:rPr>
                <w:rFonts w:ascii="宋体" w:eastAsia="宋体" w:hAnsi="宋体" w:cs="宋体"/>
                <w:kern w:val="0"/>
                <w:sz w:val="24"/>
                <w:szCs w:val="24"/>
              </w:rPr>
              <w:t>± 2%</w:t>
            </w:r>
          </w:p>
        </w:tc>
      </w:tr>
    </w:tbl>
    <w:p w:rsidR="006B0707" w:rsidRDefault="00035743" w:rsidP="00DB1FD3">
      <w:pPr>
        <w:widowControl/>
        <w:shd w:val="clear" w:color="auto" w:fill="FFFFFF"/>
        <w:spacing w:line="390" w:lineRule="atLeast"/>
        <w:jc w:val="center"/>
        <w:outlineLvl w:val="0"/>
      </w:pPr>
      <w:r w:rsidRPr="00035743">
        <w:rPr>
          <w:rFonts w:ascii="微软雅黑" w:eastAsia="微软雅黑" w:hAnsi="微软雅黑" w:cs="宋体" w:hint="eastAsia"/>
          <w:b/>
          <w:bCs/>
          <w:color w:val="FFFFFF"/>
          <w:kern w:val="36"/>
          <w:szCs w:val="21"/>
        </w:rPr>
        <w:t>相关资料</w:t>
      </w:r>
    </w:p>
    <w:sectPr w:rsidR="006B070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707" w:rsidRDefault="006B0707" w:rsidP="00035743">
      <w:r>
        <w:separator/>
      </w:r>
    </w:p>
  </w:endnote>
  <w:endnote w:type="continuationSeparator" w:id="1">
    <w:p w:rsidR="006B0707" w:rsidRDefault="006B0707" w:rsidP="000357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43" w:rsidRDefault="0003574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43" w:rsidRDefault="0003574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43" w:rsidRDefault="000357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707" w:rsidRDefault="006B0707" w:rsidP="00035743">
      <w:r>
        <w:separator/>
      </w:r>
    </w:p>
  </w:footnote>
  <w:footnote w:type="continuationSeparator" w:id="1">
    <w:p w:rsidR="006B0707" w:rsidRDefault="006B0707" w:rsidP="00035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43" w:rsidRDefault="000357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43" w:rsidRDefault="00035743" w:rsidP="0003574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43" w:rsidRDefault="0003574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743"/>
    <w:rsid w:val="00035743"/>
    <w:rsid w:val="006B0707"/>
    <w:rsid w:val="00DB1F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357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57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5743"/>
    <w:rPr>
      <w:sz w:val="18"/>
      <w:szCs w:val="18"/>
    </w:rPr>
  </w:style>
  <w:style w:type="paragraph" w:styleId="a4">
    <w:name w:val="footer"/>
    <w:basedOn w:val="a"/>
    <w:link w:val="Char0"/>
    <w:uiPriority w:val="99"/>
    <w:semiHidden/>
    <w:unhideWhenUsed/>
    <w:rsid w:val="000357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5743"/>
    <w:rPr>
      <w:sz w:val="18"/>
      <w:szCs w:val="18"/>
    </w:rPr>
  </w:style>
  <w:style w:type="character" w:customStyle="1" w:styleId="1Char">
    <w:name w:val="标题 1 Char"/>
    <w:basedOn w:val="a0"/>
    <w:link w:val="1"/>
    <w:uiPriority w:val="9"/>
    <w:rsid w:val="00035743"/>
    <w:rPr>
      <w:rFonts w:ascii="宋体" w:eastAsia="宋体" w:hAnsi="宋体" w:cs="宋体"/>
      <w:b/>
      <w:bCs/>
      <w:kern w:val="36"/>
      <w:sz w:val="48"/>
      <w:szCs w:val="48"/>
    </w:rPr>
  </w:style>
  <w:style w:type="paragraph" w:styleId="a5">
    <w:name w:val="Balloon Text"/>
    <w:basedOn w:val="a"/>
    <w:link w:val="Char1"/>
    <w:uiPriority w:val="99"/>
    <w:semiHidden/>
    <w:unhideWhenUsed/>
    <w:rsid w:val="00035743"/>
    <w:rPr>
      <w:sz w:val="18"/>
      <w:szCs w:val="18"/>
    </w:rPr>
  </w:style>
  <w:style w:type="character" w:customStyle="1" w:styleId="Char1">
    <w:name w:val="批注框文本 Char"/>
    <w:basedOn w:val="a0"/>
    <w:link w:val="a5"/>
    <w:uiPriority w:val="99"/>
    <w:semiHidden/>
    <w:rsid w:val="00035743"/>
    <w:rPr>
      <w:sz w:val="18"/>
      <w:szCs w:val="18"/>
    </w:rPr>
  </w:style>
</w:styles>
</file>

<file path=word/webSettings.xml><?xml version="1.0" encoding="utf-8"?>
<w:webSettings xmlns:r="http://schemas.openxmlformats.org/officeDocument/2006/relationships" xmlns:w="http://schemas.openxmlformats.org/wordprocessingml/2006/main">
  <w:divs>
    <w:div w:id="1458792690">
      <w:bodyDiv w:val="1"/>
      <w:marLeft w:val="0"/>
      <w:marRight w:val="0"/>
      <w:marTop w:val="0"/>
      <w:marBottom w:val="0"/>
      <w:divBdr>
        <w:top w:val="none" w:sz="0" w:space="0" w:color="auto"/>
        <w:left w:val="none" w:sz="0" w:space="0" w:color="auto"/>
        <w:bottom w:val="none" w:sz="0" w:space="0" w:color="auto"/>
        <w:right w:val="none" w:sz="0" w:space="0" w:color="auto"/>
      </w:divBdr>
      <w:divsChild>
        <w:div w:id="39206648">
          <w:marLeft w:val="0"/>
          <w:marRight w:val="0"/>
          <w:marTop w:val="0"/>
          <w:marBottom w:val="0"/>
          <w:divBdr>
            <w:top w:val="none" w:sz="0" w:space="0" w:color="auto"/>
            <w:left w:val="none" w:sz="0" w:space="0" w:color="auto"/>
            <w:bottom w:val="single" w:sz="12" w:space="0" w:color="EC5303"/>
            <w:right w:val="none" w:sz="0" w:space="0" w:color="auto"/>
          </w:divBdr>
          <w:divsChild>
            <w:div w:id="24642643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180</Words>
  <Characters>1032</Characters>
  <Application>Microsoft Office Word</Application>
  <DocSecurity>0</DocSecurity>
  <Lines>8</Lines>
  <Paragraphs>2</Paragraphs>
  <ScaleCrop>false</ScaleCrop>
  <Company>微软中国</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2013-05-16T08:46:00Z</dcterms:created>
  <dcterms:modified xsi:type="dcterms:W3CDTF">2013-05-16T09:00:00Z</dcterms:modified>
</cp:coreProperties>
</file>