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68F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rPr>
          <w:rFonts w:hint="eastAsia" w:ascii="微软雅黑" w:hAnsi="微软雅黑" w:eastAsia="微软雅黑" w:cs="微软雅黑"/>
          <w:i w:val="0"/>
          <w:caps w:val="0"/>
          <w:color w:val="000000"/>
          <w:spacing w:val="0"/>
          <w:sz w:val="24"/>
          <w:szCs w:val="24"/>
          <w:shd w:val="clear" w:color="auto" w:fill="FFFFFF"/>
          <w:lang w:eastAsia="zh-CN"/>
        </w:rPr>
      </w:pPr>
      <w:bookmarkStart w:id="0" w:name="_GoBack"/>
      <w:bookmarkEnd w:id="0"/>
      <w:r>
        <w:rPr>
          <w:rFonts w:hint="eastAsia" w:ascii="微软雅黑" w:hAnsi="微软雅黑" w:eastAsia="微软雅黑" w:cs="微软雅黑"/>
          <w:i w:val="0"/>
          <w:caps w:val="0"/>
          <w:color w:val="000000"/>
          <w:spacing w:val="0"/>
          <w:sz w:val="24"/>
          <w:szCs w:val="24"/>
          <w:shd w:val="clear" w:color="auto" w:fill="FFFFFF"/>
          <w:lang w:eastAsia="zh-CN"/>
        </w:rPr>
        <w:drawing>
          <wp:inline distT="0" distB="0" distL="114300" distR="114300">
            <wp:extent cx="5161915" cy="4467225"/>
            <wp:effectExtent l="0" t="0" r="635" b="9525"/>
            <wp:docPr id="6" name="图片 6" descr="微信图片_2025052915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529152923"/>
                    <pic:cNvPicPr>
                      <a:picLocks noChangeAspect="1"/>
                    </pic:cNvPicPr>
                  </pic:nvPicPr>
                  <pic:blipFill>
                    <a:blip r:embed="rId6"/>
                    <a:stretch>
                      <a:fillRect/>
                    </a:stretch>
                  </pic:blipFill>
                  <pic:spPr>
                    <a:xfrm>
                      <a:off x="0" y="0"/>
                      <a:ext cx="5161915" cy="4467225"/>
                    </a:xfrm>
                    <a:prstGeom prst="rect">
                      <a:avLst/>
                    </a:prstGeom>
                  </pic:spPr>
                </pic:pic>
              </a:graphicData>
            </a:graphic>
          </wp:inline>
        </w:drawing>
      </w:r>
    </w:p>
    <w:p w14:paraId="7BABB9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rPr>
          <w:color w:val="666666"/>
          <w:sz w:val="24"/>
          <w:szCs w:val="24"/>
        </w:rPr>
      </w:pPr>
      <w:r>
        <w:rPr>
          <w:rFonts w:ascii="微软雅黑" w:hAnsi="微软雅黑" w:eastAsia="微软雅黑" w:cs="微软雅黑"/>
          <w:i w:val="0"/>
          <w:caps w:val="0"/>
          <w:color w:val="000000"/>
          <w:spacing w:val="0"/>
          <w:sz w:val="24"/>
          <w:szCs w:val="24"/>
          <w:shd w:val="clear" w:color="auto" w:fill="FFFFFF"/>
        </w:rPr>
        <w:t>全自动液液萃取仪是真正意义上的可自动萃取，自动加液，自动放气，自动清洗，自动排废的液液萃取装置。适用于水质监测中的水中石油类等需要液液萃取的场合。也可用于水中的挥发酚、阴离子表面活性剂自动液液萃取。仪器由萃取瓶、气液泵及控制部分组成，采用半封闭式空气气流内循环震荡。其原理是利用气压将水样和萃取剂充分结合并激烈碰撞，以达到完全萃取的目的。彻底代替了人工摇晃，减轻了实验人员的劳动强度，</w:t>
      </w:r>
      <w:r>
        <w:rPr>
          <w:rFonts w:hint="eastAsia" w:ascii="微软雅黑" w:hAnsi="微软雅黑" w:eastAsia="微软雅黑" w:cs="微软雅黑"/>
          <w:i w:val="0"/>
          <w:caps w:val="0"/>
          <w:color w:val="000000"/>
          <w:spacing w:val="0"/>
          <w:sz w:val="24"/>
          <w:szCs w:val="24"/>
          <w:shd w:val="clear" w:color="auto" w:fill="FFFFFF"/>
        </w:rPr>
        <w:t>提高了萃取效率，使分析结果稳定更可靠。整个萃取实验过程全封闭，无须人工放气，可自动加液、排液、排废气、自动清洗，避免了人与有毒试剂的直接接触，保护了操作人员的身体健康。</w:t>
      </w:r>
      <w:r>
        <w:rPr>
          <w:rFonts w:hint="eastAsia" w:ascii="微软雅黑" w:hAnsi="微软雅黑" w:eastAsia="微软雅黑" w:cs="微软雅黑"/>
          <w:i w:val="0"/>
          <w:caps w:val="0"/>
          <w:color w:val="666666"/>
          <w:spacing w:val="0"/>
          <w:sz w:val="24"/>
          <w:szCs w:val="24"/>
          <w:shd w:val="clear" w:color="auto" w:fill="FFFFFF"/>
        </w:rPr>
        <w:t xml:space="preserve">        </w:t>
      </w:r>
    </w:p>
    <w:p w14:paraId="5EE8E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666666"/>
          <w:sz w:val="24"/>
          <w:szCs w:val="24"/>
        </w:rPr>
      </w:pPr>
      <w:r>
        <w:rPr>
          <w:rStyle w:val="8"/>
          <w:rFonts w:hint="eastAsia" w:ascii="微软雅黑" w:hAnsi="微软雅黑" w:eastAsia="微软雅黑" w:cs="微软雅黑"/>
          <w:i w:val="0"/>
          <w:caps w:val="0"/>
          <w:color w:val="FF0000"/>
          <w:spacing w:val="0"/>
          <w:sz w:val="24"/>
          <w:szCs w:val="24"/>
          <w:shd w:val="clear" w:color="auto" w:fill="FFFFFF"/>
        </w:rPr>
        <w:t>主要特点</w:t>
      </w:r>
    </w:p>
    <w:p w14:paraId="16665393">
      <w:pPr>
        <w:keepNext w:val="0"/>
        <w:keepLines w:val="0"/>
        <w:widowControl/>
        <w:suppressLineNumbers w:val="0"/>
        <w:shd w:val="clear" w:color="auto" w:fill="FFFFFF"/>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1、仪器机身采用框架一体式设计，稳固牢靠，主体采用1毫米厚度的品牌冷轧板配合静电粉末涂装，更加耐磨、耐腐蚀；</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2、从空开到触点，继电保护器到按钮开关等，选用正泰/德力西或同级别品牌电气，保证仪器品质和的使用寿命；</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3、采用PLC控制系统，性能稳定强劲，7寸触控屏能实现自动萃取、自动排气、自动加注试剂、自动清洗、自动排废等全流程控制；</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4、可一次性萃取1至6个样品，样品瓶是六套带聚四氟乙烯阀门的三口分液漏斗式萃取瓶，标配500ml或1000ml容量；</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FF0000"/>
          <w:spacing w:val="0"/>
          <w:kern w:val="0"/>
          <w:sz w:val="24"/>
          <w:szCs w:val="24"/>
          <w:shd w:val="clear" w:color="auto" w:fill="FFFFFF"/>
          <w:lang w:val="en-US" w:eastAsia="zh-CN" w:bidi="ar"/>
        </w:rPr>
        <w:t>☆</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5、通过高精度定量注射泵，实现每一路样品内萃取试剂的自动添加，加液全程闭环状态，实验人员与有害挥发溶剂无接触，保障实验人员身体健康；</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6、每一路萃取瓶均有独立插入萃取瓶底部的玻璃导气管（可根据客户的需求更换为聚四氟吹气塞和聚四氟乙烯导气管）用来进行萃取；</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7、采用半封闭式气流振荡原理通过内置气泵连续鼓气的工作方式实现震荡萃取，萃取强度可以由弱到强进行调节；</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8、反应过程中产生废气，自动统一通过过滤芯排废处理，无需手动放气，同时又避免了全封闭式的萃取瓶易爆裂风险；</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FF0000"/>
          <w:spacing w:val="0"/>
          <w:kern w:val="0"/>
          <w:sz w:val="24"/>
          <w:szCs w:val="24"/>
          <w:shd w:val="clear" w:color="auto" w:fill="FFFFFF"/>
          <w:lang w:val="en-US" w:eastAsia="zh-CN" w:bidi="ar"/>
        </w:rPr>
        <w:t>☆</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9、萃取瓶均有特制的玻璃喷洒式清洗塞，采用定压散射式广角清洗技术，全面覆盖整个分液漏斗内壁，双通道自动吸入洗涤剂和纯水，实现萃取瓶的自动冲洗；</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FF0000"/>
          <w:spacing w:val="0"/>
          <w:kern w:val="0"/>
          <w:sz w:val="24"/>
          <w:szCs w:val="24"/>
          <w:shd w:val="clear" w:color="auto" w:fill="FFFFFF"/>
          <w:lang w:val="en-US" w:eastAsia="zh-CN" w:bidi="ar"/>
        </w:rPr>
        <w:t>☆</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10、清洗后的废液通过独立可推拉的废液收集槽排入到主机内的废水箱中，废液收集槽由耐有机溶剂腐蚀POM材质打造；</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11、废液箱设有液位装置，到达预设水位后自动启动废液排放程序，经由活性炭过滤部分有毒有害物质后统一排废；</w:t>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color="auto" w:fill="FFFFFF"/>
          <w:lang w:val="en-US" w:eastAsia="zh-CN" w:bidi="ar"/>
        </w:rPr>
        <w:t>12、系统内自带说明书和服务中心二维码，手机扫码自动查看电子说明书和一键连接服务中心。 </w:t>
      </w:r>
    </w:p>
    <w:p w14:paraId="6F03FE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shd w:val="clear" w:color="auto" w:fill="FFFFFF"/>
        </w:rPr>
        <w:br w:type="textWrapping"/>
      </w:r>
      <w:r>
        <w:rPr>
          <w:rStyle w:val="8"/>
          <w:rFonts w:hint="eastAsia" w:ascii="微软雅黑" w:hAnsi="微软雅黑" w:eastAsia="微软雅黑" w:cs="微软雅黑"/>
          <w:i w:val="0"/>
          <w:caps w:val="0"/>
          <w:color w:val="FF0000"/>
          <w:spacing w:val="0"/>
          <w:sz w:val="24"/>
          <w:szCs w:val="24"/>
          <w:shd w:val="clear" w:color="auto" w:fill="FFFFFF"/>
        </w:rPr>
        <w:t>适用标准</w:t>
      </w:r>
    </w:p>
    <w:p w14:paraId="2FE423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000000"/>
          <w:spacing w:val="0"/>
          <w:sz w:val="24"/>
          <w:szCs w:val="24"/>
          <w:shd w:val="clear" w:color="auto" w:fill="FFFFFF"/>
        </w:rPr>
        <w:t>GB/T 7494-1987 水质 阴离子表面活性剂的测定 亚甲蓝分光光度法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637-2018 水质石油类和动植物油类的测定 红外分光光度法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970-2018 水质石油类的测定 紫外分光光度法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503-2009 水质 挥发酚的测定 4-氨基安替比林分光光度法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478-2009 水质 多环芳烃的测定 液液萃取和固相萃取高效液相色谱法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591-2010 水质 五氯酚的测定 气相色谱法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648-2013 水质 硝基苯类化合物的测定 液液萃取/固相萃取-气相色谱法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676-2013 水质 酚类化合物的测定 液液萃取 气相色谱法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744-2015 水质 酚类化合物的测定 气相色谱-质谱法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753-2015 水质 百菌清及拟除虫菊酯类农药的测定 气相色谱-质谱法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HJ 699-2014 水质 有机氯农药和氯苯类化合物的测定 气相色谱-质谱法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5750.4-2006 生活饮用水标准检验方法 感官性状和物理指标</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5750.5-2006 生活饮用水标准检验方法 无机非金属指标</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5750.6-2006 生活饮用水标准检验方法 金属指标</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5750.7-2006 生活饮用水标准检验方法 有机物综合指标</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5750.8-2006 生活饮用水标准检验方法 有机物指标</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5750.9-2006 生活饮用水标准检验方法 农药指标</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 5009.26-2016 食品安全国家标准 食品中N-亚硝胺类化合物的测定</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 5009.82-2016 食品安全国家标准 食品中维生素A、D、E的测定</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5009.20-2003 食品中有机磷农药残留量的测定</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5009.102-2003 植物性食品中辛硫磷农药残留量的测定</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5009.218-2008 水果和蔬菜中多种农药残留量的测定</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GB/T 20771-2008 蜂蜜中486种农药及相关化学品残留量的测定 液相色谱-串联质谱法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SN/T 1739-2006 进出口粮谷和油籽中多种有机磷农药残留量的检测方法 气相色谱串联质谱法</w:t>
      </w:r>
      <w:r>
        <w:rPr>
          <w:rFonts w:hint="eastAsia" w:ascii="微软雅黑" w:hAnsi="微软雅黑" w:eastAsia="微软雅黑" w:cs="微软雅黑"/>
          <w:i w:val="0"/>
          <w:caps w:val="0"/>
          <w:color w:val="000000"/>
          <w:spacing w:val="0"/>
          <w:sz w:val="24"/>
          <w:szCs w:val="24"/>
          <w:shd w:val="clear" w:color="auto" w:fill="FFFFFF"/>
        </w:rPr>
        <w:br w:type="textWrapping"/>
      </w:r>
      <w:r>
        <w:rPr>
          <w:rFonts w:hint="eastAsia" w:ascii="微软雅黑" w:hAnsi="微软雅黑" w:eastAsia="微软雅黑" w:cs="微软雅黑"/>
          <w:i w:val="0"/>
          <w:caps w:val="0"/>
          <w:color w:val="000000"/>
          <w:spacing w:val="0"/>
          <w:sz w:val="24"/>
          <w:szCs w:val="24"/>
          <w:shd w:val="clear" w:color="auto" w:fill="FFFFFF"/>
        </w:rPr>
        <w:t>SN/T 2158-2008 进出口食品中毒死蜱残留量检测方法</w:t>
      </w:r>
    </w:p>
    <w:p w14:paraId="5E2A5F1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8"/>
          <w:rFonts w:hint="eastAsia" w:ascii="微软雅黑" w:hAnsi="微软雅黑" w:eastAsia="微软雅黑" w:cs="微软雅黑"/>
          <w:i w:val="0"/>
          <w:caps w:val="0"/>
          <w:color w:val="FF0000"/>
          <w:spacing w:val="0"/>
          <w:kern w:val="0"/>
          <w:sz w:val="24"/>
          <w:szCs w:val="24"/>
          <w:shd w:val="clear" w:color="auto" w:fill="FFFFFF"/>
          <w:lang w:val="en-US" w:eastAsia="zh-CN" w:bidi="ar"/>
        </w:rPr>
      </w:pPr>
    </w:p>
    <w:p w14:paraId="464D70D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8"/>
          <w:rFonts w:hint="eastAsia" w:ascii="微软雅黑" w:hAnsi="微软雅黑" w:eastAsia="微软雅黑" w:cs="微软雅黑"/>
          <w:i w:val="0"/>
          <w:caps w:val="0"/>
          <w:color w:val="FF0000"/>
          <w:spacing w:val="0"/>
          <w:kern w:val="0"/>
          <w:sz w:val="24"/>
          <w:szCs w:val="24"/>
          <w:shd w:val="clear" w:color="auto" w:fill="FFFFFF"/>
          <w:lang w:val="en-US" w:eastAsia="zh-CN" w:bidi="ar"/>
        </w:rPr>
      </w:pPr>
    </w:p>
    <w:p w14:paraId="7B83F5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8"/>
          <w:rFonts w:hint="eastAsia" w:ascii="微软雅黑" w:hAnsi="微软雅黑" w:eastAsia="微软雅黑" w:cs="微软雅黑"/>
          <w:i w:val="0"/>
          <w:caps w:val="0"/>
          <w:color w:val="FF0000"/>
          <w:spacing w:val="0"/>
          <w:kern w:val="0"/>
          <w:sz w:val="24"/>
          <w:szCs w:val="24"/>
          <w:shd w:val="clear" w:color="auto" w:fill="FFFFFF"/>
          <w:lang w:val="en-US" w:eastAsia="zh-CN" w:bidi="ar"/>
        </w:rPr>
      </w:pPr>
    </w:p>
    <w:p w14:paraId="149A96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8"/>
          <w:rFonts w:hint="eastAsia" w:ascii="微软雅黑" w:hAnsi="微软雅黑" w:eastAsia="微软雅黑" w:cs="微软雅黑"/>
          <w:i w:val="0"/>
          <w:caps w:val="0"/>
          <w:color w:val="FF0000"/>
          <w:spacing w:val="0"/>
          <w:kern w:val="0"/>
          <w:sz w:val="24"/>
          <w:szCs w:val="24"/>
          <w:shd w:val="clear" w:color="auto" w:fill="FFFFFF"/>
          <w:lang w:val="en-US" w:eastAsia="zh-CN" w:bidi="ar"/>
        </w:rPr>
      </w:pPr>
    </w:p>
    <w:p w14:paraId="160AC7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8"/>
          <w:rFonts w:hint="eastAsia" w:ascii="微软雅黑" w:hAnsi="微软雅黑" w:eastAsia="微软雅黑" w:cs="微软雅黑"/>
          <w:i w:val="0"/>
          <w:caps w:val="0"/>
          <w:color w:val="FF0000"/>
          <w:spacing w:val="0"/>
          <w:kern w:val="0"/>
          <w:sz w:val="24"/>
          <w:szCs w:val="24"/>
          <w:shd w:val="clear" w:color="auto" w:fill="FFFFFF"/>
          <w:lang w:val="en-US" w:eastAsia="zh-CN" w:bidi="ar"/>
        </w:rPr>
      </w:pPr>
    </w:p>
    <w:p w14:paraId="6F9A9C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8"/>
          <w:rFonts w:hint="eastAsia" w:ascii="微软雅黑" w:hAnsi="微软雅黑" w:eastAsia="微软雅黑" w:cs="微软雅黑"/>
          <w:i w:val="0"/>
          <w:caps w:val="0"/>
          <w:color w:val="FF0000"/>
          <w:spacing w:val="0"/>
          <w:kern w:val="0"/>
          <w:sz w:val="24"/>
          <w:szCs w:val="24"/>
          <w:shd w:val="clear" w:color="auto" w:fill="FFFFFF"/>
          <w:lang w:val="en-US" w:eastAsia="zh-CN" w:bidi="ar"/>
        </w:rPr>
      </w:pPr>
    </w:p>
    <w:p w14:paraId="3316647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8"/>
          <w:rFonts w:hint="eastAsia" w:ascii="微软雅黑" w:hAnsi="微软雅黑" w:eastAsia="微软雅黑" w:cs="微软雅黑"/>
          <w:i w:val="0"/>
          <w:caps w:val="0"/>
          <w:color w:val="FF0000"/>
          <w:spacing w:val="0"/>
          <w:kern w:val="0"/>
          <w:sz w:val="24"/>
          <w:szCs w:val="24"/>
          <w:shd w:val="clear" w:color="auto" w:fill="FFFFFF"/>
          <w:lang w:val="en-US" w:eastAsia="zh-CN" w:bidi="ar"/>
        </w:rPr>
      </w:pPr>
    </w:p>
    <w:p w14:paraId="5FA617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8"/>
          <w:rFonts w:hint="default" w:ascii="微软雅黑" w:hAnsi="微软雅黑" w:eastAsia="微软雅黑" w:cs="微软雅黑"/>
          <w:i w:val="0"/>
          <w:caps w:val="0"/>
          <w:color w:val="FF0000"/>
          <w:spacing w:val="0"/>
          <w:kern w:val="0"/>
          <w:sz w:val="24"/>
          <w:szCs w:val="24"/>
          <w:shd w:val="clear" w:color="auto" w:fill="FFFFFF"/>
          <w:lang w:val="en-US" w:eastAsia="zh-CN" w:bidi="ar"/>
        </w:rPr>
      </w:pPr>
      <w:r>
        <w:rPr>
          <w:rStyle w:val="8"/>
          <w:rFonts w:hint="eastAsia" w:ascii="微软雅黑" w:hAnsi="微软雅黑" w:eastAsia="微软雅黑" w:cs="微软雅黑"/>
          <w:i w:val="0"/>
          <w:caps w:val="0"/>
          <w:color w:val="FF0000"/>
          <w:spacing w:val="0"/>
          <w:kern w:val="0"/>
          <w:sz w:val="24"/>
          <w:szCs w:val="24"/>
          <w:shd w:val="clear" w:color="auto" w:fill="FFFFFF"/>
          <w:lang w:val="en-US" w:eastAsia="zh-CN" w:bidi="ar"/>
        </w:rPr>
        <w:t>主要参数</w:t>
      </w:r>
    </w:p>
    <w:tbl>
      <w:tblPr>
        <w:tblStyle w:val="5"/>
        <w:tblW w:w="8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12"/>
        <w:gridCol w:w="4029"/>
        <w:gridCol w:w="2870"/>
      </w:tblGrid>
      <w:tr w14:paraId="4768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237BAAF9">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名称</w:t>
            </w:r>
          </w:p>
        </w:tc>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59EF0AA7">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全自动液液萃取仪</w:t>
            </w:r>
          </w:p>
        </w:tc>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56167C4D">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智能液液萃取仪</w:t>
            </w:r>
          </w:p>
        </w:tc>
      </w:tr>
      <w:tr w14:paraId="6CDB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25348DF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型号</w:t>
            </w:r>
          </w:p>
        </w:tc>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256C76E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CM-6Z</w:t>
            </w:r>
          </w:p>
        </w:tc>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79319B2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CM-6S</w:t>
            </w:r>
          </w:p>
        </w:tc>
      </w:tr>
      <w:tr w14:paraId="7F22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706D95F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控制方式</w:t>
            </w:r>
          </w:p>
        </w:tc>
        <w:tc>
          <w:tcPr>
            <w:tcW w:w="0" w:type="auto"/>
            <w:gridSpan w:val="2"/>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51F8A878">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PLC控制+7寸触控屏</w:t>
            </w:r>
          </w:p>
        </w:tc>
      </w:tr>
      <w:tr w14:paraId="718C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4520CDD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萃取样品数量</w:t>
            </w:r>
          </w:p>
        </w:tc>
        <w:tc>
          <w:tcPr>
            <w:tcW w:w="0" w:type="auto"/>
            <w:gridSpan w:val="2"/>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39431EC0">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     标配6个500ml或1000ml萃取瓶</w:t>
            </w:r>
          </w:p>
        </w:tc>
      </w:tr>
      <w:tr w14:paraId="1F3C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5A99C94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试剂添加方式</w:t>
            </w:r>
          </w:p>
        </w:tc>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253051B7">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高精度注射泵自动添加</w:t>
            </w:r>
          </w:p>
        </w:tc>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1D676FDC">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手动添加</w:t>
            </w:r>
          </w:p>
        </w:tc>
      </w:tr>
      <w:tr w14:paraId="7A47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56DD012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萃取方式</w:t>
            </w:r>
          </w:p>
        </w:tc>
        <w:tc>
          <w:tcPr>
            <w:tcW w:w="0" w:type="auto"/>
            <w:gridSpan w:val="2"/>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55AA807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半封闭式空气循环震荡，单独控制自动萃取</w:t>
            </w:r>
          </w:p>
        </w:tc>
      </w:tr>
      <w:tr w14:paraId="2B79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348D26B4">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萃取强度</w:t>
            </w:r>
          </w:p>
        </w:tc>
        <w:tc>
          <w:tcPr>
            <w:tcW w:w="0" w:type="auto"/>
            <w:gridSpan w:val="2"/>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085BE46F">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可调，由弱到强</w:t>
            </w:r>
          </w:p>
        </w:tc>
      </w:tr>
      <w:tr w14:paraId="3B57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02982DB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萃取时间及方式</w:t>
            </w:r>
          </w:p>
        </w:tc>
        <w:tc>
          <w:tcPr>
            <w:tcW w:w="0" w:type="auto"/>
            <w:gridSpan w:val="2"/>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5D4E8CD2">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0~999秒之间可调，0~99次</w:t>
            </w:r>
          </w:p>
        </w:tc>
      </w:tr>
      <w:tr w14:paraId="3B43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6D50249E">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萃取后处理</w:t>
            </w:r>
          </w:p>
        </w:tc>
        <w:tc>
          <w:tcPr>
            <w:tcW w:w="0" w:type="auto"/>
            <w:gridSpan w:val="2"/>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231DF570">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静置分层，手工放液</w:t>
            </w:r>
          </w:p>
        </w:tc>
      </w:tr>
      <w:tr w14:paraId="25F0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0D7766A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清洗时间及方式</w:t>
            </w:r>
          </w:p>
        </w:tc>
        <w:tc>
          <w:tcPr>
            <w:tcW w:w="0" w:type="auto"/>
            <w:gridSpan w:val="2"/>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61766D5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双通道自动吸入洗涤剂或纯水，自动冲洗</w:t>
            </w:r>
          </w:p>
        </w:tc>
      </w:tr>
      <w:tr w14:paraId="2C66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11235952">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废气处理</w:t>
            </w:r>
          </w:p>
        </w:tc>
        <w:tc>
          <w:tcPr>
            <w:tcW w:w="0" w:type="auto"/>
            <w:gridSpan w:val="2"/>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3FDDE59B">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自动放气，操作过程中无需手动放，废气由过滤储罐过滤吸附后集中收集处理</w:t>
            </w:r>
          </w:p>
        </w:tc>
      </w:tr>
      <w:tr w14:paraId="32D6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0E161BA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废液处理</w:t>
            </w:r>
          </w:p>
        </w:tc>
        <w:tc>
          <w:tcPr>
            <w:tcW w:w="0" w:type="auto"/>
            <w:gridSpan w:val="2"/>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top"/>
          </w:tcPr>
          <w:p w14:paraId="201D3A7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lang w:val="en-US" w:eastAsia="zh-CN" w:bidi="ar"/>
              </w:rPr>
              <w:t>自动排废液，废液经由活性炭储罐过滤吸附后集中处理</w:t>
            </w:r>
          </w:p>
        </w:tc>
      </w:tr>
    </w:tbl>
    <w:p w14:paraId="736A631F">
      <w:pPr>
        <w:jc w:val="both"/>
        <w:rPr>
          <w:rFonts w:ascii="宋体" w:hAnsi="宋体" w:eastAsia="宋体" w:cs="宋体"/>
          <w:sz w:val="24"/>
          <w:szCs w:val="24"/>
        </w:rPr>
      </w:pPr>
    </w:p>
    <w:p w14:paraId="1AC4E6F8">
      <w:pPr>
        <w:ind w:left="490" w:leftChars="100" w:hanging="280" w:hangingChars="100"/>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E095">
    <w:pPr>
      <w:pStyle w:val="2"/>
      <w:rPr>
        <w:rFonts w:hint="default"/>
        <w:lang w:val="en-US"/>
      </w:rPr>
    </w:pPr>
    <w: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8117840" cy="410845"/>
          <wp:effectExtent l="0" t="0" r="16510" b="825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flipV="1">
                    <a:off x="0" y="0"/>
                    <a:ext cx="8117840" cy="410845"/>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hint="eastAsia"/>
        <w:lang w:val="en-US" w:eastAsia="zh-CN"/>
      </w:rPr>
      <w:t xml:space="preserve">                       </w:t>
    </w:r>
    <w:r>
      <w:rPr>
        <w:rFonts w:hint="eastAsia"/>
        <w:sz w:val="28"/>
        <w:szCs w:val="28"/>
        <w:lang w:val="en-US" w:eastAsia="zh-CN"/>
      </w:rPr>
      <w:t xml:space="preserve">        www.cm17.com.cn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0C210">
    <w:pPr>
      <w:pStyle w:val="3"/>
      <w:pBdr>
        <w:bottom w:val="double" w:color="auto" w:sz="8" w:space="1"/>
      </w:pBdr>
      <w:rPr>
        <w:rFonts w:hint="default"/>
        <w:sz w:val="24"/>
        <w:szCs w:val="24"/>
        <w:lang w:val="en-US"/>
      </w:rPr>
    </w:pPr>
    <w:r>
      <w:drawing>
        <wp:inline distT="0" distB="0" distL="114300" distR="114300">
          <wp:extent cx="935355" cy="549910"/>
          <wp:effectExtent l="0" t="0" r="17145" b="2540"/>
          <wp:docPr id="2" name="图片 2" descr="成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成萌logo"/>
                  <pic:cNvPicPr>
                    <a:picLocks noChangeAspect="1"/>
                  </pic:cNvPicPr>
                </pic:nvPicPr>
                <pic:blipFill>
                  <a:blip r:embed="rId1"/>
                  <a:stretch>
                    <a:fillRect/>
                  </a:stretch>
                </pic:blipFill>
                <pic:spPr>
                  <a:xfrm>
                    <a:off x="0" y="0"/>
                    <a:ext cx="935355" cy="549910"/>
                  </a:xfrm>
                  <a:prstGeom prst="rect">
                    <a:avLst/>
                  </a:prstGeom>
                </pic:spPr>
              </pic:pic>
            </a:graphicData>
          </a:graphic>
        </wp:inline>
      </w:drawing>
    </w:r>
    <w: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8117840" cy="410845"/>
          <wp:effectExtent l="0" t="0" r="16510" b="825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
                  <a:stretch>
                    <a:fillRect/>
                  </a:stretch>
                </pic:blipFill>
                <pic:spPr>
                  <a:xfrm flipH="1">
                    <a:off x="0" y="0"/>
                    <a:ext cx="8117840" cy="410845"/>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hint="eastAsia"/>
        <w:lang w:val="en-US" w:eastAsia="zh-CN"/>
      </w:rPr>
      <w:t xml:space="preserve">                                         </w:t>
    </w:r>
    <w:r>
      <w:rPr>
        <w:rFonts w:hint="eastAsia"/>
        <w:sz w:val="24"/>
        <w:szCs w:val="24"/>
        <w:lang w:val="en-US" w:eastAsia="zh-CN"/>
      </w:rPr>
      <w:t>北京成萌伟业科技有限公司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ZmM1ZWViYjczNTMyNmY2MmUzMjcwZmUyMWVjYzAifQ=="/>
  </w:docVars>
  <w:rsids>
    <w:rsidRoot w:val="16D4159F"/>
    <w:rsid w:val="0004268A"/>
    <w:rsid w:val="003C7F2A"/>
    <w:rsid w:val="004161A6"/>
    <w:rsid w:val="0052640E"/>
    <w:rsid w:val="005928A0"/>
    <w:rsid w:val="005C07D2"/>
    <w:rsid w:val="00647856"/>
    <w:rsid w:val="006C0AFD"/>
    <w:rsid w:val="008C198C"/>
    <w:rsid w:val="00BC1C95"/>
    <w:rsid w:val="00D928E7"/>
    <w:rsid w:val="00DD2F91"/>
    <w:rsid w:val="00EF7897"/>
    <w:rsid w:val="00FE4E2D"/>
    <w:rsid w:val="01E105E7"/>
    <w:rsid w:val="03BE196A"/>
    <w:rsid w:val="052960F9"/>
    <w:rsid w:val="08FA14EA"/>
    <w:rsid w:val="09CD233F"/>
    <w:rsid w:val="16D4159F"/>
    <w:rsid w:val="17085069"/>
    <w:rsid w:val="1D00182B"/>
    <w:rsid w:val="26985CA9"/>
    <w:rsid w:val="274539B5"/>
    <w:rsid w:val="2EFA733D"/>
    <w:rsid w:val="32153C83"/>
    <w:rsid w:val="34821FF4"/>
    <w:rsid w:val="36352F14"/>
    <w:rsid w:val="36CD599F"/>
    <w:rsid w:val="3A1873A8"/>
    <w:rsid w:val="3D493A27"/>
    <w:rsid w:val="410C4206"/>
    <w:rsid w:val="4200120D"/>
    <w:rsid w:val="42373953"/>
    <w:rsid w:val="453C2005"/>
    <w:rsid w:val="48E46C3C"/>
    <w:rsid w:val="49227AAF"/>
    <w:rsid w:val="4BB71A34"/>
    <w:rsid w:val="4C283810"/>
    <w:rsid w:val="4C3310C4"/>
    <w:rsid w:val="5AE543A0"/>
    <w:rsid w:val="64CE2568"/>
    <w:rsid w:val="6C236DB5"/>
    <w:rsid w:val="6E0036B3"/>
    <w:rsid w:val="6E34249A"/>
    <w:rsid w:val="6E444B39"/>
    <w:rsid w:val="71005834"/>
    <w:rsid w:val="719F4BAB"/>
    <w:rsid w:val="7D03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p0"/>
    <w:basedOn w:val="1"/>
    <w:qFormat/>
    <w:uiPriority w:val="0"/>
    <w:pPr>
      <w:widowControl/>
    </w:pPr>
    <w:rPr>
      <w:kern w:val="0"/>
      <w:szCs w:val="21"/>
    </w:rPr>
  </w:style>
  <w:style w:type="paragraph" w:customStyle="1" w:styleId="10">
    <w:name w:val="列出段落1"/>
    <w:basedOn w:val="1"/>
    <w:qFormat/>
    <w:uiPriority w:val="34"/>
    <w:pPr>
      <w:ind w:firstLine="420" w:firstLineChars="200"/>
    </w:pPr>
  </w:style>
  <w:style w:type="paragraph" w:customStyle="1" w:styleId="11">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1723</Words>
  <Characters>2041</Characters>
  <Lines>9</Lines>
  <Paragraphs>2</Paragraphs>
  <TotalTime>3</TotalTime>
  <ScaleCrop>false</ScaleCrop>
  <LinksUpToDate>false</LinksUpToDate>
  <CharactersWithSpaces>2136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2020-04-14T01:12:00Z</dcterms:created>
  <dc:creator>北京谱莱析</dc:creator>
  <cp:lastModifiedBy>WPS_1527896917</cp:lastModifiedBy>
  <cp:lastPrinted>2023-05-18T08:11:00Z</cp:lastPrinted>
  <dcterms:modified xsi:type="dcterms:W3CDTF">2026-03-16T09:42:15Z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4CF01491201149CF807D07C60FAB6385_13</vt:lpwstr>
  </property>
  <property fmtid="{D5CDD505-2E9C-101B-9397-08002B2CF9AE}" pid="4" name="KSOTemplateDocerSaveRecord">
    <vt:lpwstr>eyJoZGlkIjoiMzcxYjJhNDY3ZTYzMzRiYzI2YjVhMDljYTA0NDQzOGIiLCJ1c2VySWQiOiIzNzU0NTA2NjEifQ==</vt:lpwstr>
  </property>
</Properties>
</file>