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654"/>
          <w:tab w:val="left" w:pos="1374"/>
          <w:tab w:val="left" w:pos="2094"/>
          <w:tab w:val="left" w:pos="2814"/>
          <w:tab w:val="left" w:pos="3534"/>
          <w:tab w:val="left" w:pos="4254"/>
          <w:tab w:val="left" w:pos="4974"/>
          <w:tab w:val="left" w:pos="5694"/>
          <w:tab w:val="left" w:pos="6414"/>
          <w:tab w:val="left" w:pos="7134"/>
          <w:tab w:val="left" w:pos="7854"/>
          <w:tab w:val="left" w:pos="8574"/>
          <w:tab w:val="left" w:pos="9294"/>
          <w:tab w:val="left" w:pos="9360"/>
        </w:tabs>
        <w:autoSpaceDE w:val="0"/>
        <w:autoSpaceDN w:val="0"/>
        <w:adjustRightInd w:val="0"/>
        <w:spacing w:line="360" w:lineRule="auto"/>
        <w:jc w:val="center"/>
        <w:rPr>
          <w:rFonts w:ascii="方正小标宋简体" w:hAnsi="方正小标宋简体" w:eastAsia="方正小标宋简体" w:cs="Times New Roman"/>
          <w:b/>
          <w:bCs/>
          <w:color w:val="000000"/>
          <w:kern w:val="0"/>
          <w:sz w:val="36"/>
          <w:szCs w:val="36"/>
        </w:rPr>
      </w:pPr>
      <w:bookmarkStart w:id="1" w:name="_GoBack"/>
      <w:bookmarkEnd w:id="1"/>
      <w:r>
        <w:rPr>
          <w:rFonts w:ascii="方正小标宋简体" w:hAnsi="方正小标宋简体" w:eastAsia="方正小标宋简体" w:cs="PingFang TC"/>
          <w:b/>
          <w:bCs/>
          <w:color w:val="000000"/>
          <w:kern w:val="0"/>
          <w:sz w:val="36"/>
          <w:szCs w:val="36"/>
        </w:rPr>
        <w:t>中</w:t>
      </w:r>
      <w:r>
        <w:rPr>
          <w:rFonts w:hint="eastAsia" w:ascii="方正小标宋简体" w:hAnsi="方正小标宋简体" w:eastAsia="方正小标宋简体" w:cs="PingFang TC"/>
          <w:b/>
          <w:bCs/>
          <w:color w:val="000000"/>
          <w:kern w:val="0"/>
          <w:sz w:val="36"/>
          <w:szCs w:val="36"/>
        </w:rPr>
        <w:t>国</w:t>
      </w:r>
      <w:r>
        <w:rPr>
          <w:rFonts w:ascii="方正小标宋简体" w:hAnsi="方正小标宋简体" w:eastAsia="方正小标宋简体" w:cs="PingFang TC"/>
          <w:b/>
          <w:bCs/>
          <w:color w:val="000000"/>
          <w:kern w:val="0"/>
          <w:sz w:val="36"/>
          <w:szCs w:val="36"/>
        </w:rPr>
        <w:t>科</w:t>
      </w:r>
      <w:r>
        <w:rPr>
          <w:rFonts w:hint="eastAsia" w:ascii="方正小标宋简体" w:hAnsi="方正小标宋简体" w:eastAsia="方正小标宋简体" w:cs="PingFang TC"/>
          <w:b/>
          <w:bCs/>
          <w:color w:val="000000"/>
          <w:kern w:val="0"/>
          <w:sz w:val="36"/>
          <w:szCs w:val="36"/>
        </w:rPr>
        <w:t>学</w:t>
      </w:r>
      <w:r>
        <w:rPr>
          <w:rFonts w:ascii="方正小标宋简体" w:hAnsi="方正小标宋简体" w:eastAsia="方正小标宋简体" w:cs="PingFang TC"/>
          <w:b/>
          <w:bCs/>
          <w:color w:val="000000"/>
          <w:kern w:val="0"/>
          <w:sz w:val="36"/>
          <w:szCs w:val="36"/>
        </w:rPr>
        <w:t>技</w:t>
      </w:r>
      <w:r>
        <w:rPr>
          <w:rFonts w:hint="eastAsia" w:ascii="方正小标宋简体" w:hAnsi="方正小标宋简体" w:eastAsia="方正小标宋简体" w:cs="PingFang TC"/>
          <w:b/>
          <w:bCs/>
          <w:color w:val="000000"/>
          <w:kern w:val="0"/>
          <w:sz w:val="36"/>
          <w:szCs w:val="36"/>
        </w:rPr>
        <w:t>术</w:t>
      </w:r>
      <w:r>
        <w:rPr>
          <w:rFonts w:ascii="方正小标宋简体" w:hAnsi="方正小标宋简体" w:eastAsia="方正小标宋简体" w:cs="PingFang TC"/>
          <w:b/>
          <w:bCs/>
          <w:color w:val="000000"/>
          <w:kern w:val="0"/>
          <w:sz w:val="36"/>
          <w:szCs w:val="36"/>
        </w:rPr>
        <w:t>大</w:t>
      </w:r>
      <w:r>
        <w:rPr>
          <w:rFonts w:hint="eastAsia" w:ascii="方正小标宋简体" w:hAnsi="方正小标宋简体" w:eastAsia="方正小标宋简体" w:cs="PingFang TC"/>
          <w:b/>
          <w:bCs/>
          <w:color w:val="000000"/>
          <w:kern w:val="0"/>
          <w:sz w:val="36"/>
          <w:szCs w:val="36"/>
        </w:rPr>
        <w:t>学</w:t>
      </w:r>
      <w:r>
        <w:rPr>
          <w:rFonts w:ascii="方正小标宋简体" w:hAnsi="方正小标宋简体" w:eastAsia="方正小标宋简体" w:cs="PingFang TC"/>
          <w:b/>
          <w:bCs/>
          <w:color w:val="000000"/>
          <w:kern w:val="0"/>
          <w:sz w:val="36"/>
          <w:szCs w:val="36"/>
        </w:rPr>
        <w:t>同步</w:t>
      </w:r>
      <w:r>
        <w:rPr>
          <w:rFonts w:hint="eastAsia" w:ascii="方正小标宋简体" w:hAnsi="方正小标宋简体" w:eastAsia="方正小标宋简体" w:cs="PingFang TC"/>
          <w:b/>
          <w:bCs/>
          <w:color w:val="000000"/>
          <w:kern w:val="0"/>
          <w:sz w:val="36"/>
          <w:szCs w:val="36"/>
        </w:rPr>
        <w:t>辐</w:t>
      </w:r>
      <w:r>
        <w:rPr>
          <w:rFonts w:ascii="方正小标宋简体" w:hAnsi="方正小标宋简体" w:eastAsia="方正小标宋简体" w:cs="PingFang TC"/>
          <w:b/>
          <w:bCs/>
          <w:color w:val="000000"/>
          <w:kern w:val="0"/>
          <w:sz w:val="36"/>
          <w:szCs w:val="36"/>
        </w:rPr>
        <w:t>射</w:t>
      </w:r>
      <w:r>
        <w:rPr>
          <w:rFonts w:hint="eastAsia" w:ascii="方正小标宋简体" w:hAnsi="方正小标宋简体" w:eastAsia="方正小标宋简体" w:cs="PingFang TC"/>
          <w:b/>
          <w:bCs/>
          <w:color w:val="000000"/>
          <w:kern w:val="0"/>
          <w:sz w:val="36"/>
          <w:szCs w:val="36"/>
        </w:rPr>
        <w:t>联</w:t>
      </w:r>
      <w:r>
        <w:rPr>
          <w:rFonts w:ascii="方正小标宋简体" w:hAnsi="方正小标宋简体" w:eastAsia="方正小标宋简体" w:cs="PingFang TC"/>
          <w:b/>
          <w:bCs/>
          <w:color w:val="000000"/>
          <w:kern w:val="0"/>
          <w:sz w:val="36"/>
          <w:szCs w:val="36"/>
        </w:rPr>
        <w:t>合基金</w:t>
      </w:r>
    </w:p>
    <w:p>
      <w:pPr>
        <w:tabs>
          <w:tab w:val="left" w:pos="360"/>
          <w:tab w:val="left" w:pos="654"/>
          <w:tab w:val="left" w:pos="1374"/>
          <w:tab w:val="left" w:pos="2094"/>
          <w:tab w:val="left" w:pos="2814"/>
          <w:tab w:val="left" w:pos="3534"/>
          <w:tab w:val="left" w:pos="4254"/>
          <w:tab w:val="left" w:pos="4974"/>
          <w:tab w:val="left" w:pos="5694"/>
          <w:tab w:val="left" w:pos="6414"/>
          <w:tab w:val="left" w:pos="7134"/>
          <w:tab w:val="left" w:pos="7854"/>
          <w:tab w:val="left" w:pos="8574"/>
          <w:tab w:val="left" w:pos="9294"/>
          <w:tab w:val="left" w:pos="9360"/>
        </w:tabs>
        <w:autoSpaceDE w:val="0"/>
        <w:autoSpaceDN w:val="0"/>
        <w:adjustRightInd w:val="0"/>
        <w:spacing w:line="360" w:lineRule="auto"/>
        <w:jc w:val="center"/>
        <w:rPr>
          <w:rFonts w:ascii="方正小标宋简体" w:hAnsi="方正小标宋简体" w:eastAsia="方正小标宋简体" w:cs="Times New Roman"/>
          <w:color w:val="000000"/>
          <w:kern w:val="0"/>
          <w:sz w:val="36"/>
          <w:szCs w:val="36"/>
        </w:rPr>
      </w:pPr>
      <w:r>
        <w:rPr>
          <w:rFonts w:ascii="方正小标宋简体" w:hAnsi="方正小标宋简体" w:eastAsia="方正小标宋简体" w:cs="Times New Roman"/>
          <w:b/>
          <w:bCs/>
          <w:color w:val="000000"/>
          <w:kern w:val="0"/>
          <w:sz w:val="36"/>
          <w:szCs w:val="36"/>
        </w:rPr>
        <w:t>2023</w:t>
      </w:r>
      <w:r>
        <w:rPr>
          <w:rFonts w:ascii="方正小标宋简体" w:hAnsi="方正小标宋简体" w:eastAsia="方正小标宋简体" w:cs="PingFang TC"/>
          <w:b/>
          <w:bCs/>
          <w:color w:val="000000"/>
          <w:kern w:val="0"/>
          <w:sz w:val="36"/>
          <w:szCs w:val="36"/>
        </w:rPr>
        <w:t>年度</w:t>
      </w:r>
      <w:r>
        <w:rPr>
          <w:rFonts w:hint="eastAsia" w:ascii="方正小标宋简体" w:hAnsi="方正小标宋简体" w:eastAsia="方正小标宋简体" w:cs="PingFang TC"/>
          <w:b/>
          <w:bCs/>
          <w:color w:val="000000"/>
          <w:kern w:val="0"/>
          <w:sz w:val="36"/>
          <w:szCs w:val="36"/>
        </w:rPr>
        <w:t>项</w:t>
      </w:r>
      <w:r>
        <w:rPr>
          <w:rFonts w:ascii="方正小标宋简体" w:hAnsi="方正小标宋简体" w:eastAsia="方正小标宋简体" w:cs="PingFang TC"/>
          <w:b/>
          <w:bCs/>
          <w:color w:val="000000"/>
          <w:kern w:val="0"/>
          <w:sz w:val="36"/>
          <w:szCs w:val="36"/>
        </w:rPr>
        <w:t>目申</w:t>
      </w:r>
      <w:r>
        <w:rPr>
          <w:rFonts w:hint="eastAsia" w:ascii="方正小标宋简体" w:hAnsi="方正小标宋简体" w:eastAsia="方正小标宋简体" w:cs="PingFang TC"/>
          <w:b/>
          <w:bCs/>
          <w:color w:val="000000"/>
          <w:kern w:val="0"/>
          <w:sz w:val="36"/>
          <w:szCs w:val="36"/>
        </w:rPr>
        <w:t>请</w:t>
      </w:r>
      <w:r>
        <w:rPr>
          <w:rFonts w:ascii="方正小标宋简体" w:hAnsi="方正小标宋简体" w:eastAsia="方正小标宋简体" w:cs="PingFang TC"/>
          <w:b/>
          <w:bCs/>
          <w:color w:val="000000"/>
          <w:kern w:val="0"/>
          <w:sz w:val="36"/>
          <w:szCs w:val="36"/>
        </w:rPr>
        <w:t>指南</w:t>
      </w:r>
    </w:p>
    <w:p>
      <w:pPr>
        <w:tabs>
          <w:tab w:val="left" w:pos="360"/>
          <w:tab w:val="left" w:pos="654"/>
          <w:tab w:val="left" w:pos="1374"/>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firstLine="54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中国科学技术大学国家同步辐射实验室与科研部共同设立同步辐射联合基金，旨在促进我校科研人员依托合肥同步辐射光源开展综合交叉研究，或瞄准合肥先进光源关键技术开展联合攻关研发。本年度同步辐射联合基金将以合肥先进光源关键技术需求为导向，重点资助与院系的联合攻关研发。</w:t>
      </w:r>
    </w:p>
    <w:p>
      <w:pPr>
        <w:tabs>
          <w:tab w:val="left" w:pos="360"/>
          <w:tab w:val="left" w:pos="654"/>
          <w:tab w:val="left" w:pos="1374"/>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firstLine="54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2023年度重点资助以下方向：</w:t>
      </w:r>
    </w:p>
    <w:p>
      <w:pPr>
        <w:pStyle w:val="8"/>
        <w:numPr>
          <w:ilvl w:val="0"/>
          <w:numId w:val="1"/>
        </w:numPr>
        <w:tabs>
          <w:tab w:val="left" w:pos="360"/>
          <w:tab w:val="left" w:pos="654"/>
          <w:tab w:val="left" w:pos="1374"/>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40"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综合交叉研究</w:t>
      </w:r>
    </w:p>
    <w:p>
      <w:pPr>
        <w:pStyle w:val="8"/>
        <w:numPr>
          <w:ilvl w:val="0"/>
          <w:numId w:val="2"/>
        </w:numPr>
        <w:tabs>
          <w:tab w:val="left" w:pos="360"/>
          <w:tab w:val="left" w:pos="654"/>
          <w:tab w:val="left" w:pos="993"/>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40"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多物理场下的催化过程优化及动力学调控。发展瞬态动力学分析方法及配套的原位反应装置，结合基于红外自由电子激光和同步辐射的表面增强红外、（准）原位X射线芯能级谱学、紫外光电离质谱等多谱学表征技术，关联多层次的动态物质结构，确定多物理场对活性结构、反应路径和宏观动力学行为的调控，得到并优化动态动力学模型。</w:t>
      </w:r>
    </w:p>
    <w:p>
      <w:pPr>
        <w:pStyle w:val="8"/>
        <w:numPr>
          <w:ilvl w:val="0"/>
          <w:numId w:val="2"/>
        </w:numPr>
        <w:tabs>
          <w:tab w:val="left" w:pos="360"/>
          <w:tab w:val="left" w:pos="654"/>
          <w:tab w:val="left" w:pos="993"/>
          <w:tab w:val="left" w:pos="1374"/>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40"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面向同步辐射高通量、多模态的新实验模式，研究自动化与智能化实验控制软件系统和在线数据快速处理与反馈软件系统；研究大数据+人工智能在自动化传样、复杂实验控制、数据采集优化、计算密集型数据处理结果快速预测中的应用。</w:t>
      </w:r>
    </w:p>
    <w:p>
      <w:pPr>
        <w:pStyle w:val="8"/>
        <w:numPr>
          <w:ilvl w:val="0"/>
          <w:numId w:val="2"/>
        </w:numPr>
        <w:tabs>
          <w:tab w:val="left" w:pos="360"/>
          <w:tab w:val="left" w:pos="654"/>
          <w:tab w:val="left" w:pos="993"/>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40"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发展基于特征工程的谱学特征提取技术，基于化学环境聚类分析，采用无监督的启发性聚类算法，实现对高通量多谱学大数据中典型化学环境的分类和归属；采用有监督的机器学习分类和回归算法，从海量谱学数据中提取真实催化过程中的原位动态结构信息。</w:t>
      </w:r>
    </w:p>
    <w:p>
      <w:pPr>
        <w:pStyle w:val="8"/>
        <w:numPr>
          <w:ilvl w:val="0"/>
          <w:numId w:val="1"/>
        </w:numPr>
        <w:tabs>
          <w:tab w:val="left" w:pos="360"/>
          <w:tab w:val="left" w:pos="654"/>
          <w:tab w:val="left" w:pos="1374"/>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40"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信息技术研发</w:t>
      </w:r>
    </w:p>
    <w:p>
      <w:pPr>
        <w:tabs>
          <w:tab w:val="left" w:pos="565"/>
          <w:tab w:val="left" w:pos="851"/>
          <w:tab w:val="left" w:pos="1134"/>
          <w:tab w:val="left" w:pos="4253"/>
          <w:tab w:val="left" w:pos="4974"/>
          <w:tab w:val="left" w:pos="5694"/>
          <w:tab w:val="left" w:pos="6414"/>
          <w:tab w:val="left" w:pos="7134"/>
          <w:tab w:val="left" w:pos="7800"/>
        </w:tabs>
        <w:autoSpaceDE w:val="0"/>
        <w:autoSpaceDN w:val="0"/>
        <w:adjustRightInd w:val="0"/>
        <w:spacing w:line="520" w:lineRule="exact"/>
        <w:ind w:firstLine="566" w:firstLineChars="236"/>
        <w:rPr>
          <w:rFonts w:ascii="Times New Roman" w:hAnsi="Times New Roman" w:eastAsia="仿宋" w:cs="Times New Roman"/>
          <w:color w:val="000000"/>
          <w:kern w:val="0"/>
          <w:sz w:val="24"/>
        </w:rPr>
      </w:pPr>
      <w:bookmarkStart w:id="0" w:name="_Hlk137819644"/>
      <w:r>
        <w:rPr>
          <w:rFonts w:ascii="Times New Roman" w:hAnsi="Times New Roman" w:eastAsia="仿宋" w:cs="Times New Roman"/>
          <w:color w:val="000000"/>
          <w:kern w:val="0"/>
          <w:sz w:val="24"/>
        </w:rPr>
        <w:t>低时延束流位置测量(DBPM)处理器研发，包括：基于导频技术的增益补偿，实现通道间增益不一致性的实时修正；设计束流位置信息采集硬件，具备自动增益调节、~500 MHz输入射频信号采样、位置信息实时计算和基于光纤接口的通信功能，快获取（FA）模式下位置分辨率&lt;200 nm@≥20 kHz（并尝试50 kHz更新率，此时位置分辨率&lt;300 nm），处理延时&lt;90 μs。</w:t>
      </w:r>
    </w:p>
    <w:p>
      <w:pPr>
        <w:pStyle w:val="8"/>
        <w:numPr>
          <w:ilvl w:val="0"/>
          <w:numId w:val="1"/>
        </w:numPr>
        <w:tabs>
          <w:tab w:val="left" w:pos="360"/>
          <w:tab w:val="left" w:pos="654"/>
          <w:tab w:val="left" w:pos="1374"/>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40"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光束线关键技术研发</w:t>
      </w:r>
    </w:p>
    <w:bookmarkEnd w:id="0"/>
    <w:p>
      <w:pPr>
        <w:pStyle w:val="8"/>
        <w:numPr>
          <w:ilvl w:val="0"/>
          <w:numId w:val="3"/>
        </w:numPr>
        <w:tabs>
          <w:tab w:val="left" w:pos="0"/>
          <w:tab w:val="left" w:pos="993"/>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67"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光束线关键部件振动稳定性分析、测试与优化，包括：镜箱、单色器、PBPM、精密狭缝等设备结构的高精度微振动分析模拟，冷却流体对光束线关键部件的振动稳定性影响分析；振动稳定性优化设计方法；高精度振动特性测试与试验方法的建立，测试结果与分析模拟进行对比验证。</w:t>
      </w:r>
    </w:p>
    <w:p>
      <w:pPr>
        <w:pStyle w:val="8"/>
        <w:numPr>
          <w:ilvl w:val="0"/>
          <w:numId w:val="3"/>
        </w:numPr>
        <w:tabs>
          <w:tab w:val="left" w:pos="0"/>
          <w:tab w:val="left" w:pos="993"/>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67"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光位置探测器（PBPM）信号采集及处理系统，包括：光束位置检测传感器读出电子学系统、传感器信号处理，实现多通道（至少四通道）nA至mA级信号采集与处理，集成EPICS协议。</w:t>
      </w:r>
    </w:p>
    <w:p>
      <w:pPr>
        <w:pStyle w:val="8"/>
        <w:numPr>
          <w:ilvl w:val="0"/>
          <w:numId w:val="3"/>
        </w:numPr>
        <w:tabs>
          <w:tab w:val="left" w:pos="0"/>
          <w:tab w:val="left" w:pos="993"/>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67"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拼接干涉式的光学元件面形检测算法及控制，包括：干涉图拼接方法及算法优化方案，基于合肥光源现有系统，实现百nrad级拼接检测精度。</w:t>
      </w:r>
    </w:p>
    <w:p>
      <w:pPr>
        <w:pStyle w:val="8"/>
        <w:numPr>
          <w:ilvl w:val="0"/>
          <w:numId w:val="3"/>
        </w:numPr>
        <w:tabs>
          <w:tab w:val="left" w:pos="0"/>
          <w:tab w:val="left" w:pos="993"/>
          <w:tab w:val="left" w:pos="2094"/>
          <w:tab w:val="left" w:pos="2814"/>
          <w:tab w:val="left" w:pos="3534"/>
          <w:tab w:val="left" w:pos="4254"/>
          <w:tab w:val="left" w:pos="4974"/>
          <w:tab w:val="left" w:pos="5694"/>
          <w:tab w:val="left" w:pos="6414"/>
          <w:tab w:val="left" w:pos="7134"/>
          <w:tab w:val="left" w:pos="7800"/>
        </w:tabs>
        <w:autoSpaceDE w:val="0"/>
        <w:autoSpaceDN w:val="0"/>
        <w:adjustRightInd w:val="0"/>
        <w:spacing w:line="520" w:lineRule="exact"/>
        <w:ind w:left="0" w:firstLine="567" w:firstLineChars="0"/>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波动光学数值计算模拟软件模块，基于现有的国产或开源仿真软件平台定制专用光束线光学系统设计与计算、光学仿真工具，实现半自动设计、参数约束优化、仿真等重要功能。</w:t>
      </w:r>
    </w:p>
    <w:p>
      <w:pPr>
        <w:rPr>
          <w:rFonts w:ascii="Times New Roman" w:hAnsi="Times New Roman" w:eastAsia="仿宋" w:cs="Times New Roma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PingFang TC">
    <w:altName w:val="Microsoft JhengHei"/>
    <w:panose1 w:val="00000000000000000000"/>
    <w:charset w:val="88"/>
    <w:family w:val="swiss"/>
    <w:pitch w:val="default"/>
    <w:sig w:usb0="00000000" w:usb1="00000000" w:usb2="00000017" w:usb3="00000000" w:csb0="0010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66642"/>
    <w:multiLevelType w:val="multilevel"/>
    <w:tmpl w:val="16766642"/>
    <w:lvl w:ilvl="0" w:tentative="0">
      <w:start w:val="1"/>
      <w:numFmt w:val="chineseCountingThousand"/>
      <w:lvlText w:val="%1、"/>
      <w:lvlJc w:val="left"/>
      <w:pPr>
        <w:ind w:left="960" w:hanging="420"/>
      </w:pPr>
    </w:lvl>
    <w:lvl w:ilvl="1" w:tentative="0">
      <w:start w:val="1"/>
      <w:numFmt w:val="decimal"/>
      <w:lvlText w:val="%2、"/>
      <w:lvlJc w:val="left"/>
      <w:pPr>
        <w:ind w:left="1320" w:hanging="360"/>
      </w:pPr>
      <w:rPr>
        <w:rFonts w:hint="default"/>
      </w:r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
    <w:nsid w:val="37F1528B"/>
    <w:multiLevelType w:val="multilevel"/>
    <w:tmpl w:val="37F152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D07C11"/>
    <w:multiLevelType w:val="multilevel"/>
    <w:tmpl w:val="71D07C11"/>
    <w:lvl w:ilvl="0" w:tentative="0">
      <w:start w:val="1"/>
      <w:numFmt w:val="decimal"/>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81"/>
    <w:rsid w:val="000417FA"/>
    <w:rsid w:val="00061DB4"/>
    <w:rsid w:val="00063D39"/>
    <w:rsid w:val="000A1D2A"/>
    <w:rsid w:val="000D197B"/>
    <w:rsid w:val="000D4FB7"/>
    <w:rsid w:val="00123992"/>
    <w:rsid w:val="0016728A"/>
    <w:rsid w:val="001B256B"/>
    <w:rsid w:val="001D7361"/>
    <w:rsid w:val="00243093"/>
    <w:rsid w:val="00285A7D"/>
    <w:rsid w:val="002A620B"/>
    <w:rsid w:val="002C3939"/>
    <w:rsid w:val="002D570E"/>
    <w:rsid w:val="003169B8"/>
    <w:rsid w:val="0032088E"/>
    <w:rsid w:val="00360D1B"/>
    <w:rsid w:val="00360D8C"/>
    <w:rsid w:val="00384937"/>
    <w:rsid w:val="003D3C27"/>
    <w:rsid w:val="00465CEC"/>
    <w:rsid w:val="005068F4"/>
    <w:rsid w:val="00522FB8"/>
    <w:rsid w:val="0053501C"/>
    <w:rsid w:val="00605CCD"/>
    <w:rsid w:val="006146F6"/>
    <w:rsid w:val="00676446"/>
    <w:rsid w:val="006F101C"/>
    <w:rsid w:val="0070335E"/>
    <w:rsid w:val="007979AA"/>
    <w:rsid w:val="007B6DDB"/>
    <w:rsid w:val="007B771B"/>
    <w:rsid w:val="007E1456"/>
    <w:rsid w:val="007E18A6"/>
    <w:rsid w:val="007F09C5"/>
    <w:rsid w:val="00865515"/>
    <w:rsid w:val="00882914"/>
    <w:rsid w:val="00893C55"/>
    <w:rsid w:val="008D7BF9"/>
    <w:rsid w:val="00900719"/>
    <w:rsid w:val="00937F9A"/>
    <w:rsid w:val="0094032C"/>
    <w:rsid w:val="00981E0A"/>
    <w:rsid w:val="009C7EF7"/>
    <w:rsid w:val="009E3F9B"/>
    <w:rsid w:val="00A07834"/>
    <w:rsid w:val="00A97F10"/>
    <w:rsid w:val="00AF5195"/>
    <w:rsid w:val="00B060C8"/>
    <w:rsid w:val="00B31B91"/>
    <w:rsid w:val="00B765C0"/>
    <w:rsid w:val="00B908F4"/>
    <w:rsid w:val="00BA5932"/>
    <w:rsid w:val="00C12A53"/>
    <w:rsid w:val="00C21E9C"/>
    <w:rsid w:val="00C465C0"/>
    <w:rsid w:val="00CA5C2D"/>
    <w:rsid w:val="00CB235D"/>
    <w:rsid w:val="00D055F9"/>
    <w:rsid w:val="00DC46A0"/>
    <w:rsid w:val="00DD7D8E"/>
    <w:rsid w:val="00E119A6"/>
    <w:rsid w:val="00E37ED8"/>
    <w:rsid w:val="00E4432E"/>
    <w:rsid w:val="00E704E1"/>
    <w:rsid w:val="00ED69AC"/>
    <w:rsid w:val="00EE2D05"/>
    <w:rsid w:val="00F00081"/>
    <w:rsid w:val="00F07729"/>
    <w:rsid w:val="00F43C89"/>
    <w:rsid w:val="00F54B46"/>
    <w:rsid w:val="00FC2AB6"/>
    <w:rsid w:val="00FD3B08"/>
    <w:rsid w:val="00FE3F82"/>
    <w:rsid w:val="25B3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 w:type="paragraph" w:customStyle="1" w:styleId="9">
    <w:name w:val="正文2缩进"/>
    <w:basedOn w:val="1"/>
    <w:link w:val="10"/>
    <w:qFormat/>
    <w:uiPriority w:val="0"/>
    <w:pPr>
      <w:spacing w:line="360" w:lineRule="auto"/>
      <w:ind w:firstLine="480" w:firstLineChars="200"/>
    </w:pPr>
    <w:rPr>
      <w:rFonts w:ascii="Times New Roman" w:hAnsi="Times New Roman" w:eastAsia="宋体"/>
      <w:sz w:val="24"/>
      <w:szCs w:val="22"/>
    </w:rPr>
  </w:style>
  <w:style w:type="character" w:customStyle="1" w:styleId="10">
    <w:name w:val="正文2缩进 字符"/>
    <w:basedOn w:val="5"/>
    <w:link w:val="9"/>
    <w:uiPriority w:val="0"/>
    <w:rPr>
      <w:rFonts w:ascii="Times New Roman" w:hAnsi="Times New Roman" w:eastAsia="宋体"/>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USTC</Company>
  <Pages>2</Pages>
  <Words>1042</Words>
  <Characters>1094</Characters>
  <Lines>7</Lines>
  <Paragraphs>2</Paragraphs>
  <TotalTime>76</TotalTime>
  <ScaleCrop>false</ScaleCrop>
  <LinksUpToDate>false</LinksUpToDate>
  <CharactersWithSpaces>1100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2023-06-16T06:50:00Z</dcterms:created>
  <dc:creator>Xiaosong Liu</dc:creator>
  <cp:lastModifiedBy>高处看，不胜寒</cp:lastModifiedBy>
  <dcterms:modified xsi:type="dcterms:W3CDTF">2023-06-25T01:45:13Z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87104E5CD04F4F38AB990E432C551B9D_13</vt:lpwstr>
  </property>
</Properties>
</file>