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Toc514229020"/>
      <w:bookmarkStart w:id="1" w:name="_Toc510080971"/>
      <w:bookmarkStart w:id="2" w:name="_Toc510182455"/>
      <w:bookmarkStart w:id="3" w:name="_Toc509487462"/>
      <w:bookmarkStart w:id="4" w:name="_Toc511633299"/>
      <w:bookmarkStart w:id="5" w:name="_Toc515271428"/>
      <w:bookmarkStart w:id="6" w:name="_Toc510024660"/>
      <w:bookmarkStart w:id="7" w:name="_GoBack"/>
      <w:bookmarkEnd w:id="7"/>
      <w:r>
        <w:rPr>
          <w:rFonts w:hint="eastAsia" w:ascii="方正小标宋简体" w:hAnsi="黑体" w:eastAsia="方正小标宋简体"/>
          <w:sz w:val="44"/>
          <w:szCs w:val="44"/>
        </w:rPr>
        <w:t>标准化项目资金补助申报指南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widowControl/>
        <w:jc w:val="center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6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61"/>
        <w:gridCol w:w="752"/>
        <w:gridCol w:w="1343"/>
        <w:gridCol w:w="395"/>
        <w:gridCol w:w="983"/>
        <w:gridCol w:w="828"/>
        <w:gridCol w:w="587"/>
        <w:gridCol w:w="115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申报对象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符合申请补助条件的单位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奖励额度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黑体" w:eastAsia="仿宋_GB2312" w:cs="Times New Roman"/>
                <w:sz w:val="24"/>
              </w:rPr>
              <w:t>主导、主持国际、国家、行业标准制定、修订的，分别给予40万元、30万元、20万元的费用补贴。</w:t>
            </w:r>
          </w:p>
          <w:p>
            <w:pPr>
              <w:spacing w:line="400" w:lineRule="exact"/>
              <w:jc w:val="left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黑体" w:eastAsia="仿宋_GB2312" w:cs="Times New Roman"/>
                <w:sz w:val="24"/>
              </w:rPr>
              <w:t>参与国际标准制定、修订的，给予30万元费用补贴。</w:t>
            </w:r>
          </w:p>
          <w:p>
            <w:pPr>
              <w:spacing w:line="400" w:lineRule="exact"/>
              <w:jc w:val="left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黑体" w:eastAsia="仿宋_GB2312" w:cs="Times New Roman"/>
                <w:sz w:val="24"/>
              </w:rPr>
              <w:t>参与国家标准制定，且在所有起草单位中列第2、3位次的，分别给予13万元、8万元的费用补贴；参与国家标准修订，且在所有起草单位中列第2、3位次的，分别给予9万元、6万元的费用补贴。</w:t>
            </w:r>
          </w:p>
          <w:p>
            <w:pPr>
              <w:spacing w:line="400" w:lineRule="exact"/>
              <w:jc w:val="left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黑体" w:eastAsia="仿宋_GB2312" w:cs="Times New Roman"/>
                <w:sz w:val="24"/>
              </w:rPr>
              <w:t>参与行业标准制定，且在所有起草单位中列第2、3位次的，分别给予9万元、5万元的费用补贴；参与行业标准修订，且在所有起草单位中列第2、3位次的，分别给予6万元、4万元的费用补贴。</w:t>
            </w:r>
          </w:p>
          <w:p>
            <w:pPr>
              <w:spacing w:line="400" w:lineRule="exact"/>
              <w:jc w:val="left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lang w:val="en-US" w:eastAsia="zh-CN"/>
              </w:rPr>
              <w:t>5、</w:t>
            </w:r>
            <w:r>
              <w:rPr>
                <w:rFonts w:hint="eastAsia" w:ascii="仿宋_GB2312" w:hAnsi="黑体" w:eastAsia="仿宋_GB2312" w:cs="Times New Roman"/>
                <w:sz w:val="24"/>
              </w:rPr>
              <w:t>对获得国家企业标准“领跑者”的单位，一次给予12万元奖励。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项目类型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数据核校类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申报材料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黑体" w:eastAsia="仿宋_GB2312" w:cs="Times New Roman"/>
                <w:sz w:val="24"/>
                <w:lang w:eastAsia="zh-CN"/>
              </w:rPr>
              <w:t>《滨州市标准化补助申请表》；</w:t>
            </w:r>
          </w:p>
          <w:p>
            <w:pPr>
              <w:spacing w:line="400" w:lineRule="exact"/>
              <w:jc w:val="left"/>
              <w:rPr>
                <w:rFonts w:hint="eastAsia" w:ascii="仿宋_GB2312" w:hAnsi="黑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黑体" w:eastAsia="仿宋_GB2312" w:cs="Times New Roman"/>
                <w:sz w:val="24"/>
                <w:lang w:eastAsia="zh-CN"/>
              </w:rPr>
              <w:t>＂绿色门槛＂承诺书；</w:t>
            </w:r>
          </w:p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 w:cs="Times New Roman"/>
                <w:sz w:val="24"/>
                <w:lang w:eastAsia="zh-CN"/>
              </w:rPr>
              <w:t>、证明材料。标准制修订项目需提供正式批准发布的标准文本；国际标准还需提报相关证明材料（①立项文件；②批准发布文件或国家标准委相关证明文件）</w:t>
            </w:r>
            <w:r>
              <w:rPr>
                <w:rFonts w:hint="eastAsia" w:ascii="仿宋_GB2312" w:hAnsi="黑体" w:eastAsia="仿宋_GB2312" w:cs="Times New Roman"/>
                <w:sz w:val="24"/>
              </w:rPr>
              <w:t>；</w:t>
            </w:r>
            <w:r>
              <w:rPr>
                <w:rFonts w:hint="eastAsia" w:ascii="仿宋_GB2312" w:hAnsi="黑体" w:eastAsia="仿宋_GB2312"/>
                <w:sz w:val="24"/>
              </w:rPr>
              <w:t>国家企业标准“领跑者”项需提供标准文本、证书；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受理时间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根据申报通知时间集中受理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企业办事流程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1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根据申报通知要求，登陆滨州惠企通企业服务云平台，在线填写并提交《滨州市标准化补助申请表》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＂绿色门槛＂承诺书，并上传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证明材料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2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根据短信提醒，查看审核、公示进展。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3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企业确认按提供的基本户账户收到补贴资金（无需提供收款凭据）。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政府内部流转流程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1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市市场监管局发布申报通知，启动项目申报工作。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2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系统按照提交的申报材料向归属区域的县（市、区）市场监管局转派审查任务。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3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属地</w:t>
            </w:r>
            <w:r>
              <w:rPr>
                <w:rFonts w:hint="eastAsia" w:ascii="仿宋_GB2312" w:eastAsia="仿宋_GB2312"/>
                <w:sz w:val="24"/>
              </w:rPr>
              <w:t>市场监管部门自通知中明确的申报截止日起，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个工作日内完成审查并提报市市场监管部门。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4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市市场监管部门</w:t>
            </w:r>
            <w:r>
              <w:rPr>
                <w:rFonts w:ascii="仿宋_GB2312" w:hAnsi="黑体" w:eastAsia="仿宋_GB2312"/>
                <w:sz w:val="24"/>
              </w:rPr>
              <w:t>20</w:t>
            </w:r>
            <w:r>
              <w:rPr>
                <w:rFonts w:hint="eastAsia" w:ascii="仿宋_GB2312" w:hAnsi="黑体" w:eastAsia="仿宋_GB2312"/>
                <w:sz w:val="24"/>
              </w:rPr>
              <w:t>个工作日内完成对申报材料的审查，确定补贴项目和资金。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5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通过审定的拟补贴项目公示</w:t>
            </w:r>
            <w:r>
              <w:rPr>
                <w:rFonts w:ascii="仿宋_GB2312" w:hAnsi="黑体" w:eastAsia="仿宋_GB2312"/>
                <w:sz w:val="24"/>
              </w:rPr>
              <w:t>5</w:t>
            </w:r>
            <w:r>
              <w:rPr>
                <w:rFonts w:hint="eastAsia" w:ascii="仿宋_GB2312" w:hAnsi="黑体" w:eastAsia="仿宋_GB2312"/>
                <w:sz w:val="24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6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经公示无异议后，将拟补贴项目的材料报市财政部门按程序拨付补贴资金。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咨询电话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市市场监管局</w:t>
            </w:r>
          </w:p>
          <w:p>
            <w:r>
              <w:t>8103719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滨城区市场监管局</w:t>
            </w:r>
          </w:p>
          <w:p>
            <w:r>
              <w:t>3335190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沾化区市场监管局</w:t>
            </w:r>
          </w:p>
          <w:p>
            <w:r>
              <w:t>7057930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邹平市市场监管局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4355665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惠民县市场监管局</w:t>
            </w:r>
          </w:p>
          <w:p>
            <w:r>
              <w:t>5051521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阳信县市场监管局</w:t>
            </w:r>
          </w:p>
          <w:p>
            <w:r>
              <w:t>8195830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无棣县市场监管局</w:t>
            </w:r>
          </w:p>
          <w:p>
            <w:r>
              <w:t>6325719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博兴县市场监管局</w:t>
            </w:r>
          </w:p>
          <w:p>
            <w:r>
              <w:t>2385807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开发区市场监管局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3225557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高新区市场监管局</w:t>
            </w:r>
          </w:p>
          <w:p>
            <w:pPr>
              <w:rPr>
                <w:rFonts w:hint="eastAsia"/>
              </w:rPr>
            </w:pPr>
            <w:r>
              <w:t>3160</w:t>
            </w:r>
            <w:r>
              <w:rPr>
                <w:rFonts w:hint="eastAsia"/>
              </w:rPr>
              <w:t>315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北海市场监管局</w:t>
            </w:r>
          </w:p>
          <w:p>
            <w:r>
              <w:t>6585315</w:t>
            </w:r>
          </w:p>
        </w:tc>
      </w:tr>
    </w:tbl>
    <w:p>
      <w:pPr>
        <w:jc w:val="left"/>
        <w:rPr>
          <w:rFonts w:hint="eastAsia" w:hAnsi="仿宋_GB2312" w:cs="仿宋_GB2312"/>
          <w:szCs w:val="28"/>
        </w:rPr>
      </w:pPr>
      <w:r>
        <w:rPr>
          <w:rFonts w:hint="eastAsia" w:ascii="仿宋_GB2312" w:hAnsi="黑体" w:eastAsia="仿宋_GB2312"/>
          <w:sz w:val="28"/>
          <w:szCs w:val="32"/>
        </w:rPr>
        <w:t>注：审批时限按不超过</w:t>
      </w:r>
      <w:r>
        <w:rPr>
          <w:rFonts w:ascii="仿宋_GB2312" w:hAnsi="黑体" w:eastAsia="仿宋_GB2312"/>
          <w:sz w:val="28"/>
          <w:szCs w:val="32"/>
        </w:rPr>
        <w:t>25</w:t>
      </w:r>
      <w:r>
        <w:rPr>
          <w:rFonts w:hint="eastAsia" w:ascii="仿宋_GB2312" w:hAnsi="黑体" w:eastAsia="仿宋_GB2312"/>
          <w:sz w:val="28"/>
          <w:szCs w:val="32"/>
        </w:rPr>
        <w:t>个工作日分配</w:t>
      </w:r>
      <w:r>
        <w:rPr>
          <w:rFonts w:ascii="仿宋_GB2312" w:hAnsi="黑体" w:eastAsia="仿宋_GB2312"/>
          <w:sz w:val="28"/>
          <w:szCs w:val="32"/>
        </w:rPr>
        <w:t>,</w:t>
      </w:r>
      <w:r>
        <w:rPr>
          <w:rFonts w:hint="eastAsia" w:ascii="仿宋_GB2312" w:hAnsi="黑体" w:eastAsia="仿宋_GB2312"/>
          <w:sz w:val="28"/>
          <w:szCs w:val="32"/>
        </w:rPr>
        <w:t>如需审计再加</w:t>
      </w:r>
      <w:r>
        <w:rPr>
          <w:rFonts w:ascii="仿宋_GB2312" w:hAnsi="黑体" w:eastAsia="仿宋_GB2312"/>
          <w:sz w:val="28"/>
          <w:szCs w:val="32"/>
        </w:rPr>
        <w:t>25</w:t>
      </w:r>
      <w:r>
        <w:rPr>
          <w:rFonts w:hint="eastAsia" w:ascii="仿宋_GB2312" w:hAnsi="黑体" w:eastAsia="仿宋_GB2312"/>
          <w:sz w:val="28"/>
          <w:szCs w:val="32"/>
        </w:rPr>
        <w:t>个工作日。</w:t>
      </w:r>
    </w:p>
    <w:p/>
    <w:sectPr>
      <w:footerReference r:id="rId3" w:type="default"/>
      <w:pgSz w:w="11906" w:h="16838"/>
      <w:pgMar w:top="1440" w:right="1797" w:bottom="1440" w:left="1797" w:header="851" w:footer="1021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DejaVu Math TeX Gyre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??" w:hAnsi="??"/>
                              <w:sz w:val="24"/>
                            </w:rPr>
                          </w:pPr>
                          <w:r>
                            <w:rPr>
                              <w:rFonts w:ascii="??" w:hAnsi="??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??" w:hAnsi="??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??" w:hAnsi="??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??" w:hAnsi="??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??" w:hAnsi="??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DyyBR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??" w:hAnsi="??"/>
                        <w:sz w:val="24"/>
                      </w:rPr>
                    </w:pPr>
                    <w:r>
                      <w:rPr>
                        <w:rFonts w:ascii="??" w:hAnsi="??"/>
                        <w:sz w:val="24"/>
                      </w:rPr>
                      <w:fldChar w:fldCharType="begin"/>
                    </w:r>
                    <w:r>
                      <w:rPr>
                        <w:rFonts w:ascii="??" w:hAnsi="??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??" w:hAnsi="??"/>
                        <w:sz w:val="24"/>
                      </w:rPr>
                      <w:fldChar w:fldCharType="separate"/>
                    </w:r>
                    <w:r>
                      <w:rPr>
                        <w:rFonts w:ascii="??" w:hAnsi="??"/>
                        <w:sz w:val="24"/>
                      </w:rPr>
                      <w:t>6</w:t>
                    </w:r>
                    <w:r>
                      <w:rPr>
                        <w:rFonts w:ascii="??" w:hAnsi="??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3268F"/>
    <w:rsid w:val="3EAB0813"/>
    <w:rsid w:val="74770815"/>
    <w:rsid w:val="7FFB5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color w:val="00000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2023-02-28T10:52:41Z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