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9271" w:type="dxa"/>
        <w:tblInd w:w="0" w:type="dxa"/>
        <w:tblLayout w:type="fixed"/>
        <w:tblCellMar>
          <w:top w:w="0" w:type="dxa"/>
          <w:left w:w="108" w:type="dxa"/>
          <w:bottom w:w="0" w:type="dxa"/>
          <w:right w:w="108" w:type="dxa"/>
        </w:tblCellMar>
      </w:tblPr>
      <w:tblGrid>
        <w:gridCol w:w="1223"/>
        <w:gridCol w:w="5815"/>
        <w:gridCol w:w="1044"/>
        <w:gridCol w:w="1189"/>
      </w:tblGrid>
      <w:tr>
        <w:tblPrEx>
          <w:tblCellMar>
            <w:top w:w="0" w:type="dxa"/>
            <w:left w:w="108" w:type="dxa"/>
            <w:bottom w:w="0" w:type="dxa"/>
            <w:right w:w="108" w:type="dxa"/>
          </w:tblCellMar>
        </w:tblPrEx>
        <w:trPr>
          <w:trHeight w:val="533" w:hRule="atLeast"/>
        </w:trPr>
        <w:tc>
          <w:tcPr>
            <w:tcW w:w="12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bookmarkStart w:id="0" w:name="_Toc128372082"/>
            <w:bookmarkStart w:id="1" w:name="_Toc128372760"/>
            <w:bookmarkStart w:id="2" w:name="_Toc327439468"/>
            <w:bookmarkStart w:id="3" w:name="_Toc139965355"/>
            <w:bookmarkStart w:id="4" w:name="_Toc416940713"/>
            <w:bookmarkStart w:id="5" w:name="_Toc3188"/>
            <w:r>
              <w:rPr>
                <w:rFonts w:hint="eastAsia"/>
              </w:rPr>
              <w:t>序号</w:t>
            </w:r>
          </w:p>
        </w:tc>
        <w:tc>
          <w:tcPr>
            <w:tcW w:w="581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建设内容</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单位</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数量</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b/>
              </w:rPr>
            </w:pPr>
            <w:r>
              <w:rPr>
                <w:rFonts w:hint="eastAsia"/>
                <w:b/>
              </w:rPr>
              <w:t>一</w:t>
            </w:r>
          </w:p>
        </w:tc>
        <w:tc>
          <w:tcPr>
            <w:tcW w:w="8048" w:type="dxa"/>
            <w:gridSpan w:val="3"/>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b/>
              </w:rPr>
            </w:pPr>
            <w:r>
              <w:rPr>
                <w:rFonts w:hint="eastAsia"/>
                <w:b/>
              </w:rPr>
              <w:t>入河排污口规范化建设</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入河排污口编码立标</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项</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入河排污口明渠建设、流量监测、人工采样平台建设</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项</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b/>
              </w:rPr>
            </w:pPr>
            <w:r>
              <w:rPr>
                <w:rFonts w:hint="eastAsia"/>
                <w:b/>
              </w:rPr>
              <w:t>二</w:t>
            </w:r>
          </w:p>
        </w:tc>
        <w:tc>
          <w:tcPr>
            <w:tcW w:w="8048" w:type="dxa"/>
            <w:gridSpan w:val="3"/>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b/>
              </w:rPr>
            </w:pPr>
            <w:r>
              <w:rPr>
                <w:rFonts w:hint="eastAsia"/>
                <w:b/>
              </w:rPr>
              <w:t>水质自动监测站仪器设备与预警平台</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常规五参数在线分析仪</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化学需氧量在线分析仪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3</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氨氮在线分析仪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4</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总磷在线分析仪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5</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总氮在线分析仪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6</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BOD在线分析仪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7</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挥发酚在线分析仪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8</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水中油在线分析仪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9</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生物毒性在线分析仪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10</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六价铬在线分析仪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11</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铅/镉在线分析仪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12</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砷在线分析仪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13</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汞在线分析仪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14</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挥发性有机物在线分析仪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15</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全自动吹扫捕集进样器</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16</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自动平行浓缩定量仪</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17</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自动监测井采样器</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台</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18</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控制单元（含控制软件）</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19</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采水单元</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20</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留样单元</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r>
              <w:t>1</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配水及预处理单元</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r>
              <w:t>2</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质控单元</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r>
              <w:t>3</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数据采集及传输单元</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24</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废液自动处理单元</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auto" w:sz="4" w:space="0"/>
              <w:right w:val="single" w:color="000000" w:sz="8" w:space="0"/>
            </w:tcBorders>
            <w:shd w:val="clear" w:color="auto" w:fill="auto"/>
            <w:vAlign w:val="center"/>
          </w:tcPr>
          <w:p>
            <w:pPr>
              <w:spacing w:line="240" w:lineRule="auto"/>
              <w:ind w:firstLine="0" w:firstLineChars="0"/>
              <w:jc w:val="center"/>
            </w:pPr>
            <w:r>
              <w:rPr>
                <w:rFonts w:hint="eastAsia"/>
              </w:rPr>
              <w:t>2</w:t>
            </w:r>
            <w:r>
              <w:t>5</w:t>
            </w:r>
          </w:p>
        </w:tc>
        <w:tc>
          <w:tcPr>
            <w:tcW w:w="5815" w:type="dxa"/>
            <w:tcBorders>
              <w:top w:val="nil"/>
              <w:left w:val="single" w:color="000000" w:sz="8" w:space="0"/>
              <w:bottom w:val="single" w:color="auto" w:sz="4" w:space="0"/>
              <w:right w:val="single" w:color="000000" w:sz="8" w:space="0"/>
            </w:tcBorders>
            <w:shd w:val="clear" w:color="auto" w:fill="auto"/>
            <w:vAlign w:val="center"/>
          </w:tcPr>
          <w:p>
            <w:pPr>
              <w:spacing w:line="240" w:lineRule="auto"/>
              <w:ind w:firstLine="0" w:firstLineChars="0"/>
              <w:jc w:val="center"/>
            </w:pPr>
            <w:r>
              <w:rPr>
                <w:rFonts w:hint="eastAsia"/>
              </w:rPr>
              <w:t>水质预警平台系统</w:t>
            </w:r>
          </w:p>
        </w:tc>
        <w:tc>
          <w:tcPr>
            <w:tcW w:w="1044" w:type="dxa"/>
            <w:tcBorders>
              <w:top w:val="nil"/>
              <w:left w:val="single" w:color="000000" w:sz="8" w:space="0"/>
              <w:bottom w:val="single" w:color="auto" w:sz="4"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auto" w:sz="4" w:space="0"/>
              <w:right w:val="single" w:color="000000" w:sz="8" w:space="0"/>
            </w:tcBorders>
            <w:shd w:val="clear" w:color="auto" w:fill="auto"/>
            <w:vAlign w:val="center"/>
          </w:tcPr>
          <w:p>
            <w:pPr>
              <w:spacing w:line="240" w:lineRule="auto"/>
              <w:ind w:firstLine="0" w:firstLineChars="0"/>
              <w:jc w:val="center"/>
            </w:pPr>
            <w:r>
              <w:rPr>
                <w:rFonts w:hint="eastAsia"/>
              </w:rPr>
              <w:t>1</w:t>
            </w:r>
          </w:p>
        </w:tc>
      </w:tr>
      <w:tr>
        <w:tblPrEx>
          <w:tblCellMar>
            <w:top w:w="0" w:type="dxa"/>
            <w:left w:w="108" w:type="dxa"/>
            <w:bottom w:w="0" w:type="dxa"/>
            <w:right w:w="108" w:type="dxa"/>
          </w:tblCellMar>
        </w:tblPrEx>
        <w:trPr>
          <w:trHeight w:val="533" w:hRule="atLeast"/>
        </w:trPr>
        <w:tc>
          <w:tcPr>
            <w:tcW w:w="1223" w:type="dxa"/>
            <w:tcBorders>
              <w:top w:val="single" w:color="auto" w:sz="4" w:space="0"/>
              <w:left w:val="single" w:color="auto" w:sz="4" w:space="0"/>
              <w:bottom w:val="single" w:color="auto" w:sz="4" w:space="0"/>
              <w:right w:val="single" w:color="000000" w:sz="8" w:space="0"/>
            </w:tcBorders>
            <w:shd w:val="clear" w:color="auto" w:fill="auto"/>
            <w:vAlign w:val="center"/>
          </w:tcPr>
          <w:p>
            <w:pPr>
              <w:spacing w:line="240" w:lineRule="auto"/>
              <w:ind w:firstLine="0" w:firstLineChars="0"/>
              <w:jc w:val="center"/>
              <w:rPr>
                <w:b/>
              </w:rPr>
            </w:pPr>
            <w:r>
              <w:rPr>
                <w:rFonts w:hint="eastAsia"/>
                <w:b/>
              </w:rPr>
              <w:t>三</w:t>
            </w:r>
          </w:p>
        </w:tc>
        <w:tc>
          <w:tcPr>
            <w:tcW w:w="8048" w:type="dxa"/>
            <w:gridSpan w:val="3"/>
            <w:tcBorders>
              <w:top w:val="single" w:color="auto" w:sz="4" w:space="0"/>
              <w:left w:val="single" w:color="000000" w:sz="8" w:space="0"/>
              <w:bottom w:val="single" w:color="auto" w:sz="4" w:space="0"/>
              <w:right w:val="single" w:color="auto" w:sz="4" w:space="0"/>
            </w:tcBorders>
            <w:shd w:val="clear" w:color="auto" w:fill="auto"/>
            <w:vAlign w:val="center"/>
          </w:tcPr>
          <w:p>
            <w:pPr>
              <w:spacing w:line="240" w:lineRule="auto"/>
              <w:ind w:firstLine="0" w:firstLineChars="0"/>
              <w:jc w:val="center"/>
              <w:rPr>
                <w:b/>
              </w:rPr>
            </w:pPr>
            <w:r>
              <w:rPr>
                <w:rFonts w:hint="eastAsia"/>
                <w:b/>
              </w:rPr>
              <w:t>集装式站房建设</w:t>
            </w:r>
          </w:p>
        </w:tc>
      </w:tr>
      <w:tr>
        <w:tblPrEx>
          <w:tblCellMar>
            <w:top w:w="0" w:type="dxa"/>
            <w:left w:w="108" w:type="dxa"/>
            <w:bottom w:w="0" w:type="dxa"/>
            <w:right w:w="108" w:type="dxa"/>
          </w:tblCellMar>
        </w:tblPrEx>
        <w:trPr>
          <w:trHeight w:val="533" w:hRule="atLeast"/>
        </w:trPr>
        <w:tc>
          <w:tcPr>
            <w:tcW w:w="1223"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c>
          <w:tcPr>
            <w:tcW w:w="5815"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场地平整</w:t>
            </w:r>
          </w:p>
        </w:tc>
        <w:tc>
          <w:tcPr>
            <w:tcW w:w="1044"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项</w:t>
            </w:r>
          </w:p>
        </w:tc>
        <w:tc>
          <w:tcPr>
            <w:tcW w:w="1189"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地基土建工程（含防护栏）</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项</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3</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集装箱式站房</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座</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4</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采暖工程</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5</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配电及照明工程</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6</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室外电力工程</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7</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视频监控工程</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8</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UPS电源</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9</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防盗门禁系统</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10</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室内消防设施</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套</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2</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b/>
              </w:rPr>
            </w:pPr>
            <w:r>
              <w:rPr>
                <w:rFonts w:hint="eastAsia"/>
                <w:b/>
              </w:rPr>
              <w:t>四</w:t>
            </w:r>
          </w:p>
        </w:tc>
        <w:tc>
          <w:tcPr>
            <w:tcW w:w="8048" w:type="dxa"/>
            <w:gridSpan w:val="3"/>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b/>
              </w:rPr>
            </w:pPr>
            <w:r>
              <w:rPr>
                <w:rFonts w:hint="eastAsia"/>
                <w:b/>
              </w:rPr>
              <w:t>运维服务</w:t>
            </w:r>
          </w:p>
        </w:tc>
      </w:tr>
      <w:tr>
        <w:tblPrEx>
          <w:tblCellMar>
            <w:top w:w="0" w:type="dxa"/>
            <w:left w:w="108" w:type="dxa"/>
            <w:bottom w:w="0" w:type="dxa"/>
            <w:right w:w="108" w:type="dxa"/>
          </w:tblCellMar>
        </w:tblPrEx>
        <w:trPr>
          <w:trHeight w:val="533" w:hRule="atLeast"/>
        </w:trPr>
        <w:tc>
          <w:tcPr>
            <w:tcW w:w="1223"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c>
          <w:tcPr>
            <w:tcW w:w="5815"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水质自动监测站运维服务</w:t>
            </w:r>
          </w:p>
        </w:tc>
        <w:tc>
          <w:tcPr>
            <w:tcW w:w="1044"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项</w:t>
            </w:r>
          </w:p>
        </w:tc>
        <w:tc>
          <w:tcPr>
            <w:tcW w:w="1189" w:type="dxa"/>
            <w:tcBorders>
              <w:top w:val="nil"/>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pPr>
            <w:r>
              <w:rPr>
                <w:rFonts w:hint="eastAsia"/>
              </w:rPr>
              <w:t>1</w:t>
            </w:r>
          </w:p>
        </w:tc>
      </w:tr>
    </w:tbl>
    <w:p>
      <w:pPr>
        <w:ind w:firstLine="480"/>
        <w:jc w:val="both"/>
        <w:sectPr>
          <w:footerReference r:id="rId5" w:type="default"/>
          <w:pgSz w:w="11900" w:h="16840"/>
          <w:pgMar w:top="1191" w:right="1191" w:bottom="1191" w:left="1418" w:header="850" w:footer="992" w:gutter="0"/>
          <w:cols w:space="720" w:num="1"/>
          <w:docGrid w:linePitch="360" w:charSpace="0"/>
        </w:sectPr>
      </w:pPr>
      <w:bookmarkStart w:id="6" w:name="_Toc113272358"/>
      <w:bookmarkStart w:id="7" w:name="_Toc25586"/>
    </w:p>
    <w:p>
      <w:pPr>
        <w:pStyle w:val="4"/>
        <w:spacing w:line="360" w:lineRule="auto"/>
        <w:rPr>
          <w:rFonts w:ascii="宋体" w:hAnsi="宋体"/>
          <w:sz w:val="28"/>
          <w:szCs w:val="36"/>
        </w:rPr>
      </w:pPr>
      <w:bookmarkStart w:id="8" w:name="_Toc120030161"/>
      <w:r>
        <w:rPr>
          <w:rFonts w:hint="eastAsia" w:ascii="宋体" w:hAnsi="宋体"/>
          <w:sz w:val="28"/>
          <w:szCs w:val="36"/>
        </w:rPr>
        <w:t>4.6  主要技术参数</w:t>
      </w:r>
      <w:bookmarkEnd w:id="8"/>
    </w:p>
    <w:tbl>
      <w:tblPr>
        <w:tblStyle w:val="44"/>
        <w:tblW w:w="14352" w:type="dxa"/>
        <w:tblInd w:w="96" w:type="dxa"/>
        <w:tblLayout w:type="fixed"/>
        <w:tblCellMar>
          <w:top w:w="0" w:type="dxa"/>
          <w:left w:w="108" w:type="dxa"/>
          <w:bottom w:w="0" w:type="dxa"/>
          <w:right w:w="108" w:type="dxa"/>
        </w:tblCellMar>
      </w:tblPr>
      <w:tblGrid>
        <w:gridCol w:w="939"/>
        <w:gridCol w:w="1360"/>
        <w:gridCol w:w="10301"/>
        <w:gridCol w:w="936"/>
        <w:gridCol w:w="816"/>
      </w:tblGrid>
      <w:tr>
        <w:tblPrEx>
          <w:tblCellMar>
            <w:top w:w="0" w:type="dxa"/>
            <w:left w:w="108" w:type="dxa"/>
            <w:bottom w:w="0" w:type="dxa"/>
            <w:right w:w="108" w:type="dxa"/>
          </w:tblCellMar>
        </w:tblPrEx>
        <w:trPr>
          <w:trHeight w:val="71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序号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品名</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主要技术参数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数量</w:t>
            </w:r>
          </w:p>
        </w:tc>
      </w:tr>
      <w:tr>
        <w:tblPrEx>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一</w:t>
            </w:r>
          </w:p>
        </w:tc>
        <w:tc>
          <w:tcPr>
            <w:tcW w:w="1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入河排污口规范化建设</w:t>
            </w:r>
          </w:p>
        </w:tc>
      </w:tr>
      <w:tr>
        <w:tblPrEx>
          <w:tblCellMar>
            <w:top w:w="0" w:type="dxa"/>
            <w:left w:w="108" w:type="dxa"/>
            <w:bottom w:w="0" w:type="dxa"/>
            <w:right w:w="108" w:type="dxa"/>
          </w:tblCellMar>
        </w:tblPrEx>
        <w:trPr>
          <w:trHeight w:val="45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入河排污口编码立标</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正面：在标志牌的正面，注明入河排污口类型、名称（不超过25字，命名规则参照下表）、编码（编码规则参照下表）、级别、地理位置及经纬度坐标、受纳水体名称及水质保护目标、责任主体、监管主体、监督电话等基本信息内容，标志牌牌面信息中向管理人员及公众展示入河排口基本信息及管理信息，方便环境监管及监督投诉。此外，牌面二维码关联牌面信息，同时也可根据业主需求拓展信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2、背面：书写“加强水资源保护，建设生态文明”等宣传标语和口号，可根据业主及项目地要求进行定制。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3、标识牌颜色</w:t>
            </w:r>
            <w:r>
              <w:rPr>
                <w:rFonts w:asciiTheme="minorEastAsia" w:hAnsiTheme="minorEastAsia" w:eastAsiaTheme="minorEastAsia" w:cstheme="minorEastAsia"/>
                <w:color w:val="000000"/>
                <w:szCs w:val="24"/>
                <w:lang w:bidi="ar"/>
              </w:rPr>
              <w:t>：</w:t>
            </w:r>
            <w:r>
              <w:rPr>
                <w:rFonts w:hint="eastAsia" w:asciiTheme="minorEastAsia" w:hAnsiTheme="minorEastAsia" w:eastAsiaTheme="minorEastAsia" w:cstheme="minorEastAsia"/>
                <w:color w:val="000000"/>
                <w:szCs w:val="24"/>
                <w:lang w:bidi="ar"/>
              </w:rPr>
              <w:t>标志牌面颜色为绿色。图形标志和文字为白色，可根据业主及项目地要求进行定制。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4、标准牌规格</w:t>
            </w:r>
            <w:r>
              <w:rPr>
                <w:rFonts w:asciiTheme="minorEastAsia" w:hAnsiTheme="minorEastAsia" w:eastAsiaTheme="minorEastAsia" w:cstheme="minorEastAsia"/>
                <w:color w:val="000000"/>
                <w:szCs w:val="24"/>
                <w:lang w:bidi="ar"/>
              </w:rPr>
              <w:t>：</w:t>
            </w:r>
            <w:r>
              <w:rPr>
                <w:rFonts w:hint="eastAsia" w:asciiTheme="minorEastAsia" w:hAnsiTheme="minorEastAsia" w:eastAsiaTheme="minorEastAsia" w:cstheme="minorEastAsia"/>
                <w:color w:val="000000"/>
                <w:szCs w:val="24"/>
                <w:lang w:bidi="ar"/>
              </w:rPr>
              <w:t>标志牌规格分为标志牌和简化标志牌，不同类型、不同规模入河排口使用不同规格标志牌。</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5、标识牌制作</w:t>
            </w:r>
            <w:r>
              <w:rPr>
                <w:rFonts w:asciiTheme="minorEastAsia" w:hAnsiTheme="minorEastAsia" w:eastAsiaTheme="minorEastAsia" w:cstheme="minorEastAsia"/>
                <w:color w:val="000000"/>
                <w:szCs w:val="24"/>
                <w:lang w:bidi="ar"/>
              </w:rPr>
              <w:t>：</w:t>
            </w:r>
            <w:r>
              <w:rPr>
                <w:rFonts w:hint="eastAsia" w:asciiTheme="minorEastAsia" w:hAnsiTheme="minorEastAsia" w:eastAsiaTheme="minorEastAsia" w:cstheme="minorEastAsia"/>
                <w:color w:val="000000"/>
                <w:szCs w:val="24"/>
                <w:lang w:bidi="ar"/>
              </w:rPr>
              <w:t>平面固定式与立式标志牌外形尺寸720mm×450mm。其中图形标志为400mm×450mm，辅助标志为320mm×450mm。标志牌经过防腐处理。标志牌材料采用2mm冷轧钢板，立柱采用38×4无缝钢管，表面采用搪瓷或者反光贴膜。</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7615"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入河排污口明渠建设、流量监测、人工采样平台建设</w:t>
            </w:r>
          </w:p>
        </w:tc>
        <w:tc>
          <w:tcPr>
            <w:tcW w:w="10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（一）排污口采样平台规范化建设</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水质监测手工采样要保证被测断面采集到的水样具有代表性，符合国家技术规范相关要求。部分河流水流急、漫滩长，采样工作难度大，为保证采样人员的人身安全，增加采集水样的可操作性，需要在河流边近水处建设固定采样平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（二）功能要求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采样平台可满足两人现场采样时人员、设备的临时驻停，靠水面一侧上下游两边分别设置一个防护柱，用作下水采样人员安全绳的固定点和平台临时安全防护带的安装点。</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（1）采样人员驻停和采样设备的临时放置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当采样人员到达水边准备采样时，需要调整穿着下水装备、临时放置采样箱、以及采样辅助设施设备等。本平台需要满足人员停留、设备安放的面积需求，平台可使用面积不小于3-6平方米。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（2）采样人员下水保护措施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采水平台靠水面一侧上、下游两端各设计一根固定桩。当人员下水采样时，除了穿着下水救生衣外，还需要给采样船只绑缚或直接下水人员穿着安全绳，安全绳的岸边一头系挂在采水平台固定桩上，防止人员被急流冲走以及发生紧急情况时帮助平台一侧的同伴快速回收安全绳拉回采样人员。</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（3）平台临时采样人员操作安全保护</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在采水平台设计的固定桩，还用于安放便携可拆式防护带，当人员到达现场后挂装防护带，采样撤离时即拆除带走，设计结构易于日常操作。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（4）设置安全提醒标识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采水平台设置安全提醒标识，防止破坏、挪用、用于采样以外其它操作（如游泳等）。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（三）入河排污口流量视频及流量监测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入河排污口流量监测可实时连续监测入河排口流量大小、流量总量，结合水质监测数据及信息平台软件，可计算入河排污口污染源物排放总量、排放变化规律，入河排污口流量监测是生态环境部门开展入河排口管理工作的重要抓手，各投标人根据项目现场实际情况确定入河排污口流量测定类型，如明渠流量测定、超声波液位流量测定等，本项目两处入河排污口流量测定按照日最大排放量15万吨来计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（1）超声波明渠流量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对于明渠入河排污口，采用的是量水堰槽（矩形堰、三角堰、巴歇尔槽）加超声波明渠流量计的水量自动监控方法。采用这种超声波明渠流量计的测量方法，仪表工作时，传感器不与被测流体接触，避免了渠道内污水的沾污和腐蚀。用于测量污水流量，可以比其它形式的仪表，具有更高的可靠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超声波明渠流量计技术参数：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流量范围：0～10米3/秒 （由配用的量水堰槽的种类、规格确定）</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累计流量：8位十进制数，累满后自动回零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流量精度：5％ （配用量水堰槽1～3％的不确定，再附加上1～2％的仪表误差）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测距范围：0.4～2米（从探头底部起0.4米内是盲区，0.4～2米内为测距范围）</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测距精度：±3mm （在1米量程内标定的结果）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液位分辩：1毫米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工作环境温度：-20～55℃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仪表防护等级：仪表显示部分：IP66(仪表下部的过线孔要堵死)；探头部分：IP68</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供电电源：</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交流供电：220V±10％  6W （使用仪表自伴热时为26W）</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直流供电：12V±2V 160mA  (直流供电时，仪表没有4～20mA输出和继电器动作)</w:t>
            </w:r>
          </w:p>
          <w:p>
            <w:pPr>
              <w:widowControl/>
              <w:ind w:firstLine="480"/>
              <w:jc w:val="both"/>
              <w:textAlignment w:val="center"/>
              <w:rPr>
                <w:rFonts w:hint="eastAsia" w:asciiTheme="minorEastAsia" w:hAnsiTheme="minorEastAsia" w:eastAsiaTheme="minorEastAsia" w:cstheme="minorEastAsia"/>
                <w:color w:val="000000"/>
                <w:szCs w:val="24"/>
                <w:lang w:eastAsia="zh-CN" w:bidi="ar"/>
              </w:rPr>
            </w:pPr>
            <w:r>
              <w:rPr>
                <w:rFonts w:hint="eastAsia" w:asciiTheme="minorEastAsia" w:hAnsiTheme="minorEastAsia" w:eastAsiaTheme="minorEastAsia" w:cstheme="minorEastAsia"/>
                <w:color w:val="000000"/>
                <w:szCs w:val="24"/>
                <w:lang w:bidi="ar"/>
              </w:rPr>
              <w:t>交流供电、直流供电同时存在，仪表使用交流；交流掉电，自动接通直流。</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仪表数据存储量：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每月、每天、每小时的记录：仅记录流量＞2年，附加其它仪表4路＞4个月</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每分钟的记录：仅记录流量＞8小时，附加其它仪表4路＞4小时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接入其它仪表的4～20mA电流：</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仪表内部采样电阻： 200Ω；负端与仪表地端共接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可以接入的数量：I1、I2、I3、I4共4路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可以配接的打印机：接口插座， DB25插孔</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设定为“打印记录”时：EPSON兼容（建议配用TP-μp40T）</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设定为“定时打印”时：仅TP-μp40T （需用该打印机内的汉字库）</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4～20mA电流输出：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 xml:space="preserve">外部负载电阻：0～600Ω   </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误差：0.5％(相对仪表示值)</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负端与仪表地端共接 (根据应用要求可改成悬浮地输出)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输出内容：流量、液位可选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RS232：接口插座，DB9插针</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编码方式：1起始位，8数据位，1停止位，有奇偶校验位或无校验位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波特率： 300,600,1200,2400,4800,9600,14400,19200,28800,43200,57600可选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通讯协议：怡文、金源、西交、九波等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触点容量：AC250V</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1A ；DC30V 1A</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（2）非接触式雷达水位计</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color w:val="000000"/>
                <w:szCs w:val="24"/>
                <w:lang w:bidi="ar"/>
              </w:rPr>
              <w:t>采用非接触式雷达水位计，实时测量河道水位高程，换算成流量。不同水位时分别用水流流向、流速、水深测量仪，定期测定断面</w:t>
            </w:r>
            <w:r>
              <w:rPr>
                <w:rFonts w:hint="eastAsia" w:asciiTheme="minorEastAsia" w:hAnsiTheme="minorEastAsia" w:eastAsiaTheme="minorEastAsia" w:cstheme="minorEastAsia"/>
                <w:szCs w:val="24"/>
                <w:lang w:bidi="ar"/>
              </w:rPr>
              <w:t>流速、水深，率定河道的总流量。</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非接触式雷达水位测流仪技术参数：</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结构：嵌入式、模块化结构设计，体积小</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实时数据：实时显示水位监测数值</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信号输出：无线4G通、RS485</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远程访问：支持远程访问模式</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供电方式：市电AC220V或太阳能供电系统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本地储存：支持本地SD卡存储数据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数据传输：符合环保总局颁发的对外通信标准,212协议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工作环境：-20℃～70℃,0～95%RH(非凝结)</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雷达水位计传感器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测量范围 0～30米、70米  精度：±5mm   分辨率：0.1mm</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功耗 0.6W</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防护等级：IP67</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0" w:firstLineChars="10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项</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0" w:firstLineChars="10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223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54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二</w:t>
            </w:r>
          </w:p>
        </w:tc>
        <w:tc>
          <w:tcPr>
            <w:tcW w:w="1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水质自动监测站仪器设备与预警平台</w:t>
            </w:r>
          </w:p>
        </w:tc>
      </w:tr>
      <w:tr>
        <w:tblPrEx>
          <w:tblCellMar>
            <w:top w:w="0" w:type="dxa"/>
            <w:left w:w="108" w:type="dxa"/>
            <w:bottom w:w="0" w:type="dxa"/>
            <w:right w:w="108" w:type="dxa"/>
          </w:tblCellMar>
        </w:tblPrEx>
        <w:trPr>
          <w:trHeight w:val="549" w:hRule="atLeast"/>
        </w:trPr>
        <w:tc>
          <w:tcPr>
            <w:tcW w:w="93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w:t>
            </w:r>
          </w:p>
        </w:tc>
        <w:tc>
          <w:tcPr>
            <w:tcW w:w="13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常规五参数在线分析仪</w:t>
            </w:r>
          </w:p>
        </w:tc>
        <w:tc>
          <w:tcPr>
            <w:tcW w:w="1030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1"/>
              </w:numPr>
              <w:ind w:firstLine="482"/>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b/>
                <w:bCs/>
                <w:color w:val="000000"/>
                <w:szCs w:val="24"/>
                <w:lang w:bidi="ar"/>
              </w:rPr>
              <w:t>水温水质分析仪</w:t>
            </w:r>
          </w:p>
          <w:p>
            <w:pPr>
              <w:widowControl/>
              <w:ind w:left="480" w:firstLine="0" w:firstLineChars="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分析方法：热电阻或热电偶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测量范围：0℃～60℃，可调</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测量误差：≤±0.2℃</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响应时间：（T90）≤0.5min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平均无故障连续运行时间：≥720h/次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重复性：≤±10%</w:t>
            </w:r>
          </w:p>
          <w:p>
            <w:pPr>
              <w:widowControl/>
              <w:ind w:firstLine="480"/>
              <w:jc w:val="both"/>
              <w:textAlignment w:val="center"/>
              <w:rPr>
                <w:rFonts w:ascii="Times New Roman"/>
                <w:sz w:val="20"/>
                <w:szCs w:val="20"/>
              </w:rPr>
            </w:pPr>
            <w:r>
              <w:rPr>
                <w:rFonts w:hint="eastAsia" w:asciiTheme="minorEastAsia" w:hAnsiTheme="minorEastAsia" w:eastAsiaTheme="minorEastAsia" w:cstheme="minorEastAsia"/>
                <w:color w:val="000000"/>
                <w:szCs w:val="24"/>
                <w:lang w:bidi="ar"/>
              </w:rPr>
              <w:t>分辨率：0.1℃</w:t>
            </w:r>
            <w:r>
              <w:rPr>
                <w:rFonts w:asciiTheme="minorEastAsia" w:hAnsiTheme="minorEastAsia" w:eastAsiaTheme="minorEastAsia" w:cstheme="minorEastAsia"/>
                <w:color w:val="000000"/>
                <w:szCs w:val="24"/>
                <w:lang w:bidi="ar"/>
              </w:rPr>
              <w:fldChar w:fldCharType="begin"/>
            </w:r>
            <w:r>
              <w:rPr>
                <w:rFonts w:asciiTheme="minorEastAsia" w:hAnsiTheme="minorEastAsia" w:eastAsiaTheme="minorEastAsia" w:cstheme="minorEastAsia"/>
                <w:color w:val="000000"/>
                <w:szCs w:val="24"/>
                <w:lang w:bidi="ar"/>
              </w:rPr>
              <w:instrText xml:space="preserve"> </w:instrText>
            </w:r>
            <w:r>
              <w:rPr>
                <w:rFonts w:hint="eastAsia" w:asciiTheme="minorEastAsia" w:hAnsiTheme="minorEastAsia" w:eastAsiaTheme="minorEastAsia" w:cstheme="minorEastAsia"/>
                <w:color w:val="000000"/>
                <w:szCs w:val="24"/>
                <w:lang w:bidi="ar"/>
              </w:rPr>
              <w:instrText xml:space="preserve">LINK </w:instrText>
            </w:r>
            <w:r>
              <w:rPr>
                <w:rFonts w:asciiTheme="minorEastAsia" w:hAnsiTheme="minorEastAsia" w:eastAsiaTheme="minorEastAsia" w:cstheme="minorEastAsia"/>
                <w:color w:val="000000"/>
                <w:szCs w:val="24"/>
                <w:lang w:bidi="ar"/>
              </w:rPr>
              <w:instrText xml:space="preserve">Excel.Sheet.8 G:\\入河排污口规范化及水质自动站项目资料\\招标文件修改版本\\兰州新区入河排污口规范化和水质自动监测预警建设暨黄河流域水生态环境监测能力建设项目参数1(1).xls Sheet1!R85C4:R91C4 </w:instrText>
            </w:r>
            <w:r>
              <w:rPr>
                <w:rFonts w:hint="eastAsia" w:asciiTheme="minorEastAsia" w:hAnsiTheme="minorEastAsia" w:eastAsiaTheme="minorEastAsia" w:cstheme="minorEastAsia"/>
                <w:color w:val="000000"/>
                <w:szCs w:val="24"/>
                <w:lang w:bidi="ar"/>
              </w:rPr>
              <w:instrText xml:space="preserve">\a \f 4 \h</w:instrText>
            </w:r>
            <w:r>
              <w:rPr>
                <w:rFonts w:asciiTheme="minorEastAsia" w:hAnsiTheme="minorEastAsia" w:eastAsiaTheme="minorEastAsia" w:cstheme="minorEastAsia"/>
                <w:color w:val="000000"/>
                <w:szCs w:val="24"/>
                <w:lang w:bidi="ar"/>
              </w:rPr>
              <w:instrText xml:space="preserve">  \* MERGEFORMAT </w:instrText>
            </w:r>
            <w:r>
              <w:rPr>
                <w:rFonts w:asciiTheme="minorEastAsia" w:hAnsiTheme="minorEastAsia" w:eastAsiaTheme="minorEastAsia" w:cstheme="minorEastAsia"/>
                <w:color w:val="000000"/>
                <w:szCs w:val="24"/>
                <w:lang w:bidi="ar"/>
              </w:rPr>
              <w:fldChar w:fldCharType="separate"/>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fldChar w:fldCharType="end"/>
            </w:r>
            <w:r>
              <w:rPr>
                <w:rFonts w:hint="eastAsia" w:asciiTheme="minorEastAsia" w:hAnsiTheme="minorEastAsia" w:eastAsiaTheme="minorEastAsia" w:cstheme="minorEastAsia"/>
                <w:b/>
                <w:bCs/>
                <w:color w:val="000000"/>
                <w:szCs w:val="24"/>
                <w:lang w:bidi="ar"/>
              </w:rPr>
              <w:t>2、pH水质分析仪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分析方法：电极法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测量范围：0～14</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重复性：≤±0.1pH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漂移（pH=9.180）：≤±0.1pH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漂移（pH=6.865）：≤±0.1pH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漂移（pH=4.008）：≤±0.1pH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准确度：≤±0.1pH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平均无故障连续运行时间：≥720h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分辨率：0.01pH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实际水样比对试验：≤±0.1pH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响应时间（T90）：0.5min以内</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温度补偿精度: ≤±0.1pH</w:t>
            </w:r>
          </w:p>
          <w:p>
            <w:pPr>
              <w:widowControl/>
              <w:ind w:firstLine="482"/>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b/>
                <w:bCs/>
                <w:color w:val="000000"/>
                <w:szCs w:val="24"/>
                <w:lang w:bidi="ar"/>
              </w:rPr>
              <w:t>3、溶解氧水质分析仪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分析方法：电极法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测量范围：0～20mg/L，可扩展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重复性：≤±0.3mg/L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零点漂移：≤±0.3mg/L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量程漂移：≤±0.3mg/L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准确度：≤±0.3mg/L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平均无故障连续运行时间：≥720h/次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分辨率：0.01mg/L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实际水样比对试验：±0.3mg/L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响应时间（T90）：≤2min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温度补偿精度：≤±0.3mg/L</w:t>
            </w:r>
          </w:p>
          <w:p>
            <w:pPr>
              <w:widowControl/>
              <w:ind w:firstLine="482"/>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b/>
                <w:bCs/>
                <w:color w:val="000000"/>
                <w:szCs w:val="24"/>
                <w:lang w:bidi="ar"/>
              </w:rPr>
              <w:t>4、电导率水质分析仪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分析方法：电极法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测量范围：0～500mS/m，可扩展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重复性：≤±1%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零点漂移：≤±1%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量程漂移：≤±1%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准确度：≤±1%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平均无故障连续运行时间：≥720h/次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实际水样比对试验：≤±1%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分辨率：0.1μS/cm</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响应时间（T90）：≤0.5min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温度补偿精度：≤±1%</w:t>
            </w:r>
          </w:p>
          <w:p>
            <w:pPr>
              <w:widowControl/>
              <w:ind w:firstLine="482"/>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b/>
                <w:bCs/>
                <w:color w:val="000000"/>
                <w:szCs w:val="24"/>
                <w:lang w:bidi="ar"/>
              </w:rPr>
              <w:t>5、浊度自动分析仪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分析方法：光散射法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测量范围：0～2000NTU</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重复性：≤±5%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零点漂移：≤±3%</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量程漂移：≤±5%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线性误差：≤±5%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平均无故障连续运行时间：≥720h/次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实际水样比对试验：≤±10%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响应时间（T90）：≤0.5min</w:t>
            </w:r>
          </w:p>
          <w:p>
            <w:pPr>
              <w:widowControl/>
              <w:ind w:firstLine="48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color w:val="000000"/>
                <w:szCs w:val="24"/>
                <w:lang w:bidi="ar"/>
              </w:rPr>
              <w:t>分辨率：0.01NTU</w:t>
            </w:r>
          </w:p>
        </w:tc>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5102" w:hRule="atLeast"/>
        </w:trPr>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化学需氧量在线分析仪</w:t>
            </w:r>
          </w:p>
        </w:tc>
        <w:tc>
          <w:tcPr>
            <w:tcW w:w="103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99" w:firstLineChars="83"/>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★1工作方法 重铬酸钾氧化分光光度法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2测定范围 0-200mg/L（可扩展）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重复性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零点漂移 ≤±3mg/L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量程漂移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示值误差：浓度为40mg/L时，≤±10.0%；100mg/L时，≤±8.0%；160mg/L时，≤±5.0%；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记忆效应≤±5mg/L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电压干扰≤±5%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定量下限≤15mg/L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数据有效率＞90%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 实际水样比对试验：COD≥50mg/L,相对误差≤±10%；COD＜50mg/L,绝对误差≤5.0mg/L；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12平均无故障连续运行时间：≥720h/次</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440" w:hRule="atLeast"/>
        </w:trPr>
        <w:tc>
          <w:tcPr>
            <w:tcW w:w="9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氨氮在线分析仪</w:t>
            </w:r>
          </w:p>
        </w:tc>
        <w:tc>
          <w:tcPr>
            <w:tcW w:w="10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工作方法 水杨酸分光光度法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量程 0～10mg/L（可扩展）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零点漂移 ≤±0.02mg/L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量程漂移 ≤±1%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示值误差 浓度为2.0mg/L时，≤±8.0%；标液浓度为5.0mg/L时，≤±5.0%；标液浓度为8.0mg/L时，≤±3.0%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重复性 ≤±2%</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记忆效应 浓度由8.0mg/L到2.0mg/L时，±0.3mg/L；浓度为：2.0mg/L到8.0mg/L时，±0.2mg/L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定量下限 ≤0.15mg/L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pH干扰实验：≤±6.0%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实际水样比对试验 水样浓度＜2.0mg/L时，绝对误差≤0.2mg/L；水样浓度≥2.0mg/L时，相对误差≤±10%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 平均无故障连续运行时间 ≥720h/次</w:t>
            </w: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6803" w:hRule="atLeast"/>
        </w:trPr>
        <w:tc>
          <w:tcPr>
            <w:tcW w:w="93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4</w:t>
            </w:r>
          </w:p>
        </w:tc>
        <w:tc>
          <w:tcPr>
            <w:tcW w:w="13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总磷在线分析仪</w:t>
            </w:r>
          </w:p>
        </w:tc>
        <w:tc>
          <w:tcPr>
            <w:tcW w:w="103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工作方法 钼酸铵分光光度法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0～10mg/L（可扩展）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重复性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0.005mg/L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测量时间 ≤40min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 平均无故障连续运行时间 ≥720h/次</w:t>
            </w:r>
          </w:p>
        </w:tc>
        <w:tc>
          <w:tcPr>
            <w:tcW w:w="93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440" w:hRule="atLeast"/>
        </w:trPr>
        <w:tc>
          <w:tcPr>
            <w:tcW w:w="939" w:type="dxa"/>
            <w:vMerge w:val="continue"/>
            <w:tcBorders>
              <w:top w:val="nil"/>
              <w:left w:val="single" w:color="000000" w:sz="4" w:space="0"/>
              <w:bottom w:val="single" w:color="auto"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nil"/>
              <w:left w:val="single" w:color="000000" w:sz="4" w:space="0"/>
              <w:bottom w:val="single" w:color="auto"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nil"/>
              <w:left w:val="single" w:color="000000" w:sz="4" w:space="0"/>
              <w:bottom w:val="single" w:color="auto" w:sz="4" w:space="0"/>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1361" w:hRule="atLeast"/>
        </w:trPr>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5</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总氮在线分析仪</w:t>
            </w:r>
          </w:p>
        </w:tc>
        <w:tc>
          <w:tcPr>
            <w:tcW w:w="103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工作方法 碱性过硫酸钾消解紫外分光光度法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0～20mg/L，可扩展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重复性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平均无故障连续运行时间 ≥720h/次</w:t>
            </w:r>
          </w:p>
        </w:tc>
        <w:tc>
          <w:tcPr>
            <w:tcW w:w="936" w:type="dxa"/>
            <w:vMerge w:val="restart"/>
            <w:tcBorders>
              <w:top w:val="nil"/>
              <w:left w:val="single" w:color="auto"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3692" w:hRule="atLeast"/>
        </w:trPr>
        <w:tc>
          <w:tcPr>
            <w:tcW w:w="9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nil"/>
              <w:left w:val="single" w:color="auto"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2427" w:hRule="atLeast"/>
        </w:trPr>
        <w:tc>
          <w:tcPr>
            <w:tcW w:w="93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6</w:t>
            </w:r>
          </w:p>
        </w:tc>
        <w:tc>
          <w:tcPr>
            <w:tcW w:w="13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BO</w:t>
            </w:r>
            <w:r>
              <w:rPr>
                <w:rFonts w:asciiTheme="minorEastAsia" w:hAnsiTheme="minorEastAsia" w:eastAsiaTheme="minorEastAsia" w:cstheme="minorEastAsia"/>
                <w:color w:val="000000"/>
                <w:szCs w:val="24"/>
                <w:lang w:bidi="ar"/>
              </w:rPr>
              <w:t>D</w:t>
            </w:r>
            <w:r>
              <w:rPr>
                <w:rFonts w:hint="eastAsia" w:asciiTheme="minorEastAsia" w:hAnsiTheme="minorEastAsia" w:eastAsiaTheme="minorEastAsia" w:cstheme="minorEastAsia"/>
                <w:color w:val="000000"/>
                <w:szCs w:val="24"/>
                <w:lang w:bidi="ar"/>
              </w:rPr>
              <w:t>在线分析仪</w:t>
            </w:r>
          </w:p>
        </w:tc>
        <w:tc>
          <w:tcPr>
            <w:tcW w:w="103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测量范围 0～25mg/L（可扩展）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重复性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量程漂移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检出限 ≤2.0mg/L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分辨率 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检测频率 ≤1次/天</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★样品数量 ≥10瓶</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10 平均无故障运行时间 ≥720h/次</w:t>
            </w:r>
          </w:p>
        </w:tc>
        <w:tc>
          <w:tcPr>
            <w:tcW w:w="93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2873" w:hRule="atLeast"/>
        </w:trPr>
        <w:tc>
          <w:tcPr>
            <w:tcW w:w="939"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nil"/>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nil"/>
              <w:left w:val="single" w:color="000000" w:sz="4" w:space="0"/>
              <w:bottom w:val="single" w:color="000000" w:sz="4" w:space="0"/>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2669" w:hRule="atLeast"/>
        </w:trPr>
        <w:tc>
          <w:tcPr>
            <w:tcW w:w="93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7</w:t>
            </w: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挥发酚在线分析仪</w:t>
            </w:r>
          </w:p>
        </w:tc>
        <w:tc>
          <w:tcPr>
            <w:tcW w:w="103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分析方法 4-氨基安替比林分光光度法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0-1mg/L（可扩展）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重复性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测量时间 ≤60min</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11 平均无故障运行时间 ≥720h/次</w:t>
            </w:r>
          </w:p>
        </w:tc>
        <w:tc>
          <w:tcPr>
            <w:tcW w:w="93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3004" w:hRule="atLeast"/>
        </w:trPr>
        <w:tc>
          <w:tcPr>
            <w:tcW w:w="939"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nil"/>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nil"/>
              <w:left w:val="single" w:color="000000" w:sz="4" w:space="0"/>
              <w:bottom w:val="single" w:color="000000" w:sz="4" w:space="0"/>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nil"/>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91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水中油在线分析仪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分析方法 紫外荧光法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0～10mg/L（可扩展）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重复性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≤0.02mg/L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测量时间 ≤20min</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11 平均无故障运行时间 ≥720h/次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3572"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生物毒性在线分析仪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★测量原理 通过细菌发光强度的变化指示样品的潜在毒性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菌种 费氏弧菌或明亮发光杆菌冻干粉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细菌工作温度 15-20℃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★纯水检测光损失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★检测精度 EC50Zn</w:t>
            </w:r>
            <w:r>
              <w:rPr>
                <w:rFonts w:hint="eastAsia" w:asciiTheme="minorEastAsia" w:hAnsiTheme="minorEastAsia" w:eastAsiaTheme="minorEastAsia" w:cstheme="minorEastAsia"/>
                <w:color w:val="000000"/>
                <w:szCs w:val="24"/>
                <w:vertAlign w:val="superscript"/>
                <w:lang w:bidi="ar"/>
              </w:rPr>
              <w:t>2+</w:t>
            </w:r>
            <w:r>
              <w:rPr>
                <w:rFonts w:hint="eastAsia" w:asciiTheme="minorEastAsia" w:hAnsiTheme="minorEastAsia" w:eastAsiaTheme="minorEastAsia" w:cstheme="minorEastAsia"/>
                <w:color w:val="000000"/>
                <w:szCs w:val="24"/>
                <w:lang w:bidi="ar"/>
              </w:rPr>
              <w:t>≤5.0mg/L（ZnSO</w:t>
            </w:r>
            <w:r>
              <w:rPr>
                <w:rFonts w:hint="eastAsia" w:asciiTheme="minorEastAsia" w:hAnsiTheme="minorEastAsia" w:eastAsiaTheme="minorEastAsia" w:cstheme="minorEastAsia"/>
                <w:color w:val="000000"/>
                <w:szCs w:val="24"/>
                <w:vertAlign w:val="subscript"/>
                <w:lang w:bidi="ar"/>
              </w:rPr>
              <w:t>4</w:t>
            </w:r>
            <w:r>
              <w:rPr>
                <w:rFonts w:hint="eastAsia" w:asciiTheme="minorEastAsia" w:hAnsiTheme="minorEastAsia" w:eastAsiaTheme="minorEastAsia" w:cstheme="minorEastAsia"/>
                <w:color w:val="000000"/>
                <w:szCs w:val="24"/>
                <w:lang w:bidi="ar"/>
              </w:rPr>
              <w:t>·7H2O为标准样）</w:t>
            </w:r>
            <w:r>
              <w:rPr>
                <w:rFonts w:asciiTheme="minorEastAsia" w:hAnsiTheme="minorEastAsia" w:eastAsiaTheme="minorEastAsia" w:cstheme="minorEastAsia"/>
                <w:color w:val="000000"/>
                <w:szCs w:val="24"/>
                <w:lang w:bidi="ar"/>
              </w:rPr>
              <w:t xml:space="preserve">  RSD&lt;10%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响应时间 5-30min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★平均无故障运行时间 ≥720h/次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532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六价铬在线分析仪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分析方法 二苯碳酰二肼分光光度法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0-2mg/L（可扩展）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精密度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≤0.002mg/L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实际水样浓度≤0.400mg/L时，比对检测误差≤0.060mg/L；实际水样浓度&gt;0.400mg/L时，比对检测相对误差≤15%。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0.001mg/L</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10 平均无故障运行时间 ≥720h/次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646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铅/镉在线分析仪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监测项目 镉 铅</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分析方法 阳极溶出伏安法或原子吸收法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★测量范围 0-0.1mg/L 0-0.4mg/L（可扩展）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★检出限 ≤0.0005mg/L ≤0.001mg/L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分辨率 0.0001mg/L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★准确度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重复性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★零点漂移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★量程漂移 ≤±5%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 实际水样比对试验 ≤±10%</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 ★平均无故障运行时间 ≥720h/次</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12 ★其他 可同一测试周期检测并显示镉、铅的数据，可靠拓展铜、锌；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396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砷在线分析仪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分析方法 分光光度法、原子荧光法或阳极溶出伏安法</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0-0.6mg/L（可扩展）</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重复性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≤0.002mg/L</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≤10%</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0.0001mg/L</w:t>
            </w:r>
          </w:p>
          <w:p>
            <w:pPr>
              <w:widowControl/>
              <w:spacing w:line="420" w:lineRule="exact"/>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10 ★平均无故障运行时间 ≥720h/次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351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汞在线分析仪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分析方法 冷原子吸收分光光度法或冷原子荧光法</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★测定范围 0-0.002mg/L（可扩展）</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准确度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★重复性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★零点漂移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 ★量程漂移 ≤±5%</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 检出限 ≤0.05μg/L</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 ★实际水样比对试验 ≤10%</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 分辨率 0.001μg/L</w:t>
            </w:r>
          </w:p>
          <w:p>
            <w:pPr>
              <w:widowControl/>
              <w:spacing w:line="420" w:lineRule="exact"/>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10 平均无故障运行时间 ≥720h/次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r>
        <w:tblPrEx>
          <w:tblCellMar>
            <w:top w:w="0" w:type="dxa"/>
            <w:left w:w="108" w:type="dxa"/>
            <w:bottom w:w="0" w:type="dxa"/>
            <w:right w:w="108" w:type="dxa"/>
          </w:tblCellMar>
        </w:tblPrEx>
        <w:trPr>
          <w:trHeight w:val="7597"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14</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挥发性有机物在线分析仪</w:t>
            </w:r>
          </w:p>
        </w:tc>
        <w:tc>
          <w:tcPr>
            <w:tcW w:w="10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（一）功能要求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一次进样多种物质；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★采用电子压力控制和电子流量控制对仪器所需的各路气体进行控制，控制精度高，载气压力波动小。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具有过程日志如柱温、加热时间、仪器参数、仪器流程等记录功能；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色谱柱采用低热容的加热丝伴热加热方式，升温速率稳定，更换方便；</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（二）性能指标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★测量原理：吹扫捕集-气相色谱法（FID检测器）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★可检测化合物至少包括：苯，甲苯，乙苯，二甲苯，异丙苯，苯乙烯，氯苯，二氯苯，二氯甲烷，三氯乙烯，四氯乙烯，二氯乙烯，二氯乙烷，三氯甲烷，四氯化碳等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检出限 ≤2μg/L（甲苯）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线性相关性 ≥0.99</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★定性重复性：≤±1%；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★定量重复性：≤±10%；</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7</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稳定性：≤±10%；</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13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全自动吹扫捕集进样器</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通用性能强：可与任意品牌气相色谱仪（GC）和（GC-MS）联用。</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 xml:space="preserve">2 </w:t>
            </w:r>
            <w:r>
              <w:rPr>
                <w:rFonts w:hint="eastAsia" w:asciiTheme="minorEastAsia" w:hAnsiTheme="minorEastAsia" w:eastAsiaTheme="minorEastAsia" w:cstheme="minorEastAsia"/>
                <w:color w:val="000000"/>
                <w:szCs w:val="24"/>
                <w:lang w:bidi="ar"/>
              </w:rPr>
              <w:t>自带电子流量控制系统，可程序化精准控制气体流量。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提供气相色谱仪</w:t>
            </w:r>
            <w:r>
              <w:rPr>
                <w:rFonts w:asciiTheme="minorEastAsia" w:hAnsiTheme="minorEastAsia" w:eastAsiaTheme="minorEastAsia" w:cstheme="minorEastAsia"/>
                <w:color w:val="000000"/>
                <w:szCs w:val="24"/>
                <w:lang w:bidi="ar"/>
              </w:rPr>
              <w:t>进样口</w:t>
            </w:r>
            <w:r>
              <w:rPr>
                <w:rFonts w:hint="eastAsia" w:asciiTheme="minorEastAsia" w:hAnsiTheme="minorEastAsia" w:eastAsiaTheme="minorEastAsia" w:cstheme="minorEastAsia"/>
                <w:color w:val="000000"/>
                <w:szCs w:val="24"/>
                <w:lang w:bidi="ar"/>
              </w:rPr>
              <w:t>（带EPC），在进样的同时可以同时启动色谱和工作站。</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样品位：＞50位，40mlVOA样品瓶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采用电子流量控制器（AFC），流量范围：5ml/min-500ml/min 吹扫流量：10</w:t>
            </w:r>
            <w:r>
              <w:rPr>
                <w:rFonts w:hint="eastAsia" w:hAnsi="宋体" w:cs="宋体"/>
                <w:color w:val="000000"/>
                <w:szCs w:val="24"/>
                <w:lang w:bidi="ar"/>
              </w:rPr>
              <w:t>-</w:t>
            </w:r>
            <w:r>
              <w:rPr>
                <w:rFonts w:hint="eastAsia" w:asciiTheme="minorEastAsia" w:hAnsiTheme="minorEastAsia" w:eastAsiaTheme="minorEastAsia" w:cstheme="minorEastAsia"/>
                <w:color w:val="000000"/>
                <w:szCs w:val="24"/>
                <w:lang w:bidi="ar"/>
              </w:rPr>
              <w:t>100ml/min  反吹流量：50</w:t>
            </w:r>
            <w:r>
              <w:rPr>
                <w:rFonts w:hint="eastAsia" w:hAnsi="宋体" w:cs="宋体"/>
                <w:color w:val="000000"/>
                <w:szCs w:val="24"/>
                <w:lang w:bidi="ar"/>
              </w:rPr>
              <w:t>-</w:t>
            </w:r>
            <w:r>
              <w:rPr>
                <w:rFonts w:hint="eastAsia" w:asciiTheme="minorEastAsia" w:hAnsiTheme="minorEastAsia" w:eastAsiaTheme="minorEastAsia" w:cstheme="minorEastAsia"/>
                <w:color w:val="000000"/>
                <w:szCs w:val="24"/>
                <w:lang w:bidi="ar"/>
              </w:rPr>
              <w:t>500ml/min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自动添加内标物</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吹扫管温度：室温～100℃，控制精度±1℃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冷阱（电子半导体制冷）温度：最低制冷温度可达-35℃</w:t>
            </w:r>
          </w:p>
          <w:p>
            <w:pPr>
              <w:widowControl/>
              <w:ind w:firstLine="480"/>
              <w:jc w:val="both"/>
              <w:textAlignment w:val="center"/>
              <w:rPr>
                <w:rFonts w:asciiTheme="minorEastAsia" w:hAnsiTheme="minorEastAsia" w:eastAsiaTheme="minorEastAsia" w:cstheme="minorEastAsia"/>
                <w:color w:val="000000"/>
                <w:szCs w:val="24"/>
              </w:rPr>
            </w:pPr>
            <w:r>
              <w:rPr>
                <w:rFonts w:asciiTheme="minorEastAsia" w:hAnsiTheme="minorEastAsia" w:eastAsiaTheme="minorEastAsia" w:cstheme="minorEastAsia"/>
                <w:color w:val="000000"/>
                <w:szCs w:val="24"/>
                <w:lang w:bidi="ar"/>
              </w:rPr>
              <w:t xml:space="preserve">9 </w:t>
            </w:r>
            <w:r>
              <w:rPr>
                <w:rFonts w:hint="eastAsia" w:asciiTheme="minorEastAsia" w:hAnsiTheme="minorEastAsia" w:eastAsiaTheme="minorEastAsia" w:cstheme="minorEastAsia"/>
                <w:color w:val="000000"/>
                <w:szCs w:val="24"/>
                <w:lang w:bidi="ar"/>
              </w:rPr>
              <w:t>同步信号输出：两路1～2秒开关量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r>
        <w:tblPrEx>
          <w:tblCellMar>
            <w:top w:w="0" w:type="dxa"/>
            <w:left w:w="108" w:type="dxa"/>
            <w:bottom w:w="0" w:type="dxa"/>
            <w:right w:w="108" w:type="dxa"/>
          </w:tblCellMar>
        </w:tblPrEx>
        <w:trPr>
          <w:trHeight w:val="60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自动平行浓缩定量仪</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 xml:space="preserve"> </w:t>
            </w:r>
            <w:r>
              <w:rPr>
                <w:rFonts w:hint="eastAsia" w:asciiTheme="minorEastAsia" w:hAnsiTheme="minorEastAsia" w:eastAsiaTheme="minorEastAsia" w:cstheme="minorEastAsia"/>
                <w:color w:val="000000"/>
                <w:szCs w:val="24"/>
                <w:lang w:bidi="ar"/>
              </w:rPr>
              <w:t>利用水浴加热和涡旋气流结合的方式，加快样品的蒸发浓缩，具有传热均匀，浓缩速度快，平行性好的优点。氮气压力可以自动实时调整，可以设置梯度压力对样品进行氮吹浓缩.</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 xml:space="preserve">2 </w:t>
            </w:r>
            <w:r>
              <w:rPr>
                <w:rFonts w:hint="eastAsia" w:asciiTheme="minorEastAsia" w:hAnsiTheme="minorEastAsia" w:eastAsiaTheme="minorEastAsia" w:cstheme="minorEastAsia"/>
                <w:color w:val="000000"/>
                <w:szCs w:val="24"/>
                <w:lang w:bidi="ar"/>
              </w:rPr>
              <w:t>可实</w:t>
            </w:r>
            <w:r>
              <w:rPr>
                <w:rFonts w:hint="eastAsia" w:asciiTheme="minorEastAsia" w:hAnsiTheme="minorEastAsia" w:eastAsiaTheme="minorEastAsia" w:cstheme="minorEastAsia"/>
                <w:szCs w:val="24"/>
                <w:lang w:bidi="ar"/>
              </w:rPr>
              <w:t>现12位样品管的</w:t>
            </w:r>
            <w:r>
              <w:rPr>
                <w:rFonts w:hint="eastAsia" w:asciiTheme="minorEastAsia" w:hAnsiTheme="minorEastAsia" w:eastAsiaTheme="minorEastAsia" w:cstheme="minorEastAsia"/>
                <w:color w:val="000000"/>
                <w:szCs w:val="24"/>
                <w:lang w:bidi="ar"/>
              </w:rPr>
              <w:t>氮吹浓缩，液位传感器可对样品尾管中液体进行测定，实现无人值守的定量浓缩。</w:t>
            </w:r>
          </w:p>
          <w:p>
            <w:pPr>
              <w:widowControl/>
              <w:ind w:firstLine="480"/>
              <w:jc w:val="both"/>
              <w:textAlignment w:val="center"/>
              <w:rPr>
                <w:rFonts w:asciiTheme="minorEastAsia" w:hAnsiTheme="minorEastAsia" w:eastAsiaTheme="minorEastAsia" w:cstheme="minorEastAsia"/>
                <w:color w:val="000000"/>
                <w:szCs w:val="24"/>
              </w:rPr>
            </w:pPr>
            <w:r>
              <w:rPr>
                <w:rFonts w:asciiTheme="minorEastAsia" w:hAnsiTheme="minorEastAsia" w:eastAsiaTheme="minorEastAsia" w:cstheme="minorEastAsia"/>
                <w:color w:val="000000"/>
                <w:szCs w:val="24"/>
                <w:lang w:bidi="ar"/>
              </w:rPr>
              <w:t xml:space="preserve">3 </w:t>
            </w:r>
            <w:r>
              <w:rPr>
                <w:rFonts w:hint="eastAsia" w:asciiTheme="minorEastAsia" w:hAnsiTheme="minorEastAsia" w:eastAsiaTheme="minorEastAsia" w:cstheme="minorEastAsia"/>
                <w:color w:val="000000"/>
                <w:szCs w:val="24"/>
                <w:lang w:bidi="ar"/>
              </w:rPr>
              <w:t>具有液位传感器，自动判断浓缩终点。到达定容终点后，自动停止并报警提示。</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r>
        <w:tblPrEx>
          <w:tblCellMar>
            <w:top w:w="0" w:type="dxa"/>
            <w:left w:w="108" w:type="dxa"/>
            <w:bottom w:w="0" w:type="dxa"/>
            <w:right w:w="108" w:type="dxa"/>
          </w:tblCellMar>
        </w:tblPrEx>
        <w:trPr>
          <w:trHeight w:val="181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自动监测井采样器</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1.气囊泵：</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气囊泵扬程：不小于70米，可以根据需要达到300m甚至更高扬程；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气囊泵进样方式：底部进样；</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气囊泵出水流速满足关于《地下水环境监测技术规范》HJ164-2020中关于挥发性有机物(VOCs)、半挥发性有机物(SVOCs)的采样要求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2.不锈钢潜水泵:</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潜水泵扬程：70米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潜水泵进样方式：顶部进样</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便携式移动电源：1500W，可提供2路AC220W，1路DCI2V,2路USB充电口，可车载充电。</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3.水位泄降仪：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水位深度20m,12V供电。记录并显示采样开始的水位，并且实时动态的显示当前的水位，并和气囊泵以及潜水泵进行联动。达到泄降水位，泵自动停止，水位恢复后自动启动。水位测量结果以m为单位，记至小数点后两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4.水面探测器：卷尺长度100m</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5.井深仪：探测深度100m，准确度≤6cm；分辨率1cm</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6.传感器技术参数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(1)温度：0～50℃，精度±0.1℃，分辨率0.1℃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(2)溶解氧DO：0～20mg/L，精度±0.1mg/L，分辨率0.01mg/L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(3)电导率：1us/cm～100ms/cm，精度0.01，分辨率0.01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(4)PH:0～14，精度士0.1，分辨率0.01</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(5)浊度：0～1000NTU；精度1；分辨率0.01</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(6)0RP：-999～999mV，精度1mV，分辨率0.01mV。</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r>
        <w:tblPrEx>
          <w:tblCellMar>
            <w:top w:w="0" w:type="dxa"/>
            <w:left w:w="108" w:type="dxa"/>
            <w:bottom w:w="0" w:type="dxa"/>
            <w:right w:w="108" w:type="dxa"/>
          </w:tblCellMar>
        </w:tblPrEx>
        <w:trPr>
          <w:trHeight w:val="7597"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18</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控制单元（含控制软件）</w:t>
            </w:r>
          </w:p>
        </w:tc>
        <w:tc>
          <w:tcPr>
            <w:tcW w:w="10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1、具有三级权限管理功能；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2、具有仪器及系统运行周期（连续或间歇）设置功能，至少具备常规、应急、质控等多种运行模式；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3、具备参数设置功能，能够对小数位、单位、仪器测定上下限、报警（超标）上下限等参数进行设置；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4、具备各仪器监测结果、状态参数、运行流程、报警信息等的显示功能；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具有监测数据自动采集、查询、导出、分类保存、自动备份等功能，采集自动分析仪器和集成系统各单元的工作状态量采集的数据应自动添加数据标识，异常监测数据能自动识别，以运行日志的形式记录保存，存储不少于1年的原始数据和运行日志，可分类查询水质周期数据、质控数据（空白测试数据、标样核查数据、加标回收率数据等）及其对应的仪器、系统日志流程信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6、能够实现对单一控制点（阀、泵等）进行调试，对采水单元、配水及预处理单元、分析单元等的控制，并将控制点状态信息等记录和显示；具有对自动分析仪器启停、校时、校准、质控测试等的控制功能；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支持环保部门制定的监测系统通信协议相关技术要求，与数据平台通讯，向数据平台发送指令或接受数据平台指令，并主动上传至数据平台。具有仪器关键参数（如消解温度、显色时间、量程上限、消解时间、静止时间、校准系数、工作曲线、工作曲线相关系数、测试信号值等）的上传、远程设置功能和异常信息（如部件故障、超量程报警、超标报警、缺试剂报警等）的记录、上传功能。能接受远程控制指令（如启动采水、水样测试、加标回收率测试、远程调整摄像头、清洗管路、零点核查、跨度核查等），并按照设定周期或远程接受指令对主要自动分析仪器（常规五参数除外）开展标样自动核查、自动加标回收率测试等质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8、应能保证长期无人值守运行的体系结构，控制软件可与数据平台的远程控制完全兼容，当现场控制单元停电或者损坏不运转的时候，整个系统仍然能正常通讯，平均无故障时间（MTBF）不小于10000 h；</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9、具有断电保护功能，能够在断电时保存系统参数和历史数据，在来电时自动恢复系统。系统集成管路具备断电再度通电后自动排空水样、自动清洗管路、自动复位到待机状态的功能；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10、控制器符合抗电磁辐射、电磁感应的相关规定，具备电源隔离和信号隔离措施；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11、具有良好的扩展性和兼容性，控制器输入输出接口余量有不少于4路，可增加新的监测参数，并方便仪器安装与接入；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12、满足无线、有线的数据传输要求，具备对通信链路的自动诊断功能，具备超时补发功能。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13、硬件要求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（1）工业控制计算机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序号 指标名称 性能指标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CPU ≥4.0GHz</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内存 ≥4GB</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硬盘容量 ≥500GB</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显示器 ≥12英寸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通讯接口 RS232/485 COM口</w:t>
            </w:r>
            <w:r>
              <w:rPr>
                <w:rFonts w:hint="eastAsia" w:asciiTheme="minorEastAsia" w:hAnsiTheme="minorEastAsia" w:eastAsiaTheme="minorEastAsia" w:cstheme="minorEastAsia"/>
                <w:szCs w:val="24"/>
                <w:lang w:bidi="ar"/>
              </w:rPr>
              <w:t>不小于</w:t>
            </w:r>
            <w:r>
              <w:rPr>
                <w:rFonts w:asciiTheme="minorEastAsia" w:hAnsiTheme="minorEastAsia" w:eastAsiaTheme="minorEastAsia" w:cstheme="minorEastAsia"/>
                <w:szCs w:val="24"/>
                <w:lang w:bidi="ar"/>
              </w:rPr>
              <w:t>1</w:t>
            </w:r>
            <w:r>
              <w:rPr>
                <w:rFonts w:hint="eastAsia" w:asciiTheme="minorEastAsia" w:hAnsiTheme="minorEastAsia" w:eastAsiaTheme="minorEastAsia" w:cstheme="minorEastAsia"/>
                <w:szCs w:val="24"/>
                <w:lang w:bidi="ar"/>
              </w:rPr>
              <w:t>4个</w:t>
            </w:r>
            <w:r>
              <w:rPr>
                <w:rFonts w:asciiTheme="minorEastAsia" w:hAnsiTheme="minorEastAsia" w:eastAsiaTheme="minorEastAsia" w:cstheme="minorEastAsia"/>
                <w:szCs w:val="24"/>
                <w:lang w:bidi="ar"/>
              </w:rPr>
              <w:t>,</w:t>
            </w:r>
            <w:r>
              <w:rPr>
                <w:rFonts w:hint="eastAsia" w:asciiTheme="minorEastAsia" w:hAnsiTheme="minorEastAsia" w:eastAsiaTheme="minorEastAsia" w:cstheme="minorEastAsia"/>
                <w:color w:val="000000"/>
                <w:szCs w:val="24"/>
                <w:lang w:bidi="ar"/>
              </w:rPr>
              <w:t>网口不少于2个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（2）可编程控制器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序号 指标名称 性能指标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扩展能力 控制器输入输出接口满足需求且余量不少于4路，以便以后扩展。</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 防雷抗干扰能力 符合抗电磁辐射、电磁感应的相关规定，具备电源隔离和信号隔离措施。</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2807"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采水单元</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采水单元的设置应因地制宜，针对不同情况采用最适用的的采水方式。确保采集到的断面水样具有代表性，同时保证水样在传输管路中不发生物理、化学性质的变化。</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★1、采水单元应采用双回路取水，一用一备。在控制系统中设置自动诊断泵故障及自动切换泵工作功能。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2、采水单元应保证枯水期及结冰后的系统取水。</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3、采水单元设计采用连续或间歇可调节工作方式；除非特殊需要，一般采用间歇工作方式。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4、采水单元不能明显影响样品监测项目的测试结果。排水点须设在样品水的取水点下游10米以上的位置。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5、采水单元应当具备较长平均无故障工作时间，确保水质自动监测系统年无故障率达到95%以上。</w:t>
            </w:r>
          </w:p>
          <w:p>
            <w:pPr>
              <w:widowControl/>
              <w:spacing w:line="420" w:lineRule="exact"/>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6、采水单元需要设计并制作必要的保温、防冻、防压、防淤、防撞、防盗措施，并对取水设备和设施进行必要的固定。</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7</w:t>
            </w:r>
            <w:r>
              <w:rPr>
                <w:rFonts w:hint="eastAsia" w:asciiTheme="minorEastAsia" w:hAnsiTheme="minorEastAsia" w:eastAsiaTheme="minorEastAsia" w:cstheme="minorEastAsia"/>
                <w:color w:val="000000"/>
                <w:szCs w:val="24"/>
                <w:lang w:bidi="ar"/>
              </w:rPr>
              <w:t>、采水单元设置采水单元清洗和防藻功能。但是当使用化学清洗时，必须能够将所有试剂回收，防止对水体和环境造成污染。</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8</w:t>
            </w:r>
            <w:r>
              <w:rPr>
                <w:rFonts w:hint="eastAsia" w:asciiTheme="minorEastAsia" w:hAnsiTheme="minorEastAsia" w:eastAsiaTheme="minorEastAsia" w:cstheme="minorEastAsia"/>
                <w:color w:val="000000"/>
                <w:szCs w:val="24"/>
                <w:lang w:bidi="ar"/>
              </w:rPr>
              <w:t>、采水单元对测定项目监测结果的影响必须小于5%；水深足够满足要求时取水深度水面下0.5～1.0m，根据调水量不同具有可行的取水方案。</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9</w:t>
            </w:r>
            <w:r>
              <w:rPr>
                <w:rFonts w:hint="eastAsia" w:asciiTheme="minorEastAsia" w:hAnsiTheme="minorEastAsia" w:eastAsiaTheme="minorEastAsia" w:cstheme="minorEastAsia"/>
                <w:color w:val="000000"/>
                <w:szCs w:val="24"/>
                <w:lang w:bidi="ar"/>
              </w:rPr>
              <w:t>、取水量要满足所有分析仪器的需要；管路采取可拆卸式,应具备防冻隔热措施，应具有极好的化学稳定性。采水单元能够在停电时自我保护，再次通电时自动恢复。</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0</w:t>
            </w:r>
            <w:r>
              <w:rPr>
                <w:rFonts w:hint="eastAsia" w:asciiTheme="minorEastAsia" w:hAnsiTheme="minorEastAsia" w:eastAsiaTheme="minorEastAsia" w:cstheme="minorEastAsia"/>
                <w:color w:val="000000"/>
                <w:szCs w:val="24"/>
                <w:lang w:bidi="ar"/>
              </w:rPr>
              <w:t>、采水单元所有部件均要选用优质产品，取水泵和管路应采用优质产品，保证采水单元工作的可靠性和使用寿命。</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2807"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r>
              <w:rPr>
                <w:rFonts w:asciiTheme="minorEastAsia" w:hAnsiTheme="minorEastAsia" w:eastAsiaTheme="minorEastAsia" w:cstheme="minorEastAsia"/>
                <w:b/>
                <w:bCs/>
                <w:color w:val="000000"/>
                <w:szCs w:val="24"/>
                <w:lang w:bidi="ar"/>
              </w:rPr>
              <w:t>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留样单元</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留样单元可根据采样要求，对水样进行采集保存，具备分瓶采样、远程控制、自动排空、自动清洗、留样失败报警等功能。配置门禁系统，所留水样可在留样单元低温保存，留样瓶由惰性材料制成，易清洗，具有密封功能，数量应不少于12个瓶，容量应不小于500mL。</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（1）★具备水样冷藏功能，温度在4±2℃；</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（2）留样瓶数≥12个；</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（3）留样瓶由惰性材料制成，易清洗，容量应在500mL以上；</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（4）留样瓶具有密封功能；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（5）具有留样后自动排空的功能；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（6）配置门禁系统；</w:t>
            </w:r>
          </w:p>
          <w:p>
            <w:pPr>
              <w:widowControl/>
              <w:ind w:firstLine="48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color w:val="000000"/>
                <w:szCs w:val="24"/>
                <w:lang w:bidi="ar"/>
              </w:rPr>
              <w:t>（7）具有留样失败报警功能。</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7597"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r>
              <w:rPr>
                <w:rFonts w:asciiTheme="minorEastAsia" w:hAnsiTheme="minorEastAsia" w:eastAsiaTheme="minorEastAsia" w:cstheme="minorEastAsia"/>
                <w:b/>
                <w:bCs/>
                <w:color w:val="000000"/>
                <w:szCs w:val="24"/>
                <w:lang w:bidi="ar"/>
              </w:rPr>
              <w:t>1</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配水及预处理单元</w:t>
            </w:r>
          </w:p>
        </w:tc>
        <w:tc>
          <w:tcPr>
            <w:tcW w:w="10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（一）配水单元</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配水单元直接向自动监测仪器供水，其水质、水压和水量应满足自动监测仪器的需要，保证水样的水质代表性。配水单元主管路采用串联方式，各仪器之间管路采用并联方式，每台仪器从各自的取样杯中取水，任何仪器的配水管路出现故障不能影响其他仪器的测试。常规五参数自动监测仪使用原水，水样进入配水单元后一部分直接送入五参数检测池，池内保证水流稳定持续，水位恒定。</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2、配水单元所选管材机械强度及化学稳定性好、使用寿命长、便于安装维护，不会对水样水质造成影响；管路内径、压力、流量、流速满足仪器分析需要，并留有余量。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3、配水单元的所有操作均可通过控制单元实现运行控制，并可以接受平台端的远程控制，能配合系统实现水样自动分配、自动预处理、故障自动报警、关键部件工作状态的显示和反控等功能。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4、配水单元具备可扩展功能，水站预留不少于4台设备的接水口、排水口以及水样比对实验用的手动取水口。</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5、五参数检测池、预处理装置单元和配水单元等具备自动反清（吹）洗功能，防止菌类和藻类等微生物对样品污染或对系统工作造成不良影响，清洗过程中不对环境造成污染。</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（二）预处理单元</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1、五参数等有特殊进样要求的仪器使用未经过预处理的样品。</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2、尽可能满足标准分析方法中对样品的预处理要求，水样预处理既要消除干扰仪表分析的因素，又要保证每次分析样品的代表性，预处理对测定项目监测结果影响必须≤5%。</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3、水样的预处理可保证分析系统的连续长时间可靠运行，不能采用拦截式过滤装置。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4、根据现场水质条件及仪器进样要求，配置相应功能的预处理装置，包括沉沙装置、过滤装置等。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5、预处理采用粗滤和先进的超声波匀化装置处理系统相结合的方法，以达到分析仪器所要求的水质。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6、能配合系统实现水样自动分配、自动预处理、故障自动报警、关键部件工作状态的显示和反控等功能；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7、配水单元的所有操作均可通过控制单元实现，并接受平台端的远程控制；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8、针对泥沙较大水体、暴雨期间、泄洪、丰水期等浊度影响较大的情况，系统应针对性的设计预处理旁路系统，并具备自动切换预处理系统工作功能。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（三）清洗灭藻单元</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1、具备足够的反冲洗和杀菌除藻能力，保证管道内无泥沙、无藻，管壁无附着物。</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2、配置在线除泥沙装置和灭藻清洗装置，保证系统管路内部免受和藻类影响。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3、能通过通入清洁水、化学试剂清洗液和加压清洁水流对采、配水管路和采样吸头进行自动反冲洗。能采用加压清洁水流对五参数传感器进行冲洗。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4、所配置的空压机须是无油型低噪声空压机，保证不对分析结果造成影响。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5、系统反冲清洗的操作，可以通过现场或远程进行自动或手动控制。</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6、冲洗水应保证抽排至不会对监测结果产生影响的区域外。考虑到不对环境造成二次污染，设计中应不使用对环境产生污染的清洗方法。</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2"/>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1637"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r>
              <w:rPr>
                <w:rFonts w:asciiTheme="minorEastAsia" w:hAnsiTheme="minorEastAsia" w:eastAsiaTheme="minorEastAsia" w:cstheme="minorEastAsia"/>
                <w:b/>
                <w:bCs/>
                <w:color w:val="000000"/>
                <w:szCs w:val="24"/>
                <w:lang w:bidi="ar"/>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质控单元</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质量控制单元应对化学需氧量、氨氮、总磷、总氮、六价铬、砷等水质自动分析仪分析仪器自动进行质量控制，具备零点漂移、跨度漂移、加标回收率、标样核查等功能，可实现重复性、准确性的性能指标的自动核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136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r>
              <w:rPr>
                <w:rFonts w:asciiTheme="minorEastAsia" w:hAnsiTheme="minorEastAsia" w:eastAsiaTheme="minorEastAsia" w:cstheme="minorEastAsia"/>
                <w:b/>
                <w:bCs/>
                <w:color w:val="000000"/>
                <w:szCs w:val="24"/>
                <w:lang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数据采集及传输单元</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1、现场可动态显示系统的实时状态，实时数据，各系统设备工作状态参数的显示，各个分析仪表的工作状态和测量参数；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可以收集仪器的所有运行信息，并实现全部现场控制功能。具有远程显示现场工作状态、测量参数，并具有可扩展接口，便于增加监测参数。能够自动采集仪器异常信息，异常监测数据能自动识别，仪器设备故障自动报警、异常值自动报警和参数超标（上、下限）报警、并能将报警信号自动发送至软件平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3、测量参数及实时状态的查询功能，按需要进行各种方式的数据查询；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4、子站断电后数据至少保存30天，并能储存90天以上的各个测量参数原始数据， 同时保存相应时期发生的有关校准、断电及其他事件记录；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5、现场数据采集设备应至少能保存1年的最小统计单位值（最小统计单位时间不大于小时），并至少可保存3年的小时数据；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6、通过无线或者有线方式实现水质自动监测站与监控中心之间数据传输功能，同时满足主动上传（一点多传）和监控中心远程调用方式，能按要求接受、处理和反馈远程控制命令；支持数据断点续传；</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7、系统同时支持有线和无线方式，支持有线数据传输(LAN/ADSL/光纤),也支持CDMA/GPRS/3G/4G等无线传输方式；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1646"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废液自动处理单元</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为了防止水质自动仪所产生的废液对环境产生二次污染，要求水质自动站必须安装专门的废液收集或处理装置。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1、若采取废液收集方式，收集装置满足两周以上废液量收集；由运维方定期对各分析单元排出的废液进行收集，交付有相关处理资质的第三方处理废液。</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★2、若安装专门的废液处理装置，废液处理装置需采用离子交换树脂，处理后的水必须为无色。</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0"/>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7615" w:hRule="atLeast"/>
        </w:trPr>
        <w:tc>
          <w:tcPr>
            <w:tcW w:w="939"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r>
              <w:rPr>
                <w:rFonts w:asciiTheme="minorEastAsia" w:hAnsiTheme="minorEastAsia" w:eastAsiaTheme="minorEastAsia" w:cstheme="minorEastAsia"/>
                <w:b/>
                <w:bCs/>
                <w:color w:val="000000"/>
                <w:szCs w:val="24"/>
                <w:lang w:bidi="ar"/>
              </w:rPr>
              <w:t>5</w:t>
            </w:r>
          </w:p>
        </w:tc>
        <w:tc>
          <w:tcPr>
            <w:tcW w:w="13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水质预警平台系统</w:t>
            </w:r>
          </w:p>
        </w:tc>
        <w:tc>
          <w:tcPr>
            <w:tcW w:w="1030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1、功能设计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（1）系统的平台选择应具有先进性、扩展性、灵活性及可跨平台应用。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（2）系统的构架应以方便的客户端浏览构架实现信息与管理，应采用先进的下位机—服务器—客户端三层结构体系，所有的控制信息与数据信息都在其中间层——服务器上统一管理、分配。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（3）需要有多种浏览方式，可以实现本机、客户端IE浏览等多种方式进行查询。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监控中心软件的功能可以涵盖监测的常用工作业务流程，能够将自动数据采集、数据有效性分析、监测控制、有效数据入库、日常维护、数据管理、数据报表、信息发布、数据上报、统计分析、短信报警、图文显示等功能有机的融合到一个软件中，界面美观，操作方便。</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（5）监控中心软件可支持无线及有线多种通讯采集方式，通讯采集方式及通讯频率可根据系统的配置及需要方便设置及调整。</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（6）数据传输要可靠安全，应对各种数据分析、监控、浏览方便、操作简单。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（7）要支持远程数据监控和系统日志监控（可方便进行监测站点管理和维护）。</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可采集站房安防监控系统报警信息及现场图片资料，可自动记录备份并形成报表，当安防监控系统有异常报警信息时，可以短信息形式将报警信息传送至指定人员手机。系统可设置站房图片信息上传频率，也可通过界面实时采集现场图片资料。</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（9）软件需有丰富的数据处理及查询功能，通过数据加标识等方式，对监测数据进行识别。</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（10）能定制各种报表，能根据有效数据显示和打印出日、周、月、季、年报表和曲线图形进行分析。</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可根据用户需要设置状态参数或故障报警信号自动对数据的有效性进行判断，能判断水质类别，首要污染物、污染指数和各指标的超标情况，能根据用户要求进行数据处理，可以进行不同时段的数据对比等，可以多种方式介绍监测站点和查询监测站点维护资料。需将报警信息以短信息形式发送至指定人员手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（12）能将数据库定期自动备份。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（13）监控中心系统能修正子站的时间使之与监控中心同步。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（14）系统软件可支持无线及有线多种通讯采集方式，通讯采集方式及通讯频率可跟据系统的配置及需要方便设置及调整。</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（15）系统具有数据质量控制功能，自动分析过程中有完整的质量控制手段及质量控制数据报告，对可疑数据实施相应的标记。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（16）可以根据需要进行监测频次、自动清洗、自动除藻、报警指标等参数的设置。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2、支持的数据访问方式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系统平台支持电脑、手机app等移动终端设备访问网站，开发语言均可被手机浏览器或者手机浏览软件兼容访问。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计算机客户端；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手机客户端（android和apple）；</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平板电脑客户端（windows）；</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3、数据交换系统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（1）系统协议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符合《国家地表水水质自动系统数据传输技术规范》标准，《地表水环境质量标准》（GB3838-2002）标准，《地表水和污水监测技术规范》（HJ/T 91-2002）标准。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1）数据交换系统具备足够的系统容错能力，能及时处置接收到的非规范协议包，并且不影响系统正常运行，无误差率。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2）可按照数据断点续传机制应答现场端数采仪，确保断点续传机制的实现。</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3）数据交换系统应具备一定的防攻击能力，对数据采集传输仪的编号及密码进行严格的审查及认证，能定义相应的规则，防止来自网络的恶意攻击，并可自动记录IP地址，必要时将其列入IP黑名单。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4）满足500个数据采集传输仪进行并发登录，登录交易成功率达99.5%以上，其平均响应时间小于1秒种。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5）24小时内，能满足2000个数据采集传输仪非并发登录，登录交易成功率达到99.5%以上，并维持长连接状态，在长连接状态下，总吞吐量的最低要求64KB/S。</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（2）连接与异常检测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当系统客户端与服务中心端连接不成功时，将会在服务中心端建立连接失败的日志记录。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1)数据包存储、分发与导入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数据交换系统中心端可以将数据包分发给多个客户端系统，同时数据交换系统将接收到的数据包以文本方式存储。另外数据交换系统支持将存储的原始数据包文件通过数据交换系统导入系统。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2)与国家管理平台无缝连接</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数据交换系统作为自动监测站数据接收端，将现场自动站传输过来的监测监控数据根据配置要求实时灵活地向国家资源管理平台进行传输，并能转发国家管理平台下发的各项远程控制指令到自动监测站。</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3）与新区智慧城市和数字政府信息无缝连接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按照新区智慧城市和数字政府标准规范，提供详细的系统与新区大数据共享交换平台、统一物联网平台等的数据交换、数据接口和业务应用等方面的对接方案，实现系统间的互联和数据共享。</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4)为第三方系统平台提供数据接口</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为了方便第三方管理系统平台对数据的访问与对接，提供外部系统对数据访问的WCF标准接口：提供各种水质、水位监测信息的查询；各种周报、月报、季报、年报的报表统计。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(5)上下端联网检测系统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实时检测自动站联网状况，并进行记录、分析和统计，同时生成各关联子系统所需格式的文件，为管理人员掌握实时可靠的自动监测站联网运行准确状况。</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1)自动站通信状况检测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数据交互系统实施判别站点在线状态并记录存储。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2)通信交互数据统计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统计出站点的登录时间、每天掉线次数、在离线时间、状态持续时长、累计流量和对应的通信密码。</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通过WCF服务查询统计信息，包括：站点名、数采仪厂家、MN号、通信密码、在线状态、统计时间、登录时间、状态持续时间、掉线次数、状态持续时长、掉线时长、累计流量。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通过多种筛选可以为站点的统计出各参数的最值，以此判定该站点数采仪性能。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通过图表直观的显示出某一个站点在一段时间内的各值的趋势图。</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设置标准值查询超标站点信息。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3)报警信息</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站点掉线次数过多报警、掉线累计时间过长报警、累计流量过多报警。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4)系统配置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配置系统信息数据库、自动监控数据库、在线列表记录文件路径等；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5)数据入库系统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当数据处理系统（入库）与数据交换系统通信时，系统采用“消息队列”机制即时接收数据交换系统发送过来的数据包，同时建立线程池按“先入先出”方式异步处理在线监测监控数据，充分保证通信服务系统下发数据不阻塞、不延时。同时系统考虑维护人员日常工作效率问题，在系统主控界面加入实时在线列表和远程控制功能，用户可通过该功能实时了解总体监控点在线情况、下发控制命令，即时分析现场数采仪传输的数据包是否符合国家标准。</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4、软件升级及系统扩展方案</w:t>
            </w:r>
          </w:p>
          <w:p>
            <w:pPr>
              <w:widowControl/>
              <w:ind w:firstLine="480"/>
              <w:jc w:val="both"/>
              <w:textAlignment w:val="center"/>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中标方必须对提供的软件知识产权负责，根据采购人的要求和行业技术的发展，免费提供系统监控软件和通讯软件的维护和改进工作。如今后国家环保部、省环保厅对水质自动监测技术规范作出调整，中标人须及时地免费为招标人提供软件升级服务或调整。</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5</w:t>
            </w:r>
            <w:r>
              <w:rPr>
                <w:rFonts w:hint="eastAsia" w:asciiTheme="minorEastAsia" w:hAnsiTheme="minorEastAsia" w:eastAsiaTheme="minorEastAsia" w:cstheme="minorEastAsia"/>
                <w:color w:val="000000"/>
                <w:szCs w:val="24"/>
                <w:lang w:bidi="ar"/>
              </w:rPr>
              <w:t>、基础信息管理系统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（1）功能设计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 各自动站监控对象基本信息管理功能；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 系统访问权限管理及运行配置功能；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 环保相关法律法规录入及浏览功能；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 环保相关资料、计算公式上传下载管理；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 其他与水环境相关的基础数据管理；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（2）权限分类及控制管理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从数据安全和系统设计的角度出发，采取权限分类控制管理方式，具体措施如下：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 xml:space="preserve">1）权限分级，应用系统设计中结合实际工作中的业务工作，对权限采取严格的控制措施，采用分级分权的设计方式； </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2）对用户浏览数据、审核数据的权限进行控制；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3）身份认证，采用统一的登录身份认证机制。</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（3）系统操作日志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所有系统访问人员登录系统后，进行的关键系统操作，如浏览数据、录入数据、修改数据、分配权限、系统配置等操作记录进行详细记录，以规范各级用户对系统的各项操作，保证系统数据的完整性和可靠性。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（4）基础配置管理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通过全面的基础配置数据库设计支撑系统的各级应用和安全运行。管理内容包括整套平台软件涉及到的基础信息，如环境质量标准、自动站信息、行政区、流域、用户角色及权限、监测参数及指标、仪器供应商、分析仪器等综合信息配置管理。对各个管理内容要求实现增、删、改、查功能，以及对子系统初始化信息的设置、对监测因子超标报警设置的管理等。</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6</w:t>
            </w:r>
            <w:r>
              <w:rPr>
                <w:rFonts w:hint="eastAsia" w:asciiTheme="minorEastAsia" w:hAnsiTheme="minorEastAsia" w:eastAsiaTheme="minorEastAsia" w:cstheme="minorEastAsia"/>
                <w:color w:val="000000"/>
                <w:szCs w:val="24"/>
                <w:lang w:bidi="ar"/>
              </w:rPr>
              <w:t>、数据质量控制与管理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数据质量控制与管理模块主要运用设备智能化技术、模型分析技术，结合多种度量规则和核查方法对数据质量（重复性、关联性、正确性、完全性、一致性、合理性等）进行全面评估，及时发现数据异常，从多个层次保障数据准确性、合理性和完整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（1）数据审核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系统同时具备自动审核和人工审核两种方式。通过内置的多种可靠性检验和实时监控方法能够辅助对海量数据的自动筛检，对异常数据、缺失数据进行标识，提高数据维护的自动化水平和效率。系统提供多种自动审核的规则和方法，根据在线数据错误原因和实际情况，可以分别对各个水站以及监测因子配置各自的审核规则。在审核规则配置完成后，系统能够对数据自动检测，对异常的数据进行自动标识或执行预定义的操作，如删除、发送警报信息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（2）自动数据审核</w:t>
            </w:r>
          </w:p>
          <w:p>
            <w:pPr>
              <w:widowControl/>
              <w:ind w:firstLine="480"/>
              <w:jc w:val="both"/>
              <w:textAlignment w:val="center"/>
              <w:rPr>
                <w:rFonts w:hint="eastAsia" w:asciiTheme="minorEastAsia" w:hAnsiTheme="minorEastAsia" w:eastAsiaTheme="minorEastAsia" w:cstheme="minorEastAsia"/>
                <w:color w:val="000000"/>
                <w:szCs w:val="24"/>
                <w:lang w:eastAsia="zh-CN" w:bidi="ar"/>
              </w:rPr>
            </w:pPr>
            <w:r>
              <w:rPr>
                <w:rFonts w:hint="eastAsia" w:asciiTheme="minorEastAsia" w:hAnsiTheme="minorEastAsia" w:eastAsiaTheme="minorEastAsia" w:cstheme="minorEastAsia"/>
                <w:color w:val="000000"/>
                <w:szCs w:val="24"/>
                <w:lang w:bidi="ar"/>
              </w:rPr>
              <w:t>1）基于仪器设备参数的数据审核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根据仪器设备的数据状态标识，如零点校正状态、故障、缺试剂等，由系统进行自动判别，自动标记监测数据为QC状态。</w:t>
            </w:r>
          </w:p>
          <w:p>
            <w:pPr>
              <w:widowControl/>
              <w:ind w:firstLine="480"/>
              <w:jc w:val="both"/>
              <w:textAlignment w:val="center"/>
              <w:rPr>
                <w:rFonts w:hint="eastAsia" w:asciiTheme="minorEastAsia" w:hAnsiTheme="minorEastAsia" w:eastAsiaTheme="minorEastAsia" w:cstheme="minorEastAsia"/>
                <w:color w:val="000000"/>
                <w:szCs w:val="24"/>
                <w:lang w:eastAsia="zh-CN" w:bidi="ar"/>
              </w:rPr>
            </w:pPr>
            <w:r>
              <w:rPr>
                <w:rFonts w:hint="eastAsia" w:asciiTheme="minorEastAsia" w:hAnsiTheme="minorEastAsia" w:eastAsiaTheme="minorEastAsia" w:cstheme="minorEastAsia"/>
                <w:color w:val="000000"/>
                <w:szCs w:val="24"/>
                <w:lang w:bidi="ar"/>
              </w:rPr>
              <w:t>2）基于仪器质控考核结果的数据审核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基于设备质控考核（如实际水样比对、标样自动核查、盲样考核、加标回收率测定等）结果、系统及仪器测量日志综合判断某条数据是否有效，并可查看质控记录或质控报告。</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3）基于规则的数据审核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基于预先设置的审核规则对水站上传的原始数据进行自动判断，实现数据有效性自动审核。各种规则参数，例如：超量程、数据为零、连续不变、突然变大、突然变小等，可在软件内进行灵活配置。</w:t>
            </w:r>
          </w:p>
          <w:p>
            <w:pPr>
              <w:widowControl/>
              <w:ind w:firstLine="480"/>
              <w:jc w:val="both"/>
              <w:textAlignment w:val="center"/>
              <w:rPr>
                <w:rFonts w:hint="eastAsia" w:asciiTheme="minorEastAsia" w:hAnsiTheme="minorEastAsia" w:eastAsiaTheme="minorEastAsia" w:cstheme="minorEastAsia"/>
                <w:color w:val="000000"/>
                <w:szCs w:val="24"/>
                <w:lang w:eastAsia="zh-CN" w:bidi="ar"/>
              </w:rPr>
            </w:pPr>
            <w:r>
              <w:rPr>
                <w:rFonts w:hint="eastAsia" w:asciiTheme="minorEastAsia" w:hAnsiTheme="minorEastAsia" w:eastAsiaTheme="minorEastAsia" w:cstheme="minorEastAsia"/>
                <w:color w:val="000000"/>
                <w:szCs w:val="24"/>
                <w:lang w:bidi="ar"/>
              </w:rPr>
              <w:t>4）基于模型和大数据分析的数据审核</w:t>
            </w:r>
          </w:p>
          <w:p>
            <w:pPr>
              <w:widowControl/>
              <w:ind w:firstLine="480"/>
              <w:jc w:val="both"/>
              <w:textAlignment w:val="center"/>
              <w:rPr>
                <w:rFonts w:hint="eastAsia" w:asciiTheme="minorEastAsia" w:hAnsiTheme="minorEastAsia" w:eastAsiaTheme="minorEastAsia" w:cstheme="minorEastAsia"/>
                <w:color w:val="000000"/>
                <w:szCs w:val="24"/>
                <w:lang w:eastAsia="zh-CN" w:bidi="ar"/>
              </w:rPr>
            </w:pPr>
            <w:r>
              <w:rPr>
                <w:rFonts w:hint="eastAsia" w:asciiTheme="minorEastAsia" w:hAnsiTheme="minorEastAsia" w:eastAsiaTheme="minorEastAsia" w:cstheme="minorEastAsia"/>
                <w:color w:val="000000"/>
                <w:szCs w:val="24"/>
                <w:lang w:bidi="ar"/>
              </w:rPr>
              <w:t>利用统计分析、聚类分析、回归分析、多维空间计算等算法，通过对历史数据、实时数据等的合理性、逻辑性、相关性进行分析，创建异常数据捕获模型，对不合理的可疑数据自动筛选和预判。</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具备对异常数据的研判分析能力。不仅能对单个监测指标提供各种分析机制，还具有多个监测指标组合相关性分析能力。</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（3）自动预审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系统依据审核策略自动对数据进行判断，对于识别的异常数据自动发送给运维人员排查确认，标识数据的有效性，为下一步人工审核确认做准备（系统也可对部分数据直接自动确认数据有效性，不再需要人工确认环节处理，提高数据审核效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（4）辅助审核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系统提供图形、GIS、表单等功能辅助人工进行数据审核，提高数据审核效率，减少人员工作量。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（5）人工审核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1）数据审核人员对已经过自动预审的数据进行人工有效性判断，最终确认数据有效性。系统提供各种辅助审核功能提高审核效率和质量。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2）人工数据审核包括审核流程定义、步骤定义、操作人员权限分配、审核辅助工具等功能。通过设置数据审核人员角色，DBSRS1、DBSRS2、DBSRS3…，分别对应1级审核、2级审核、3级审核…。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（6）多级审核</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制定合理的审核流程机制，建立现场运维人员（初审）、运维管理人员（复审）、环保部门审核人员（终审）、反审核等多级审核机制，通过不同的颜色，标注对应的数据审核级别。并能查询各审核人员的审核日志，包括审核时间，审核角色，审核人员等。</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7</w:t>
            </w:r>
            <w:r>
              <w:rPr>
                <w:rFonts w:hint="eastAsia" w:asciiTheme="minorEastAsia" w:hAnsiTheme="minorEastAsia" w:eastAsiaTheme="minorEastAsia" w:cstheme="minorEastAsia"/>
                <w:color w:val="000000"/>
                <w:szCs w:val="24"/>
                <w:lang w:bidi="ar"/>
              </w:rPr>
              <w:t>、监测预警系统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（1）GIS信息应用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1）以ArcGis为基础平台，实现地图的显示、操作等应用。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2）地图操作包括：地图缩放、地图漫游、测距、框选、点选；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3）系统登录后，根据配置的地图中心显示地图，并显示监测点的分布；</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4）根据不同的监测站类型，使用不同的图标显示；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5）以颜色、闪烁表示监测点的状态，状态有：在线/离线，超标、故障。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6）根据监测数据，显示该站点的水质类型；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7）点击标记站点，产生气泡，气泡中显示该站点实时数据表格；实现实时更新各站点监测的各项污染物最新监测值（含标识），实现5分钟自动更新一次。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（2）弹出气泡界面：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1）自动站现场端图像、名称、类型（车载、船载、浮标、固定站）、经纬度、备注；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2）水质情况：如有超标，则显示超标数据，否则显示：所有监测数据达标。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3）导航（方阵）：集成系统、仪器设备、视频监控、水质监测。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界面如下图所示：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（3）自动站导航及统计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1）导航与检索：以GIS为基础，自动站可实现按行政区、流域两种列表方式展现，并增加按流域、行政区、监测参数等条件综合检索功能。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2）站点统计：以行政区、流域地理定位为基础，快速导航到自动站所在的行政区和流域，并对该条件内的自动站联网情况、故障情况、水质情况等数据进行统计。</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3）重点关注：对于各级领导关心的自动站、经常出现水质异常、故障率高等自动站，用户可自行设定基本进行关注，以保证在自动监控情况下快速跟进自动站运行质量状况。</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(4)水质预测预警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预警系统要求以手机短消息作为主要告警方式，系统功能要求如下：</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1)数据超标报警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根据相关标准设定各监控对象数据超标标准审核数据采集现场传输过来的实时数据，对于超标或异常数据以短消息形式发送至相关负责人及环保部门相关联系人。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2)故障报警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根据扩展通信协议，实现现场端故障、停运、异常等情况即时报警功能。展示超标预警信息，某监测因子的变化趋势、超标报警信息、报警记录（手动填报报警记录单）等。</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3)水质超标预警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水质预警：对主要的水源地监测其当前水质。若当前水质为1、2、3类则正常；若为4类则进行黄色预警；若为4类以下（5类或劣5类）则进行红色预警。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可实现生成趋势图，来查看该站点当前异动指标（监测因子）的变化折线趋势图。</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4)现场状态异常预警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A.集成系统、分析仪器等故障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B.网络状态离线、数据未上报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C.数据缺失预警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5)报警记录填报、查询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各监测子站运维人员可填报报警记录单，监测中心可实时查询。提供可按Excel或Txt格式导出功能。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8</w:t>
            </w:r>
            <w:r>
              <w:rPr>
                <w:rFonts w:hint="eastAsia" w:asciiTheme="minorEastAsia" w:hAnsiTheme="minorEastAsia" w:eastAsiaTheme="minorEastAsia" w:cstheme="minorEastAsia"/>
                <w:color w:val="000000"/>
                <w:szCs w:val="24"/>
                <w:lang w:bidi="ar"/>
              </w:rPr>
              <w:t>、数据查询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数据查询功能，包括查询数据、数据管理、数据报表、数据图表分析。主要是查询该监控点位实时上传的监测数据，包括超标数据查询，并形成数据报表，通过监测数据形成数据图形分析，分析当前该监控点状况。</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（1）周期数据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根据自动站实际监测周期生成数据报告，并结合监测过程各设备状态记录、标样核查数据、加标回收数据等辅助判别数据准确性。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（2）加标回收率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仪器定时标样核查或加标回收率测试数据采集与分析。根据仪器自动标样核查数据，分析仪器的可靠性、测试样品的准确性；将传统可靠的实验室手工质控校验方法自动化，由仪器自动控制水样的再加标回收测试，实现已知的水样测试结果准确性检验。</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（3）标准样自动核查</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数据的有效性在整个数据应用中起到重要的作用，通过该功能可以判断下端监测参数上传的数据是否有效，核查情况记录每一次仪器（自动、手工）比对的实测值，实测值与标准值进行计算得出误差率，通过误差率判断此次核查的情况是否通过，如果在这一个时间核查出来的结果为通过，则在这一时间之后直至下一核查开始前所有下端仪器上传上来数据视为有效，否则视为无效。</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（4）超标数据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用于查询监测各污染因子超标情况，可以通过时间段查询各自动站不同污染因子的超标状态。</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9</w:t>
            </w:r>
            <w:r>
              <w:rPr>
                <w:rFonts w:hint="eastAsia" w:asciiTheme="minorEastAsia" w:hAnsiTheme="minorEastAsia" w:eastAsiaTheme="minorEastAsia" w:cstheme="minorEastAsia"/>
                <w:color w:val="000000"/>
                <w:szCs w:val="24"/>
                <w:lang w:bidi="ar"/>
              </w:rPr>
              <w:t>、水质评价</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水质分为Ⅰ、Ⅱ、Ⅲ、Ⅳ、Ⅴ、劣Ⅴ共6类，每类水质用一种色块，水质总体状况分析功能分月、季、年三种方式统计各断面或流域水质类别比重，以饼状图、柱状图形式展现，图形可导出。</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10</w:t>
            </w:r>
            <w:r>
              <w:rPr>
                <w:rFonts w:hint="eastAsia" w:asciiTheme="minorEastAsia" w:hAnsiTheme="minorEastAsia" w:eastAsiaTheme="minorEastAsia" w:cstheme="minorEastAsia"/>
                <w:color w:val="000000"/>
                <w:szCs w:val="24"/>
                <w:lang w:bidi="ar"/>
              </w:rPr>
              <w:t>、水域纳污能力计算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水域纳污能力计算依据为《水域纳污能力计算规程》（GB25173-2010），能够根据某一水域起始断面和终止断面的水质类别，选择污染物指标，结合水文条件，水质管理目标计算该水域的纳污能力。</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1</w:t>
            </w:r>
            <w:r>
              <w:rPr>
                <w:rFonts w:hint="eastAsia" w:asciiTheme="minorEastAsia" w:hAnsiTheme="minorEastAsia" w:eastAsiaTheme="minorEastAsia" w:cstheme="minorEastAsia"/>
                <w:color w:val="000000"/>
                <w:szCs w:val="24"/>
                <w:lang w:bidi="ar"/>
              </w:rPr>
              <w:t>、日志管理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（1）事件日志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对于运行方式的切换，判别出异常数据的参数、数据超标的参数，系统都会有事件记录，方便查询。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（2）系统日志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对于监测站点现场端集成控制系统上传的系统（区别于分析仪器）动作记录，平台软件提供查询功能，如现场取水、管路清洗、PLC动作等信息查询。</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（3）仪器日志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对于具备采集仪器分析过程中关键部件信号的监测参数，提供流程日志查询功能，用于分析仪器在测试过程中是否出现过异常。</w:t>
            </w:r>
          </w:p>
        </w:tc>
        <w:tc>
          <w:tcPr>
            <w:tcW w:w="936"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440" w:hRule="atLeast"/>
        </w:trPr>
        <w:tc>
          <w:tcPr>
            <w:tcW w:w="939"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2"/>
              <w:jc w:val="center"/>
              <w:rPr>
                <w:rFonts w:asciiTheme="minorEastAsia" w:hAnsiTheme="minorEastAsia" w:eastAsiaTheme="minorEastAsia" w:cstheme="minorEastAsia"/>
                <w:b/>
                <w:bCs/>
                <w:color w:val="000000"/>
                <w:szCs w:val="24"/>
              </w:rPr>
            </w:pPr>
          </w:p>
        </w:tc>
        <w:tc>
          <w:tcPr>
            <w:tcW w:w="1360"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center"/>
              <w:rPr>
                <w:rFonts w:asciiTheme="minorEastAsia" w:hAnsiTheme="minorEastAsia" w:eastAsiaTheme="minorEastAsia" w:cstheme="minorEastAsia"/>
                <w:color w:val="000000"/>
                <w:szCs w:val="24"/>
              </w:rPr>
            </w:pPr>
          </w:p>
        </w:tc>
        <w:tc>
          <w:tcPr>
            <w:tcW w:w="10301" w:type="dxa"/>
            <w:vMerge w:val="continue"/>
            <w:tcBorders>
              <w:top w:val="single" w:color="000000" w:sz="4" w:space="0"/>
              <w:left w:val="single" w:color="000000" w:sz="4" w:space="0"/>
              <w:bottom w:val="nil"/>
              <w:right w:val="single" w:color="000000" w:sz="4" w:space="0"/>
            </w:tcBorders>
            <w:shd w:val="clear" w:color="auto" w:fill="auto"/>
            <w:vAlign w:val="center"/>
          </w:tcPr>
          <w:p>
            <w:pPr>
              <w:ind w:firstLine="480"/>
              <w:jc w:val="both"/>
              <w:rPr>
                <w:rFonts w:asciiTheme="minorEastAsia" w:hAnsiTheme="minorEastAsia" w:eastAsiaTheme="minorEastAsia" w:cstheme="minorEastAsia"/>
                <w:color w:val="000000"/>
                <w:szCs w:val="24"/>
              </w:rPr>
            </w:pPr>
          </w:p>
        </w:tc>
        <w:tc>
          <w:tcPr>
            <w:tcW w:w="93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c>
          <w:tcPr>
            <w:tcW w:w="816" w:type="dxa"/>
            <w:vMerge w:val="continue"/>
            <w:tcBorders>
              <w:top w:val="single" w:color="000000" w:sz="4" w:space="0"/>
              <w:left w:val="single" w:color="000000" w:sz="4" w:space="0"/>
              <w:bottom w:val="nil"/>
              <w:right w:val="single" w:color="000000" w:sz="4" w:space="0"/>
            </w:tcBorders>
            <w:shd w:val="clear" w:color="auto" w:fill="auto"/>
            <w:noWrap/>
            <w:vAlign w:val="center"/>
          </w:tcPr>
          <w:p>
            <w:pPr>
              <w:ind w:firstLine="480"/>
              <w:jc w:val="center"/>
              <w:rPr>
                <w:rFonts w:asciiTheme="minorEastAsia" w:hAnsiTheme="minorEastAsia" w:eastAsiaTheme="minorEastAsia" w:cstheme="minorEastAsia"/>
                <w:color w:val="000000"/>
                <w:szCs w:val="24"/>
              </w:rPr>
            </w:pPr>
          </w:p>
        </w:tc>
      </w:tr>
      <w:tr>
        <w:tblPrEx>
          <w:tblCellMar>
            <w:top w:w="0" w:type="dxa"/>
            <w:left w:w="108" w:type="dxa"/>
            <w:bottom w:w="0" w:type="dxa"/>
            <w:right w:w="108" w:type="dxa"/>
          </w:tblCellMar>
        </w:tblPrEx>
        <w:trPr>
          <w:trHeight w:val="1033"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三</w:t>
            </w:r>
          </w:p>
        </w:tc>
        <w:tc>
          <w:tcPr>
            <w:tcW w:w="1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集装式站房建设</w:t>
            </w:r>
          </w:p>
        </w:tc>
      </w:tr>
      <w:tr>
        <w:tblPrEx>
          <w:tblCellMar>
            <w:top w:w="0" w:type="dxa"/>
            <w:left w:w="108" w:type="dxa"/>
            <w:bottom w:w="0" w:type="dxa"/>
            <w:right w:w="108" w:type="dxa"/>
          </w:tblCellMar>
        </w:tblPrEx>
        <w:trPr>
          <w:trHeight w:val="75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场地平整</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1.在满足总平面设计的要求，并与场外工程设施的标高相协调的前提下，考虑挖填平衡，以挖作填；</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2.如挖方少于填方，则要考虑土方的来源，如挖方多于填方，则要考虑弃土堆场；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3.场地设计标高要高出区域最高洪水位，在严寒地区，场地的最高地下水位应在土壤冻结深度以下。</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4</w:t>
            </w:r>
            <w:r>
              <w:rPr>
                <w:rFonts w:hint="eastAsia" w:asciiTheme="minorEastAsia" w:hAnsiTheme="minorEastAsia" w:eastAsiaTheme="minorEastAsia" w:cstheme="minorEastAsia"/>
                <w:color w:val="000000"/>
                <w:szCs w:val="24"/>
                <w:lang w:bidi="ar"/>
              </w:rPr>
              <w:t>.平整施工场地要求，一是通过场地的平整，使场地的自然标髙达到设计要求的高度，二是在平整场地的过程中，建立必要的、能够满足施工要求的供水、排水、供电、道路以及临时建筑等基础设施，从而使施工中所要求的必要条件得到充分的满足。场地平整面积不小于60平方米。</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5</w:t>
            </w:r>
            <w:r>
              <w:rPr>
                <w:rFonts w:hint="eastAsia" w:asciiTheme="minorEastAsia" w:hAnsiTheme="minorEastAsia" w:eastAsiaTheme="minorEastAsia" w:cstheme="minorEastAsia"/>
                <w:color w:val="000000"/>
                <w:szCs w:val="24"/>
                <w:lang w:bidi="ar"/>
              </w:rPr>
              <w:t>.本项目内建筑均按建设用地要求合理退道路红线及用地界线并符合规划部门要求。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asciiTheme="minorEastAsia" w:hAnsiTheme="minorEastAsia" w:eastAsiaTheme="minorEastAsia" w:cstheme="minorEastAsia"/>
                <w:color w:val="000000"/>
                <w:szCs w:val="24"/>
                <w:lang w:bidi="ar"/>
              </w:rPr>
              <w:t>6.</w:t>
            </w:r>
            <w:r>
              <w:rPr>
                <w:rFonts w:hint="eastAsia" w:asciiTheme="minorEastAsia" w:hAnsiTheme="minorEastAsia" w:eastAsiaTheme="minorEastAsia" w:cstheme="minorEastAsia"/>
                <w:color w:val="000000"/>
                <w:szCs w:val="24"/>
                <w:lang w:bidi="ar"/>
              </w:rPr>
              <w:t>本项目建设用地呈不规则形，监测站现有建成区中，两处水质自动监测站四周临近平地，建设用地周边道路及建筑退线。</w:t>
            </w:r>
          </w:p>
          <w:p>
            <w:pPr>
              <w:widowControl/>
              <w:ind w:firstLine="480"/>
              <w:jc w:val="both"/>
              <w:textAlignment w:val="center"/>
              <w:rPr>
                <w:rFonts w:asciiTheme="minorEastAsia" w:hAnsiTheme="minorEastAsia" w:eastAsiaTheme="minorEastAsia" w:cstheme="minorEastAsia"/>
                <w:color w:val="000000"/>
                <w:szCs w:val="24"/>
              </w:rPr>
            </w:pPr>
            <w:r>
              <w:rPr>
                <w:rFonts w:asciiTheme="minorEastAsia" w:hAnsiTheme="minorEastAsia" w:eastAsiaTheme="minorEastAsia" w:cstheme="minorEastAsia"/>
                <w:color w:val="000000"/>
                <w:szCs w:val="24"/>
                <w:lang w:bidi="ar"/>
              </w:rPr>
              <w:t>7.</w:t>
            </w:r>
            <w:r>
              <w:rPr>
                <w:rFonts w:hint="eastAsia" w:asciiTheme="minorEastAsia" w:hAnsiTheme="minorEastAsia" w:eastAsiaTheme="minorEastAsia" w:cstheme="minorEastAsia"/>
                <w:color w:val="000000"/>
                <w:szCs w:val="24"/>
                <w:lang w:bidi="ar"/>
              </w:rPr>
              <w:t>土石方的填筑作业要求：填方要有足够的强度和稳定性；土体的沉陷量力求最小，每层虚铺厚度应根据土壤类别、压实机械性能而定，填方边坡的大小也要根据填筑高度、选用材料的类别，做出恰当的选择。填方的压实一般采用碾压、夯实、振动夯实等方法。</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307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地基土建工程（含防护栏）</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1.本工程基础形式采用素混凝土筏板基础，持力层均为夯实后的原土，地基承载力暂定值Fak=150Kpa。</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2.地基处理方法：基坑开挖至基底标高下后将基础底面的原土进行夯实，压实系数不小于0.95，夯实宽度为自基础外边每边向外1.0米。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3.根据《混凝土结构设计规范》GB50010-2010中有关耐久性的规定，地下部分的基础与土直接接触的构件为二b类环境，基础混凝土等级为C30，其余未注明均为C25，混凝土耐久性的基本要求。</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4.防护栏建设采用不锈钢或铸铁加防腐层建设，高度要求不小于1.8米。</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84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集装箱式站房</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站房技术要求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本建筑结构的安全等级二级，设计使用年限50年；基础设计等级为丙级。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站房保证水站系统长期、稳定运行，用于承载系统仪器、设备的主体建筑物和外部配套设施两部分。外部配套设施是指引入清洁水、通电、通讯和通路，以及周边土地的平整、绿化等。站房不仅要满足水质自动监测的需求，同时具有开展研究和宣传教育的功能。站房面积不小于42平方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设计载荷：</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1.屋面恒荷载 0.3KN/平米(包括屋面板及檩条自重，钢架自重)</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2.屋面活荷载 0.2KN/平米(钢架) 0.25KN/平米 (檩条) 檩条施工或检修集 中荷载为 1.0KN。</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3.基本风压为 0.75KN/平米。</w:t>
            </w:r>
          </w:p>
          <w:p>
            <w:pPr>
              <w:ind w:firstLine="480"/>
              <w:jc w:val="both"/>
            </w:pPr>
            <w:r>
              <w:rPr>
                <w:rFonts w:hint="eastAsia" w:asciiTheme="minorEastAsia" w:hAnsiTheme="minorEastAsia" w:eastAsiaTheme="minorEastAsia" w:cstheme="minorEastAsia"/>
                <w:color w:val="000000"/>
                <w:szCs w:val="24"/>
                <w:lang w:bidi="ar"/>
              </w:rPr>
              <w:t>4.</w:t>
            </w:r>
            <w:r>
              <w:rPr>
                <w:rFonts w:hint="eastAsia"/>
              </w:rPr>
              <w:t>抗震：场地地震基本烈度为7度，抗震按7度设防，设计基本地震加速为0.10g，设计特征周期为0.35秒，设计地震分组第一组，建筑物场地土壤类别为</w:t>
            </w:r>
            <w:r>
              <w:rPr>
                <w:rFonts w:hint="eastAsia"/>
                <w:color w:val="FF0000"/>
              </w:rPr>
              <w:t>II</w:t>
            </w:r>
            <w:r>
              <w:rPr>
                <w:rFonts w:hint="eastAsia"/>
              </w:rPr>
              <w:t>类。</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5.雪荷载 0.25KN/平米。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（二）站房分区</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分仪器区、质控区、</w:t>
            </w:r>
            <w:r>
              <w:rPr>
                <w:rFonts w:asciiTheme="minorEastAsia" w:hAnsiTheme="minorEastAsia" w:eastAsiaTheme="minorEastAsia" w:cstheme="minorEastAsia"/>
                <w:color w:val="000000"/>
                <w:szCs w:val="24"/>
                <w:lang w:bidi="ar"/>
              </w:rPr>
              <w:t>危废暂存区</w:t>
            </w:r>
            <w:r>
              <w:rPr>
                <w:rFonts w:hint="eastAsia" w:asciiTheme="minorEastAsia" w:hAnsiTheme="minorEastAsia" w:eastAsiaTheme="minorEastAsia" w:cstheme="minorEastAsia"/>
                <w:color w:val="000000"/>
                <w:szCs w:val="24"/>
                <w:lang w:bidi="ar"/>
              </w:rPr>
              <w:t>。</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1.站房主体结构</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(1)站房主体符合建设标准《门式刚架轻型房屋钢结构技术规范》(GB 51022-2015)，可抗里氏七级以下地震。</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(2)钢架、吊车梁和焊接的檩条、墙梁等构件采用Q235B或Q345A及以上等级的钢材；非焊接的檩条和墙梁等构件应采用Q235A钢材；当有根据时，门式刚架、檩条和墙梁可采用其他牌号的钢材制作。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(3)用于围护系统的屋面及墙面板材采用符合现行国家标准《连续热镀锌钢板及钢带》(GB/T2518-2008)、《连续热镀铝锌合金镀层钢板及钢带》(GB/T 14978-2008)和《彩色涂层钢板及钢带》(GB/T 12754-2006)规定的钢板，采用的压型钢板应符合现行国家标准《建筑用压型钢板》(GB/T 12755-2008)的规定。</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(4)站房耐火等级应符合现行国家标准《建筑设计防火规范》（GB 50016）的规定，</w:t>
            </w:r>
            <w:r>
              <w:rPr>
                <w:rFonts w:hint="eastAsia"/>
              </w:rPr>
              <w:t>站房与其他建筑物合建时，应单独设置防火区、隔离区。站房内使用的材料需为耐火，防腐蚀材料。</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5</w:t>
            </w:r>
            <w:r>
              <w:rPr>
                <w:rFonts w:hint="eastAsia" w:asciiTheme="minorEastAsia" w:hAnsiTheme="minorEastAsia" w:eastAsiaTheme="minorEastAsia" w:cstheme="minorEastAsia"/>
                <w:color w:val="000000"/>
                <w:szCs w:val="24"/>
                <w:lang w:bidi="ar"/>
              </w:rPr>
              <w:t>)站房内部进行隔热保温处理，夹层采用防火隔热的岩棉(厚度至少50mm)，地面铺设防滑地砖。</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6</w:t>
            </w:r>
            <w:r>
              <w:rPr>
                <w:rFonts w:hint="eastAsia" w:asciiTheme="minorEastAsia" w:hAnsiTheme="minorEastAsia" w:eastAsiaTheme="minorEastAsia" w:cstheme="minorEastAsia"/>
                <w:color w:val="000000"/>
                <w:szCs w:val="24"/>
                <w:lang w:bidi="ar"/>
              </w:rPr>
              <w:t>)站房设置仪器仪器区、质控区</w:t>
            </w:r>
            <w:r>
              <w:rPr>
                <w:rFonts w:hint="eastAsia" w:hAnsi="宋体"/>
                <w:color w:val="000000"/>
              </w:rPr>
              <w:t>、危废暂存区</w:t>
            </w:r>
            <w:r>
              <w:rPr>
                <w:rFonts w:hint="eastAsia" w:asciiTheme="minorEastAsia" w:hAnsiTheme="minorEastAsia" w:eastAsiaTheme="minorEastAsia" w:cstheme="minorEastAsia"/>
                <w:color w:val="000000"/>
                <w:szCs w:val="24"/>
                <w:lang w:bidi="ar"/>
              </w:rPr>
              <w:t>，用于自动监测系统的安放</w:t>
            </w:r>
            <w:r>
              <w:rPr>
                <w:rFonts w:hint="eastAsia" w:hAnsi="宋体"/>
                <w:color w:val="000000"/>
              </w:rPr>
              <w:t>、简易实验台的安装以及废液暂时存储。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7</w:t>
            </w:r>
            <w:r>
              <w:rPr>
                <w:rFonts w:hint="eastAsia" w:asciiTheme="minorEastAsia" w:hAnsiTheme="minorEastAsia" w:eastAsiaTheme="minorEastAsia" w:cstheme="minorEastAsia"/>
                <w:color w:val="000000"/>
                <w:szCs w:val="24"/>
                <w:lang w:bidi="ar"/>
              </w:rPr>
              <w:t>)站房地面铺设全瓷地面砖</w:t>
            </w:r>
            <w:r>
              <w:rPr>
                <w:rFonts w:hint="eastAsia" w:asciiTheme="minorEastAsia" w:hAnsiTheme="minorEastAsia" w:eastAsiaTheme="minorEastAsia" w:cstheme="minorEastAsia"/>
                <w:szCs w:val="24"/>
                <w:lang w:bidi="ar"/>
              </w:rPr>
              <w:t>、尺寸600*600或800*800，承载200-</w:t>
            </w:r>
            <w:r>
              <w:rPr>
                <w:rFonts w:hint="eastAsia" w:asciiTheme="minorEastAsia" w:hAnsiTheme="minorEastAsia" w:eastAsiaTheme="minorEastAsia" w:cstheme="minorEastAsia"/>
                <w:color w:val="000000"/>
                <w:szCs w:val="24"/>
                <w:lang w:bidi="ar"/>
              </w:rPr>
              <w:t>250kg/m</w:t>
            </w:r>
            <w:r>
              <w:rPr>
                <w:rFonts w:hint="eastAsia" w:asciiTheme="minorEastAsia" w:hAnsiTheme="minorEastAsia" w:eastAsiaTheme="minorEastAsia" w:cstheme="minorEastAsia"/>
                <w:color w:val="000000"/>
                <w:szCs w:val="24"/>
                <w:vertAlign w:val="superscript"/>
                <w:lang w:bidi="ar"/>
              </w:rPr>
              <w:t>2</w:t>
            </w:r>
            <w:r>
              <w:rPr>
                <w:rFonts w:hint="eastAsia" w:asciiTheme="minorEastAsia" w:hAnsiTheme="minorEastAsia" w:eastAsiaTheme="minorEastAsia" w:cstheme="minorEastAsia"/>
                <w:color w:val="000000"/>
                <w:szCs w:val="24"/>
                <w:lang w:bidi="ar"/>
              </w:rPr>
              <w:t>，并在室内所需位置设置地漏。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8</w:t>
            </w:r>
            <w:r>
              <w:rPr>
                <w:rFonts w:hint="eastAsia" w:asciiTheme="minorEastAsia" w:hAnsiTheme="minorEastAsia" w:eastAsiaTheme="minorEastAsia" w:cstheme="minorEastAsia"/>
                <w:color w:val="000000"/>
                <w:szCs w:val="24"/>
                <w:lang w:bidi="ar"/>
              </w:rPr>
              <w:t>)</w:t>
            </w:r>
            <w:r>
              <w:rPr>
                <w:rFonts w:hint="eastAsia" w:hAnsi="宋体"/>
              </w:rPr>
              <w:t>门窗：合理设置80系列中空推拉塑钢窗，要求其表面洁净，密封胶表面平整光滑，厚度均匀，窗内侧加纱窗，外侧加不锈钢防盗网，并保证牢固，仪器室靠近摆放仪器一侧墙面严禁布置窗户。采用成品防盗门，划线，立门框，安装门扇附件，必须符合设计要求，保证牢固。</w:t>
            </w:r>
            <w:r>
              <w:rPr>
                <w:rFonts w:hint="eastAsia" w:asciiTheme="minorEastAsia" w:hAnsiTheme="minorEastAsia" w:eastAsiaTheme="minorEastAsia" w:cstheme="minorEastAsia"/>
                <w:color w:val="000000"/>
                <w:szCs w:val="24"/>
                <w:lang w:bidi="ar"/>
              </w:rPr>
              <w:t>所有窗户加装遮光窗帘。</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hAnsi="宋体"/>
              </w:rPr>
              <w:t>(</w:t>
            </w:r>
            <w:r>
              <w:rPr>
                <w:rFonts w:hAnsi="宋体"/>
              </w:rPr>
              <w:t>9</w:t>
            </w:r>
            <w:r>
              <w:rPr>
                <w:rFonts w:hint="eastAsia" w:hAnsi="宋体"/>
              </w:rPr>
              <w:t>)站房顶部设置通风换气系统。</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hAnsi="宋体"/>
              </w:rPr>
              <w:t>(</w:t>
            </w:r>
            <w:r>
              <w:rPr>
                <w:rFonts w:hAnsi="宋体"/>
              </w:rPr>
              <w:t>10</w:t>
            </w:r>
            <w:r>
              <w:rPr>
                <w:rFonts w:hint="eastAsia" w:hAnsi="宋体"/>
              </w:rPr>
              <w:t>)</w:t>
            </w:r>
            <w:r>
              <w:rPr>
                <w:rFonts w:hint="eastAsia"/>
              </w:rPr>
              <w:t>站房吊顶：根据站房建设情况可安装吊顶，站房内空高度应在2.7米以上。</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hAnsi="宋体"/>
              </w:rPr>
              <w:t>(</w:t>
            </w:r>
            <w:r>
              <w:rPr>
                <w:rFonts w:hAnsi="宋体"/>
              </w:rPr>
              <w:t>11</w:t>
            </w:r>
            <w:r>
              <w:rPr>
                <w:rFonts w:hint="eastAsia" w:hAnsi="宋体"/>
              </w:rPr>
              <w:t>)站房设自动灭火装置；配置的自动灭火装置，具有国家强制性产品认证证书。自动灭火装置触发可靠，灭火时间短，灭火装置填充</w:t>
            </w:r>
            <w:r>
              <w:rPr>
                <w:rFonts w:hAnsi="宋体"/>
              </w:rPr>
              <w:t>物</w:t>
            </w:r>
            <w:r>
              <w:rPr>
                <w:rFonts w:hint="eastAsia" w:hAnsi="宋体"/>
              </w:rPr>
              <w:t>对人和仪器无损害，体积美观实用，与站房和仪器系统整体协调。</w:t>
            </w:r>
          </w:p>
          <w:p>
            <w:pPr>
              <w:pStyle w:val="19"/>
              <w:ind w:firstLine="496"/>
              <w:jc w:val="both"/>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w:t>
            </w:r>
            <w:r>
              <w:rPr>
                <w:rFonts w:asciiTheme="minorEastAsia" w:hAnsiTheme="minorEastAsia" w:eastAsiaTheme="minorEastAsia" w:cstheme="minorEastAsia"/>
                <w:color w:val="000000"/>
                <w:szCs w:val="24"/>
                <w:lang w:bidi="ar"/>
              </w:rPr>
              <w:t>2</w:t>
            </w:r>
            <w:r>
              <w:rPr>
                <w:rFonts w:hint="eastAsia" w:asciiTheme="minorEastAsia" w:hAnsiTheme="minorEastAsia" w:eastAsiaTheme="minorEastAsia" w:cstheme="minorEastAsia"/>
                <w:color w:val="000000"/>
                <w:szCs w:val="24"/>
                <w:lang w:bidi="ar"/>
              </w:rPr>
              <w:t>)站房内至少配置感烟探测器；为防止感烟式探测器误报，宜采用感烟、感温两种探测器组合。</w:t>
            </w:r>
          </w:p>
          <w:p>
            <w:pPr>
              <w:pStyle w:val="19"/>
              <w:ind w:firstLine="496"/>
              <w:jc w:val="both"/>
              <w:rPr>
                <w:rFonts w:asciiTheme="minorEastAsia" w:hAnsiTheme="minorEastAsia" w:eastAsiaTheme="minorEastAsia" w:cstheme="minorEastAsia"/>
                <w:color w:val="000000"/>
                <w:szCs w:val="24"/>
                <w:lang w:bidi="ar"/>
              </w:rPr>
            </w:pPr>
            <w:r>
              <w:rPr>
                <w:rFonts w:hint="eastAsia"/>
              </w:rPr>
              <w:t>(1</w:t>
            </w:r>
            <w:r>
              <w:t>3</w:t>
            </w:r>
            <w:r>
              <w:rPr>
                <w:rFonts w:hint="eastAsia"/>
              </w:rPr>
              <w:t>)站房设置防盗措施，门窗加装防盗网，大门设置门禁系统(刷卡指纹密码一体，用于控制人员出入，对身份进行识别，防止非授权的进入，并自动记录站房出入情况)。</w:t>
            </w:r>
          </w:p>
          <w:p>
            <w:pPr>
              <w:pStyle w:val="19"/>
              <w:ind w:firstLine="496"/>
              <w:jc w:val="both"/>
              <w:rPr>
                <w:szCs w:val="22"/>
              </w:rPr>
            </w:pPr>
            <w:r>
              <w:rPr>
                <w:rFonts w:hint="eastAsia"/>
              </w:rPr>
              <w:t>(1</w:t>
            </w:r>
            <w:r>
              <w:t>4</w:t>
            </w:r>
            <w:r>
              <w:rPr>
                <w:rFonts w:hint="eastAsia"/>
              </w:rPr>
              <w:t>)站房周围加装防护栏。防护栏建设采用不锈钢或铸铁加防腐层建设，高度要求不小于1.8米。</w:t>
            </w:r>
          </w:p>
          <w:p>
            <w:pPr>
              <w:pStyle w:val="19"/>
              <w:ind w:firstLine="496"/>
              <w:jc w:val="both"/>
            </w:pPr>
            <w:r>
              <w:rPr>
                <w:rFonts w:hint="eastAsia"/>
              </w:rPr>
              <w:t>(1</w:t>
            </w:r>
            <w:r>
              <w:t>5</w:t>
            </w:r>
            <w:r>
              <w:rPr>
                <w:rFonts w:hint="eastAsia"/>
              </w:rPr>
              <w:t>)站房基础：站房四周应使用混凝土或其他材料对地面进行硬化。</w:t>
            </w:r>
          </w:p>
          <w:p>
            <w:pPr>
              <w:pStyle w:val="19"/>
              <w:ind w:firstLine="496"/>
              <w:jc w:val="both"/>
            </w:pPr>
            <w:r>
              <w:rPr>
                <w:rFonts w:hint="eastAsia"/>
              </w:rPr>
              <w:t>(1</w:t>
            </w:r>
            <w:r>
              <w:t>6</w:t>
            </w:r>
            <w:r>
              <w:rPr>
                <w:rFonts w:hint="eastAsia"/>
              </w:rPr>
              <w:t>)站房外地面要求平整，周围应干净整洁，有利于排水，并有适当绿化，应有防鼠、防虫措施。</w:t>
            </w:r>
          </w:p>
          <w:p>
            <w:pPr>
              <w:pStyle w:val="19"/>
              <w:ind w:firstLine="496"/>
              <w:jc w:val="both"/>
            </w:pPr>
            <w:r>
              <w:rPr>
                <w:rFonts w:hint="eastAsia"/>
              </w:rPr>
              <w:t>(1</w:t>
            </w:r>
            <w:r>
              <w:t>7</w:t>
            </w:r>
            <w:r>
              <w:rPr>
                <w:rFonts w:hint="eastAsia"/>
              </w:rPr>
              <w:t>)道路：通往地表水自动监测站应有硬化道路，路宽不小于3.0米，且与干线公路相通。站房前有适量空地，保证车辆的停放和物资的运输。</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rPr>
              <w:t>(1</w:t>
            </w:r>
            <w:r>
              <w:t>8</w:t>
            </w:r>
            <w:r>
              <w:rPr>
                <w:rFonts w:hint="eastAsia"/>
              </w:rPr>
              <w:t>)</w:t>
            </w:r>
            <w:r>
              <w:rPr>
                <w:rFonts w:hint="eastAsia" w:asciiTheme="minorEastAsia" w:hAnsiTheme="minorEastAsia" w:eastAsiaTheme="minorEastAsia" w:cstheme="minorEastAsia"/>
                <w:color w:val="000000"/>
                <w:szCs w:val="24"/>
                <w:lang w:bidi="ar"/>
              </w:rPr>
              <w:t>站房配备</w:t>
            </w:r>
            <w:r>
              <w:rPr>
                <w:rFonts w:asciiTheme="minorEastAsia" w:hAnsiTheme="minorEastAsia" w:eastAsiaTheme="minorEastAsia" w:cstheme="minorEastAsia"/>
                <w:color w:val="000000"/>
                <w:szCs w:val="24"/>
                <w:lang w:bidi="ar"/>
              </w:rPr>
              <w:t>必要的清洁用具</w:t>
            </w:r>
            <w:r>
              <w:rPr>
                <w:rFonts w:hint="eastAsia" w:asciiTheme="minorEastAsia" w:hAnsiTheme="minorEastAsia" w:eastAsiaTheme="minorEastAsia" w:cstheme="minorEastAsia"/>
                <w:color w:val="000000"/>
                <w:szCs w:val="24"/>
                <w:lang w:bidi="ar"/>
              </w:rPr>
              <w:t>扫把</w:t>
            </w:r>
            <w:r>
              <w:rPr>
                <w:rFonts w:asciiTheme="minorEastAsia" w:hAnsiTheme="minorEastAsia" w:eastAsiaTheme="minorEastAsia" w:cstheme="minorEastAsia"/>
                <w:color w:val="000000"/>
                <w:szCs w:val="24"/>
                <w:lang w:bidi="ar"/>
              </w:rPr>
              <w:t>、</w:t>
            </w:r>
            <w:r>
              <w:rPr>
                <w:rFonts w:hint="eastAsia" w:asciiTheme="minorEastAsia" w:hAnsiTheme="minorEastAsia" w:eastAsiaTheme="minorEastAsia" w:cstheme="minorEastAsia"/>
                <w:color w:val="000000"/>
                <w:szCs w:val="24"/>
                <w:lang w:bidi="ar"/>
              </w:rPr>
              <w:t>撮箕</w:t>
            </w:r>
            <w:r>
              <w:rPr>
                <w:rFonts w:asciiTheme="minorEastAsia" w:hAnsiTheme="minorEastAsia" w:eastAsiaTheme="minorEastAsia" w:cstheme="minorEastAsia"/>
                <w:color w:val="000000"/>
                <w:szCs w:val="24"/>
                <w:lang w:bidi="ar"/>
              </w:rPr>
              <w:t>、抹布、沥水拖把等</w:t>
            </w:r>
            <w:r>
              <w:rPr>
                <w:rFonts w:hint="eastAsia" w:asciiTheme="minorEastAsia" w:hAnsiTheme="minorEastAsia" w:eastAsiaTheme="minorEastAsia" w:cstheme="minorEastAsia"/>
                <w:color w:val="000000"/>
                <w:szCs w:val="24"/>
                <w:lang w:bidi="ar"/>
              </w:rPr>
              <w:t>。</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rPr>
              <w:t>(1</w:t>
            </w:r>
            <w:r>
              <w:t>9</w:t>
            </w:r>
            <w:r>
              <w:rPr>
                <w:rFonts w:hint="eastAsia"/>
              </w:rPr>
              <w:t>)环保要求：在设计、施工上加强环保节能意识，使其对环境的不利影响降到最低。</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2、仪器区要求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(1)仪器室内设置隐蔽管线通道(地沟)，地沟尺寸为宽300mm深300mm，地沟上设计不锈钢沟井盖，地沟的地漏和站房排水系统相连。</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电缆和插座：配电箱中预留一根φ50聚氯乙烯线管到地沟中，四周墙上预留多个五孔插座，墙上的五孔插座高于地面不少于0.5米。预留空调插座，空调插座高于地面不少于0.5米。配电箱预留五芯供电线路至自动监测系统控制柜位置。</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(3)排风扇：仪器室安装排风扇，若有吊顶，则可做在吊顶上，电源线引至配电箱中。</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(4)仪器摆放顺序从远离配电系统可分别为五参数、预处理单元、氨氮、化学需氧量、总磷、总氮、其他特征污染物仪器及主控制柜。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3、质控区要求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质控区内至少配有1套防酸碱化学实验台（不小于2米）和4个实验凳，用于</w:t>
            </w:r>
            <w:r>
              <w:rPr>
                <w:rFonts w:asciiTheme="minorEastAsia" w:hAnsiTheme="minorEastAsia" w:eastAsiaTheme="minorEastAsia" w:cstheme="minorEastAsia"/>
                <w:color w:val="000000"/>
                <w:szCs w:val="24"/>
                <w:lang w:bidi="ar"/>
              </w:rPr>
              <w:t>试剂配置、</w:t>
            </w:r>
            <w:r>
              <w:rPr>
                <w:rFonts w:hint="eastAsia" w:asciiTheme="minorEastAsia" w:hAnsiTheme="minorEastAsia" w:eastAsiaTheme="minorEastAsia" w:cstheme="minorEastAsia"/>
                <w:color w:val="000000"/>
                <w:szCs w:val="24"/>
                <w:lang w:bidi="ar"/>
              </w:rPr>
              <w:t>实验室比对仪器放置，备有上下水、洗涤台。配备冷藏柜以便于试剂存放。配备资料柜用于设备、运维资料存放。</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实验台：实验台主架采用40×60×1.8毫米优质方钢，表面经酸洗、磷化、均匀灰白环氧喷涂，化学防锈处理，台面选用复合贴面板台面(1毫米厚酚醛树脂化学实验用专用板)、实芯板台面(12.7毫米厚酚醛树脂板化学实验用专用板)或环氧树脂台面(20毫米厚)，具备耐强酸碱腐蚀，耐磨性、耐冲击性、耐污染性要求，实验台底座可调节。</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(2)洗涤台：主架与台面应与实验台保持一致，洗涤槽采用PP材料，水龙头采用两联或三联化验水龙头，底座可调节。</w:t>
            </w:r>
            <w:r>
              <w:rPr>
                <w:rFonts w:hint="eastAsia" w:hAnsi="宋体"/>
              </w:rPr>
              <w:t>配置</w:t>
            </w:r>
            <w:r>
              <w:rPr>
                <w:rFonts w:hint="eastAsia" w:asciiTheme="minorEastAsia" w:hAnsiTheme="minorEastAsia" w:eastAsiaTheme="minorEastAsia" w:cstheme="minorEastAsia"/>
                <w:color w:val="000000"/>
                <w:szCs w:val="24"/>
                <w:lang w:bidi="ar"/>
              </w:rPr>
              <w:t>烧杯沥水架一套。</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3</w:t>
            </w:r>
            <w:r>
              <w:rPr>
                <w:rFonts w:hint="eastAsia" w:asciiTheme="minorEastAsia" w:hAnsiTheme="minorEastAsia" w:eastAsiaTheme="minorEastAsia" w:cstheme="minorEastAsia"/>
                <w:color w:val="000000"/>
                <w:szCs w:val="24"/>
                <w:lang w:bidi="ar"/>
              </w:rPr>
              <w:t>)上水：水管采用PVC或PP-R材质，热熔连接，不渗漏。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4</w:t>
            </w:r>
            <w:r>
              <w:rPr>
                <w:rFonts w:hint="eastAsia" w:asciiTheme="minorEastAsia" w:hAnsiTheme="minorEastAsia" w:eastAsiaTheme="minorEastAsia" w:cstheme="minorEastAsia"/>
                <w:color w:val="000000"/>
                <w:szCs w:val="24"/>
                <w:lang w:bidi="ar"/>
              </w:rPr>
              <w:t>)下水：实验区排水全部采用防腐蚀耐酸碱材质，达到排水不渗漏不腐蚀。</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5</w:t>
            </w:r>
            <w:r>
              <w:rPr>
                <w:rFonts w:hint="eastAsia" w:asciiTheme="minorEastAsia" w:hAnsiTheme="minorEastAsia" w:eastAsiaTheme="minorEastAsia" w:cstheme="minorEastAsia"/>
                <w:color w:val="000000"/>
                <w:szCs w:val="24"/>
                <w:lang w:bidi="ar"/>
              </w:rPr>
              <w:t>)插座：实验台处预留至少</w:t>
            </w:r>
            <w:r>
              <w:rPr>
                <w:rFonts w:asciiTheme="minorEastAsia" w:hAnsiTheme="minorEastAsia" w:eastAsiaTheme="minorEastAsia" w:cstheme="minorEastAsia"/>
                <w:color w:val="000000"/>
                <w:szCs w:val="24"/>
                <w:lang w:bidi="ar"/>
              </w:rPr>
              <w:t>3</w:t>
            </w:r>
            <w:r>
              <w:rPr>
                <w:rFonts w:hint="eastAsia" w:asciiTheme="minorEastAsia" w:hAnsiTheme="minorEastAsia" w:eastAsiaTheme="minorEastAsia" w:cstheme="minorEastAsia"/>
                <w:color w:val="000000"/>
                <w:szCs w:val="24"/>
                <w:lang w:bidi="ar"/>
              </w:rPr>
              <w:t>个</w:t>
            </w:r>
            <w:r>
              <w:rPr>
                <w:rFonts w:hint="eastAsia" w:asciiTheme="minorEastAsia" w:hAnsiTheme="minorEastAsia" w:eastAsiaTheme="minorEastAsia" w:cstheme="minorEastAsia"/>
                <w:color w:val="000000" w:themeColor="text1"/>
                <w:szCs w:val="24"/>
                <w:lang w:bidi="ar"/>
                <w14:textFill>
                  <w14:solidFill>
                    <w14:schemeClr w14:val="tx1"/>
                  </w14:solidFill>
                </w14:textFill>
              </w:rPr>
              <w:t>五孔</w:t>
            </w:r>
            <w:r>
              <w:rPr>
                <w:rFonts w:hint="eastAsia" w:asciiTheme="minorEastAsia" w:hAnsiTheme="minorEastAsia" w:eastAsiaTheme="minorEastAsia" w:cstheme="minorEastAsia"/>
                <w:color w:val="000000"/>
                <w:szCs w:val="24"/>
                <w:lang w:bidi="ar"/>
              </w:rPr>
              <w:t>插座，实验台处插座及灯开关高于地板1.3米。</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6</w:t>
            </w:r>
            <w:r>
              <w:rPr>
                <w:rFonts w:hint="eastAsia" w:asciiTheme="minorEastAsia" w:hAnsiTheme="minorEastAsia" w:eastAsiaTheme="minorEastAsia" w:cstheme="minorEastAsia"/>
                <w:color w:val="000000"/>
                <w:szCs w:val="24"/>
                <w:lang w:bidi="ar"/>
              </w:rPr>
              <w:t>)冷藏柜：</w:t>
            </w:r>
            <w:r>
              <w:rPr>
                <w:rFonts w:hint="eastAsia" w:hAnsi="宋体" w:cs="宋体"/>
                <w:color w:val="000000"/>
                <w:szCs w:val="24"/>
                <w:lang w:bidi="ar"/>
              </w:rPr>
              <w:t>用于储存试剂。容积：≥300L；箱内温度：0-5℃。</w:t>
            </w:r>
          </w:p>
          <w:p>
            <w:pPr>
              <w:widowControl/>
              <w:ind w:firstLine="480"/>
              <w:jc w:val="both"/>
              <w:textAlignment w:val="center"/>
              <w:rPr>
                <w:rFonts w:asciiTheme="minorEastAsia" w:hAnsiTheme="minorEastAsia" w:eastAsiaTheme="minorEastAsia" w:cstheme="minorEastAsia"/>
                <w:color w:val="000000" w:themeColor="text1"/>
                <w:szCs w:val="24"/>
                <w:lang w:bidi="ar"/>
                <w14:textFill>
                  <w14:solidFill>
                    <w14:schemeClr w14:val="tx1"/>
                  </w14:solidFill>
                </w14:textFill>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7</w:t>
            </w:r>
            <w:r>
              <w:rPr>
                <w:rFonts w:hint="eastAsia" w:asciiTheme="minorEastAsia" w:hAnsiTheme="minorEastAsia" w:eastAsiaTheme="minorEastAsia" w:cstheme="minorEastAsia"/>
                <w:color w:val="000000"/>
                <w:szCs w:val="24"/>
                <w:lang w:bidi="ar"/>
              </w:rPr>
              <w:t>)</w:t>
            </w:r>
            <w:r>
              <w:rPr>
                <w:rFonts w:hint="eastAsia" w:asciiTheme="minorEastAsia" w:hAnsiTheme="minorEastAsia" w:eastAsiaTheme="minorEastAsia" w:cstheme="minorEastAsia"/>
                <w:color w:val="000000" w:themeColor="text1"/>
                <w:szCs w:val="24"/>
                <w:lang w:bidi="ar"/>
                <w14:textFill>
                  <w14:solidFill>
                    <w14:schemeClr w14:val="tx1"/>
                  </w14:solidFill>
                </w14:textFill>
              </w:rPr>
              <w:t>资料</w:t>
            </w:r>
            <w:r>
              <w:rPr>
                <w:rFonts w:asciiTheme="minorEastAsia" w:hAnsiTheme="minorEastAsia" w:eastAsiaTheme="minorEastAsia" w:cstheme="minorEastAsia"/>
                <w:color w:val="000000" w:themeColor="text1"/>
                <w:szCs w:val="24"/>
                <w:lang w:bidi="ar"/>
                <w14:textFill>
                  <w14:solidFill>
                    <w14:schemeClr w14:val="tx1"/>
                  </w14:solidFill>
                </w14:textFill>
              </w:rPr>
              <w:t>柜</w:t>
            </w:r>
            <w:r>
              <w:rPr>
                <w:rFonts w:hint="eastAsia" w:asciiTheme="minorEastAsia" w:hAnsiTheme="minorEastAsia" w:eastAsiaTheme="minorEastAsia" w:cstheme="minorEastAsia"/>
                <w:color w:val="000000" w:themeColor="text1"/>
                <w:szCs w:val="24"/>
                <w:lang w:bidi="ar"/>
                <w14:textFill>
                  <w14:solidFill>
                    <w14:schemeClr w14:val="tx1"/>
                  </w14:solidFill>
                </w14:textFill>
              </w:rPr>
              <w:t>：</w:t>
            </w:r>
            <w:r>
              <w:rPr>
                <w:rFonts w:hint="eastAsia"/>
                <w:color w:val="000000" w:themeColor="text1"/>
                <w14:textFill>
                  <w14:solidFill>
                    <w14:schemeClr w14:val="tx1"/>
                  </w14:solidFill>
                </w14:textFill>
              </w:rPr>
              <w:t>规格约为（900*400*2000），</w:t>
            </w:r>
            <w:r>
              <w:rPr>
                <w:color w:val="000000" w:themeColor="text1"/>
                <w14:textFill>
                  <w14:solidFill>
                    <w14:schemeClr w14:val="tx1"/>
                  </w14:solidFill>
                </w14:textFill>
              </w:rPr>
              <w:t>加厚钢制铁皮柜</w:t>
            </w:r>
            <w:r>
              <w:rPr>
                <w:rFonts w:asciiTheme="minorEastAsia" w:hAnsiTheme="minorEastAsia" w:eastAsiaTheme="minorEastAsia" w:cstheme="minorEastAsia"/>
                <w:color w:val="000000" w:themeColor="text1"/>
                <w:szCs w:val="24"/>
                <w:lang w:bidi="ar"/>
                <w14:textFill>
                  <w14:solidFill>
                    <w14:schemeClr w14:val="tx1"/>
                  </w14:solidFill>
                </w14:textFill>
              </w:rPr>
              <w:t>。</w:t>
            </w:r>
          </w:p>
          <w:p>
            <w:pPr>
              <w:widowControl/>
              <w:ind w:firstLine="480"/>
              <w:jc w:val="both"/>
              <w:textAlignment w:val="center"/>
              <w:rPr>
                <w:rFonts w:asciiTheme="minorEastAsia" w:hAnsiTheme="minorEastAsia" w:eastAsiaTheme="minorEastAsia" w:cstheme="minorEastAsia"/>
                <w:color w:val="000000" w:themeColor="text1"/>
                <w:szCs w:val="24"/>
                <w:lang w:bidi="ar"/>
                <w14:textFill>
                  <w14:solidFill>
                    <w14:schemeClr w14:val="tx1"/>
                  </w14:solidFill>
                </w14:textFill>
              </w:rPr>
            </w:pPr>
            <w:r>
              <w:rPr>
                <w:rFonts w:hint="eastAsia" w:asciiTheme="minorEastAsia" w:hAnsiTheme="minorEastAsia" w:eastAsiaTheme="minorEastAsia" w:cstheme="minorEastAsia"/>
                <w:color w:val="000000" w:themeColor="text1"/>
                <w:szCs w:val="24"/>
                <w:lang w:bidi="ar"/>
                <w14:textFill>
                  <w14:solidFill>
                    <w14:schemeClr w14:val="tx1"/>
                  </w14:solidFill>
                </w14:textFill>
              </w:rPr>
              <w:t>4、</w:t>
            </w:r>
            <w:r>
              <w:rPr>
                <w:rFonts w:asciiTheme="minorEastAsia" w:hAnsiTheme="minorEastAsia" w:eastAsiaTheme="minorEastAsia" w:cstheme="minorEastAsia"/>
                <w:color w:val="000000" w:themeColor="text1"/>
                <w:szCs w:val="24"/>
                <w:lang w:bidi="ar"/>
                <w14:textFill>
                  <w14:solidFill>
                    <w14:schemeClr w14:val="tx1"/>
                  </w14:solidFill>
                </w14:textFill>
              </w:rPr>
              <w:t>危废暂存间要求</w:t>
            </w:r>
          </w:p>
          <w:p>
            <w:pPr>
              <w:widowControl/>
              <w:ind w:firstLine="480"/>
              <w:jc w:val="both"/>
              <w:textAlignment w:val="center"/>
              <w:rPr>
                <w:rFonts w:asciiTheme="minorEastAsia" w:hAnsiTheme="minorEastAsia" w:eastAsiaTheme="minorEastAsia" w:cstheme="minorEastAsia"/>
                <w:color w:val="FF0000"/>
                <w:szCs w:val="24"/>
                <w:lang w:bidi="ar"/>
              </w:rPr>
            </w:pPr>
            <w:r>
              <w:rPr>
                <w:rFonts w:hint="eastAsia" w:asciiTheme="minorEastAsia" w:hAnsiTheme="minorEastAsia" w:eastAsiaTheme="minorEastAsia" w:cstheme="minorEastAsia"/>
                <w:color w:val="000000" w:themeColor="text1"/>
                <w:szCs w:val="24"/>
                <w:lang w:bidi="ar"/>
                <w14:textFill>
                  <w14:solidFill>
                    <w14:schemeClr w14:val="tx1"/>
                  </w14:solidFill>
                </w14:textFill>
              </w:rPr>
              <w:t>危废暂存间应单独</w:t>
            </w:r>
            <w:r>
              <w:rPr>
                <w:rFonts w:asciiTheme="minorEastAsia" w:hAnsiTheme="minorEastAsia" w:eastAsiaTheme="minorEastAsia" w:cstheme="minorEastAsia"/>
                <w:color w:val="000000" w:themeColor="text1"/>
                <w:szCs w:val="24"/>
                <w:lang w:bidi="ar"/>
                <w14:textFill>
                  <w14:solidFill>
                    <w14:schemeClr w14:val="tx1"/>
                  </w14:solidFill>
                </w14:textFill>
              </w:rPr>
              <w:t>设置</w:t>
            </w:r>
            <w:r>
              <w:rPr>
                <w:rFonts w:hint="eastAsia" w:asciiTheme="minorEastAsia" w:hAnsiTheme="minorEastAsia" w:eastAsiaTheme="minorEastAsia" w:cstheme="minorEastAsia"/>
                <w:color w:val="000000" w:themeColor="text1"/>
                <w:szCs w:val="24"/>
                <w:lang w:bidi="ar"/>
                <w14:textFill>
                  <w14:solidFill>
                    <w14:schemeClr w14:val="tx1"/>
                  </w14:solidFill>
                </w14:textFill>
              </w:rPr>
              <w:t>，门上应有观察窗以便工作人员进出和维修管理；门与地面的缝隙不应大于5mm；设置通风口以便于空气的流通；在有腐蚀性物质存在的地方还应考虑防渗漏措施；地面应平整坚固、无裂缝、无破损等现象；屋顶的防水层完好无损。</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84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lang w:bidi="ar"/>
              </w:rPr>
            </w:pPr>
            <w:r>
              <w:rPr>
                <w:rFonts w:hint="eastAsia" w:asciiTheme="minorEastAsia" w:hAnsiTheme="minorEastAsia" w:eastAsiaTheme="minorEastAsia" w:cstheme="minorEastAsia"/>
                <w:b/>
                <w:bCs/>
                <w:color w:val="000000"/>
                <w:szCs w:val="24"/>
                <w:lang w:bidi="ar"/>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给排水工程</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both"/>
            </w:pPr>
            <w:r>
              <w:rPr>
                <w:rFonts w:hint="eastAsia"/>
              </w:rPr>
              <w:t>1、给水系统</w:t>
            </w:r>
          </w:p>
          <w:p>
            <w:pPr>
              <w:ind w:firstLine="480"/>
              <w:jc w:val="both"/>
            </w:pPr>
            <w:r>
              <w:rPr>
                <w:rFonts w:hint="eastAsia"/>
              </w:rPr>
              <w:t>站房应根据仪器、设备、生活等对水质、水压和水量的要求分别设置给水系统。站房内引入自来水（或井水），必要时加设高位水箱。自来水的水量瞬时最大流量3立方米/小时，压力不小于0.5千克/平方厘米，保证每次清洗用量不小于1立方米。</w:t>
            </w:r>
          </w:p>
          <w:p>
            <w:pPr>
              <w:ind w:firstLine="480"/>
              <w:jc w:val="both"/>
            </w:pPr>
            <w:r>
              <w:rPr>
                <w:rFonts w:hint="eastAsia"/>
              </w:rPr>
              <w:t>2、排水系统</w:t>
            </w:r>
          </w:p>
          <w:p>
            <w:pPr>
              <w:ind w:firstLine="480"/>
              <w:jc w:val="both"/>
            </w:pPr>
            <w:r>
              <w:rPr>
                <w:rFonts w:hint="eastAsia"/>
              </w:rPr>
              <w:t>（1）雨水</w:t>
            </w:r>
          </w:p>
          <w:p>
            <w:pPr>
              <w:ind w:firstLine="480"/>
              <w:jc w:val="both"/>
            </w:pPr>
            <w:r>
              <w:rPr>
                <w:rFonts w:hint="eastAsia"/>
              </w:rPr>
              <w:t>本项目设置下凹式绿地，雨水就地入渗，提高本工程用地范围内的雨水利用率。</w:t>
            </w:r>
          </w:p>
          <w:p>
            <w:pPr>
              <w:ind w:firstLine="480"/>
              <w:jc w:val="both"/>
            </w:pPr>
            <w:r>
              <w:rPr>
                <w:rFonts w:hint="eastAsia"/>
              </w:rPr>
              <w:t>（2）采样回水及冲洗废水</w:t>
            </w:r>
          </w:p>
          <w:p>
            <w:pPr>
              <w:ind w:firstLine="480"/>
              <w:jc w:val="both"/>
            </w:pPr>
            <w:r>
              <w:rPr>
                <w:rFonts w:hint="eastAsia"/>
              </w:rPr>
              <w:t>站房内的采样回水及取水管冲洗废水汇入排水总管道，并经外排水管道排入相应排水点，排水总管径不小于DN100，以保证排水畅通，并配备冬季防冻措施。排水管出水口高于河水最高洪水水位的，设在采水点下游，排水点与采水点间的距离大于20米。</w:t>
            </w:r>
          </w:p>
          <w:p>
            <w:pPr>
              <w:ind w:firstLine="480"/>
              <w:jc w:val="both"/>
            </w:pPr>
            <w:r>
              <w:rPr>
                <w:rFonts w:hint="eastAsia"/>
              </w:rPr>
              <w:t>（3）废液</w:t>
            </w:r>
          </w:p>
          <w:p>
            <w:pPr>
              <w:ind w:firstLine="480"/>
              <w:jc w:val="both"/>
            </w:pPr>
            <w:r>
              <w:rPr>
                <w:rFonts w:hint="eastAsia"/>
              </w:rPr>
              <w:t>仪器运行各类试剂废水按照危险废物管理相关要求，设废液储存间单独收集、存放和储运，并统一交由有资质的固废处理单位处置。</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lang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lang w:bidi="ar"/>
              </w:rPr>
            </w:pPr>
          </w:p>
        </w:tc>
      </w:tr>
      <w:tr>
        <w:tblPrEx>
          <w:tblCellMar>
            <w:top w:w="0" w:type="dxa"/>
            <w:left w:w="108" w:type="dxa"/>
            <w:bottom w:w="0" w:type="dxa"/>
            <w:right w:w="108" w:type="dxa"/>
          </w:tblCellMar>
        </w:tblPrEx>
        <w:trPr>
          <w:trHeight w:val="84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lang w:bidi="ar"/>
              </w:rPr>
            </w:pPr>
            <w:r>
              <w:rPr>
                <w:rFonts w:hint="eastAsia" w:asciiTheme="minorEastAsia" w:hAnsiTheme="minorEastAsia" w:eastAsiaTheme="minorEastAsia" w:cstheme="minorEastAsia"/>
                <w:b/>
                <w:bCs/>
                <w:color w:val="000000"/>
                <w:szCs w:val="24"/>
                <w:lang w:bidi="ar"/>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通讯</w:t>
            </w:r>
            <w:r>
              <w:rPr>
                <w:rFonts w:asciiTheme="minorEastAsia" w:hAnsiTheme="minorEastAsia" w:eastAsiaTheme="minorEastAsia" w:cstheme="minorEastAsia"/>
                <w:color w:val="000000"/>
                <w:szCs w:val="24"/>
                <w:lang w:bidi="ar"/>
              </w:rPr>
              <w:t>工程</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both"/>
            </w:pPr>
            <w:r>
              <w:rPr>
                <w:rFonts w:hint="eastAsia"/>
              </w:rPr>
              <w:t>固定站房网络通讯建设以光纤/ADSL有线网络传输为主，现场条件不具备的情况下，可选用无线网络进行传输，站点现场应通过手机等通讯设备进行通话测试，通讯方式应选择至少两家通讯运营商，无线传输网络（固定IP优先）应满足数据传输要求及视频远程查看要求，传输带宽不小于20兆。</w:t>
            </w:r>
          </w:p>
          <w:p>
            <w:pPr>
              <w:ind w:firstLine="480"/>
              <w:jc w:val="both"/>
            </w:pPr>
            <w:r>
              <w:rPr>
                <w:rFonts w:hint="eastAsia"/>
              </w:rPr>
              <w:t>水上固定平台通讯在没有运营商网络覆盖的情况下，可采用微波中继等辅助传输方式。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lang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lang w:bidi="ar"/>
              </w:rPr>
            </w:pPr>
          </w:p>
        </w:tc>
      </w:tr>
      <w:tr>
        <w:tblPrEx>
          <w:tblCellMar>
            <w:top w:w="0" w:type="dxa"/>
            <w:left w:w="108" w:type="dxa"/>
            <w:bottom w:w="0" w:type="dxa"/>
            <w:right w:w="108" w:type="dxa"/>
          </w:tblCellMar>
        </w:tblPrEx>
        <w:trPr>
          <w:trHeight w:val="1646"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asciiTheme="minorEastAsia" w:hAnsiTheme="minorEastAsia" w:eastAsiaTheme="minorEastAsia" w:cstheme="minorEastAsia"/>
                <w:b/>
                <w:bCs/>
                <w:color w:val="000000"/>
                <w:szCs w:val="24"/>
                <w:lang w:bidi="ar"/>
              </w:rPr>
              <w:t>6</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采暖工程</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站房结构需采取必要的保温措施，站房内有空调和冬季采暖设备，室内温度应当保持在18～28℃，湿度在60%以内，空调为立柜式冷暖两用，功率不低于</w:t>
            </w:r>
            <w:r>
              <w:rPr>
                <w:rFonts w:asciiTheme="minorEastAsia" w:hAnsiTheme="minorEastAsia" w:eastAsiaTheme="minorEastAsia" w:cstheme="minorEastAsia"/>
                <w:color w:val="000000"/>
                <w:szCs w:val="24"/>
                <w:lang w:bidi="ar"/>
              </w:rPr>
              <w:t>3</w:t>
            </w:r>
            <w:r>
              <w:rPr>
                <w:rFonts w:hint="eastAsia" w:asciiTheme="minorEastAsia" w:hAnsiTheme="minorEastAsia" w:eastAsiaTheme="minorEastAsia" w:cstheme="minorEastAsia"/>
                <w:color w:val="000000"/>
                <w:szCs w:val="24"/>
                <w:lang w:bidi="ar"/>
              </w:rPr>
              <w:t>匹，适用面积不低于</w:t>
            </w:r>
            <w:r>
              <w:rPr>
                <w:rFonts w:asciiTheme="minorEastAsia" w:hAnsiTheme="minorEastAsia" w:eastAsiaTheme="minorEastAsia" w:cstheme="minorEastAsia"/>
                <w:color w:val="000000"/>
                <w:szCs w:val="24"/>
                <w:lang w:bidi="ar"/>
              </w:rPr>
              <w:t>45</w:t>
            </w:r>
            <w:r>
              <w:rPr>
                <w:rFonts w:hint="eastAsia" w:asciiTheme="minorEastAsia" w:hAnsiTheme="minorEastAsia" w:eastAsiaTheme="minorEastAsia" w:cstheme="minorEastAsia"/>
                <w:color w:val="000000"/>
                <w:szCs w:val="24"/>
                <w:lang w:bidi="ar"/>
              </w:rPr>
              <w:t>平方米，具备来电自动复位功能，并根据温度要求自动运行</w:t>
            </w:r>
            <w:r>
              <w:rPr>
                <w:rFonts w:asciiTheme="minorEastAsia" w:hAnsiTheme="minorEastAsia" w:eastAsiaTheme="minorEastAsia" w:cstheme="minorEastAsia"/>
                <w:color w:val="000000"/>
                <w:szCs w:val="24"/>
                <w:lang w:bidi="ar"/>
              </w:rPr>
              <w:t>，</w:t>
            </w:r>
            <w:r>
              <w:rPr>
                <w:rFonts w:hint="eastAsia" w:asciiTheme="minorEastAsia" w:hAnsiTheme="minorEastAsia" w:eastAsiaTheme="minorEastAsia" w:cstheme="minorEastAsia"/>
                <w:color w:val="000000"/>
                <w:szCs w:val="24"/>
                <w:lang w:bidi="ar"/>
              </w:rPr>
              <w:t>保障室内设备的正常工作。</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451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asciiTheme="minorEastAsia" w:hAnsiTheme="minorEastAsia" w:eastAsiaTheme="minorEastAsia" w:cstheme="minorEastAsia"/>
                <w:b/>
                <w:bCs/>
                <w:color w:val="000000"/>
                <w:szCs w:val="24"/>
                <w:lang w:bidi="ar"/>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bidi="ar"/>
              </w:rPr>
              <w:t>配电及照明工程</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本工程包括:室外线路、配电系统</w:t>
            </w:r>
            <w:r>
              <w:rPr>
                <w:rFonts w:asciiTheme="minorEastAsia" w:hAnsiTheme="minorEastAsia" w:eastAsiaTheme="minorEastAsia" w:cstheme="minorEastAsia"/>
                <w:szCs w:val="24"/>
                <w:lang w:bidi="ar"/>
              </w:rPr>
              <w:t>、</w:t>
            </w:r>
            <w:r>
              <w:rPr>
                <w:rFonts w:hint="eastAsia" w:asciiTheme="minorEastAsia" w:hAnsiTheme="minorEastAsia" w:eastAsiaTheme="minorEastAsia" w:cstheme="minorEastAsia"/>
                <w:szCs w:val="24"/>
                <w:lang w:bidi="ar"/>
              </w:rPr>
              <w:t>照明</w:t>
            </w:r>
            <w:r>
              <w:rPr>
                <w:rFonts w:asciiTheme="minorEastAsia" w:hAnsiTheme="minorEastAsia" w:eastAsiaTheme="minorEastAsia" w:cstheme="minorEastAsia"/>
                <w:szCs w:val="24"/>
                <w:lang w:bidi="ar"/>
              </w:rPr>
              <w:t>系统、</w:t>
            </w:r>
            <w:r>
              <w:rPr>
                <w:rFonts w:hint="eastAsia" w:asciiTheme="minorEastAsia" w:hAnsiTheme="minorEastAsia" w:eastAsiaTheme="minorEastAsia" w:cstheme="minorEastAsia"/>
                <w:szCs w:val="24"/>
                <w:lang w:bidi="ar"/>
              </w:rPr>
              <w:t>防雷</w:t>
            </w:r>
            <w:r>
              <w:rPr>
                <w:rFonts w:asciiTheme="minorEastAsia" w:hAnsiTheme="minorEastAsia" w:eastAsiaTheme="minorEastAsia" w:cstheme="minorEastAsia"/>
                <w:szCs w:val="24"/>
                <w:lang w:bidi="ar"/>
              </w:rPr>
              <w:t>接地</w:t>
            </w:r>
            <w:r>
              <w:rPr>
                <w:rFonts w:hint="eastAsia" w:asciiTheme="minorEastAsia" w:hAnsiTheme="minorEastAsia" w:eastAsiaTheme="minorEastAsia" w:cstheme="minorEastAsia"/>
                <w:szCs w:val="24"/>
                <w:lang w:bidi="ar"/>
              </w:rPr>
              <w:t>系统。根据城市用电负荷分类，本工程用电负荷性质为公共建筑用电。根据对供电可靠性的要求及中断供电对政治、经济上所造成的影响，和损失程度分级，本工程配电系统用电负荷等级为三级负荷。</w:t>
            </w:r>
          </w:p>
          <w:p>
            <w:pPr>
              <w:widowControl/>
              <w:ind w:firstLine="480"/>
              <w:jc w:val="both"/>
              <w:rPr>
                <w:rFonts w:asciiTheme="minorEastAsia" w:hAnsiTheme="minorEastAsia" w:eastAsiaTheme="minorEastAsia" w:cstheme="minorEastAsia"/>
                <w:szCs w:val="24"/>
                <w:lang w:bidi="ar"/>
              </w:rPr>
            </w:pPr>
            <w:r>
              <w:rPr>
                <w:rFonts w:asciiTheme="minorEastAsia" w:hAnsiTheme="minorEastAsia" w:eastAsiaTheme="minorEastAsia" w:cstheme="minorEastAsia"/>
                <w:szCs w:val="24"/>
                <w:lang w:bidi="ar"/>
              </w:rPr>
              <w:t>1</w:t>
            </w:r>
            <w:r>
              <w:rPr>
                <w:rFonts w:hint="eastAsia" w:asciiTheme="minorEastAsia" w:hAnsiTheme="minorEastAsia" w:eastAsiaTheme="minorEastAsia" w:cstheme="minorEastAsia"/>
                <w:szCs w:val="24"/>
                <w:lang w:bidi="ar"/>
              </w:rPr>
              <w:t>、</w:t>
            </w:r>
            <w:r>
              <w:rPr>
                <w:rFonts w:asciiTheme="minorEastAsia" w:hAnsiTheme="minorEastAsia" w:eastAsiaTheme="minorEastAsia" w:cstheme="minorEastAsia"/>
                <w:szCs w:val="24"/>
                <w:lang w:bidi="ar"/>
              </w:rPr>
              <w:t>室外线路</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本工程所有用电负荷均采用需要系数法计算，两个建设地点建设内容基本一致，用电负荷均为15KW，本工程共计30KW。工程电源由新区供电公司就近接入。</w:t>
            </w:r>
          </w:p>
          <w:p>
            <w:pPr>
              <w:widowControl/>
              <w:ind w:firstLine="480"/>
              <w:jc w:val="both"/>
              <w:rPr>
                <w:rFonts w:asciiTheme="minorEastAsia" w:hAnsiTheme="minorEastAsia" w:eastAsiaTheme="minorEastAsia" w:cstheme="minorEastAsia"/>
                <w:szCs w:val="24"/>
                <w:lang w:bidi="ar"/>
              </w:rPr>
            </w:pPr>
            <w:r>
              <w:rPr>
                <w:rFonts w:asciiTheme="minorEastAsia" w:hAnsiTheme="minorEastAsia" w:eastAsiaTheme="minorEastAsia" w:cstheme="minorEastAsia"/>
                <w:szCs w:val="24"/>
                <w:lang w:bidi="ar"/>
              </w:rPr>
              <w:t>2</w:t>
            </w:r>
            <w:r>
              <w:rPr>
                <w:rFonts w:hint="eastAsia" w:asciiTheme="minorEastAsia" w:hAnsiTheme="minorEastAsia" w:eastAsiaTheme="minorEastAsia" w:cstheme="minorEastAsia"/>
                <w:szCs w:val="24"/>
                <w:lang w:bidi="ar"/>
              </w:rPr>
              <w:t>、配电系统</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（1）供电负荷等级和供电要求应按现行国家标准《供配电系统设计规范》（GB 50052）的规定执行。</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（2）水站供电电源使用380伏特交流电、三相四线制、频率50赫兹，电源容量要按照站房全部用电设备实际用量的1.5倍计算，并配有独立变压器。</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（3）电源线引入方式符合国家相关标准，穿墙时采用穿墙管。施工参考《建筑电气工程施工质量验收规范》（GB 50303-2002）。</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（4）在监测仪器室内为水质自动监测系统配置专用动力配电箱。在总配电箱处进行重复接地，确保零、地线分开，其间相位差为零，并在此安装电源防雷设备。</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5）根据仪器、设备的用电情况，在380伏特供电条件下总配电采取分相供电：一相用于照明、空调及其他生活用电（220伏特），一相供专用稳压电源为仪器系统用电（220伏特），另外一相为水泵供电（220伏特）。同时在站房配电箱内保留一到两个三相（380伏特）和单相（220伏特）电源接线端备用。</w:t>
            </w:r>
          </w:p>
          <w:p>
            <w:pPr>
              <w:widowControl/>
              <w:ind w:firstLine="480"/>
              <w:jc w:val="both"/>
              <w:rPr>
                <w:rFonts w:hint="eastAsia" w:hAnsi="宋体" w:eastAsia="宋体" w:cs="宋体"/>
                <w:szCs w:val="24"/>
                <w:lang w:eastAsia="zh-CN" w:bidi="ar"/>
              </w:rPr>
            </w:pPr>
            <w:r>
              <w:rPr>
                <w:rFonts w:hint="eastAsia" w:asciiTheme="minorEastAsia" w:hAnsiTheme="minorEastAsia" w:eastAsiaTheme="minorEastAsia" w:cstheme="minorEastAsia"/>
                <w:szCs w:val="24"/>
                <w:lang w:bidi="ar"/>
              </w:rPr>
              <w:t>（6）系统应配备UPS和三相稳压电源，根据水站运行总功率大小的要求，配置在线式UPS，对水站仪器设备起到停电保护、稳定电压的作用。UPS总功率具备断电保护、自动恢复、过载保护、故障诊断记录等功能，</w:t>
            </w:r>
            <w:r>
              <w:rPr>
                <w:rFonts w:hint="eastAsia" w:hAnsi="宋体" w:cs="宋体"/>
                <w:szCs w:val="24"/>
                <w:lang w:bidi="ar"/>
              </w:rPr>
              <w:t>总功率满足断电后至少能保证仪器完成一个测量周期和数据上传，且待机不少于1h。UPS额定功率：≥10kVA；输入输出模式：单进单出、三进单出；输入电压：380V/220V；输出电压：220V/230V/240V≤±2%，THDU&lt;2%（线性负载）。</w:t>
            </w:r>
          </w:p>
          <w:p>
            <w:pPr>
              <w:widowControl/>
              <w:ind w:firstLine="480"/>
              <w:jc w:val="both"/>
              <w:rPr>
                <w:rFonts w:asciiTheme="minorEastAsia" w:hAnsiTheme="minorEastAsia" w:eastAsiaTheme="minorEastAsia" w:cstheme="minorEastAsia"/>
                <w:szCs w:val="24"/>
                <w:lang w:bidi="ar"/>
              </w:rPr>
            </w:pPr>
            <w:r>
              <w:rPr>
                <w:rFonts w:hint="eastAsia" w:asciiTheme="minorEastAsia" w:hAnsiTheme="minorEastAsia" w:eastAsiaTheme="minorEastAsia" w:cstheme="minorEastAsia"/>
                <w:szCs w:val="24"/>
                <w:lang w:bidi="ar"/>
              </w:rPr>
              <w:t>（7）电源动力线和通讯线、信号线相互屏蔽，以免产生电磁干扰。</w:t>
            </w:r>
          </w:p>
          <w:p>
            <w:pPr>
              <w:widowControl/>
              <w:ind w:firstLine="480"/>
              <w:jc w:val="both"/>
              <w:rPr>
                <w:rFonts w:asciiTheme="minorEastAsia" w:hAnsiTheme="minorEastAsia" w:eastAsiaTheme="minorEastAsia" w:cstheme="minorEastAsia"/>
                <w:szCs w:val="24"/>
                <w:lang w:bidi="ar"/>
              </w:rPr>
            </w:pPr>
            <w:r>
              <w:rPr>
                <w:rFonts w:asciiTheme="minorEastAsia" w:hAnsiTheme="minorEastAsia" w:eastAsiaTheme="minorEastAsia" w:cstheme="minorEastAsia"/>
                <w:szCs w:val="24"/>
                <w:lang w:bidi="ar"/>
              </w:rPr>
              <w:t>3</w:t>
            </w:r>
            <w:r>
              <w:rPr>
                <w:rFonts w:hint="eastAsia" w:asciiTheme="minorEastAsia" w:hAnsiTheme="minorEastAsia" w:eastAsiaTheme="minorEastAsia" w:cstheme="minorEastAsia"/>
                <w:szCs w:val="24"/>
                <w:lang w:bidi="ar"/>
              </w:rPr>
              <w:t>、</w:t>
            </w:r>
            <w:r>
              <w:rPr>
                <w:rFonts w:asciiTheme="minorEastAsia" w:hAnsiTheme="minorEastAsia" w:eastAsiaTheme="minorEastAsia" w:cstheme="minorEastAsia"/>
                <w:szCs w:val="24"/>
                <w:lang w:bidi="ar"/>
              </w:rPr>
              <w:t>照明系统</w:t>
            </w:r>
          </w:p>
          <w:p>
            <w:pPr>
              <w:widowControl/>
              <w:ind w:firstLine="480"/>
              <w:jc w:val="both"/>
              <w:rPr>
                <w:rFonts w:hAnsi="宋体" w:cs="宋体"/>
                <w:szCs w:val="24"/>
                <w:lang w:bidi="ar"/>
              </w:rPr>
            </w:pPr>
            <w:r>
              <w:rPr>
                <w:rFonts w:hint="eastAsia" w:hAnsi="宋体" w:cs="宋体"/>
                <w:szCs w:val="24"/>
                <w:lang w:bidi="ar"/>
              </w:rPr>
              <w:t>（1）光源</w:t>
            </w:r>
          </w:p>
          <w:p>
            <w:pPr>
              <w:widowControl/>
              <w:ind w:firstLine="480"/>
              <w:jc w:val="both"/>
              <w:rPr>
                <w:rFonts w:hAnsi="宋体" w:cs="宋体"/>
                <w:szCs w:val="24"/>
                <w:lang w:bidi="ar"/>
              </w:rPr>
            </w:pPr>
            <w:r>
              <w:rPr>
                <w:rFonts w:hint="eastAsia" w:hAnsi="宋体" w:cs="宋体"/>
                <w:szCs w:val="24"/>
                <w:lang w:bidi="ar"/>
              </w:rPr>
              <w:t>1）灯具均采用节能型照明灯具；采用点光源照明。</w:t>
            </w:r>
          </w:p>
          <w:p>
            <w:pPr>
              <w:widowControl/>
              <w:ind w:firstLine="480"/>
              <w:jc w:val="both"/>
              <w:rPr>
                <w:rFonts w:hAnsi="宋体" w:cs="宋体"/>
                <w:szCs w:val="24"/>
                <w:lang w:bidi="ar"/>
              </w:rPr>
            </w:pPr>
            <w:r>
              <w:rPr>
                <w:rFonts w:hint="eastAsia" w:hAnsi="宋体" w:cs="宋体"/>
                <w:szCs w:val="24"/>
                <w:lang w:bidi="ar"/>
              </w:rPr>
              <w:t>2）照明标准依据《建筑照明设计标准》（GB50034—2013）。</w:t>
            </w:r>
          </w:p>
          <w:p>
            <w:pPr>
              <w:widowControl/>
              <w:ind w:firstLine="480"/>
              <w:jc w:val="both"/>
              <w:rPr>
                <w:rFonts w:hAnsi="宋体" w:cs="宋体"/>
                <w:szCs w:val="24"/>
                <w:lang w:bidi="ar"/>
              </w:rPr>
            </w:pPr>
            <w:r>
              <w:rPr>
                <w:rFonts w:hint="eastAsia" w:hAnsi="宋体" w:cs="宋体"/>
                <w:szCs w:val="24"/>
                <w:lang w:bidi="ar"/>
              </w:rPr>
              <w:t>3）室内照明光源主要以T8荧光灯管为主，站房照明功率密度大于9w/㎡。</w:t>
            </w:r>
          </w:p>
          <w:p>
            <w:pPr>
              <w:widowControl/>
              <w:ind w:firstLine="480"/>
              <w:jc w:val="both"/>
              <w:rPr>
                <w:rFonts w:hAnsi="宋体" w:cs="宋体"/>
                <w:szCs w:val="24"/>
                <w:lang w:bidi="ar"/>
              </w:rPr>
            </w:pPr>
            <w:r>
              <w:rPr>
                <w:rFonts w:hAnsi="宋体" w:cs="宋体"/>
                <w:szCs w:val="24"/>
                <w:lang w:bidi="ar"/>
              </w:rPr>
              <w:t>4</w:t>
            </w:r>
            <w:r>
              <w:rPr>
                <w:rFonts w:hint="eastAsia" w:hAnsi="宋体" w:cs="宋体"/>
                <w:szCs w:val="24"/>
                <w:lang w:bidi="ar"/>
              </w:rPr>
              <w:t>）照明、插座分别由不同的支路供电，照明为单相三线BV-3×2.5mm2SC20；插座回路均为单相三线BV-3×4mm2SC20。</w:t>
            </w:r>
          </w:p>
          <w:p>
            <w:pPr>
              <w:widowControl/>
              <w:ind w:firstLine="480"/>
              <w:jc w:val="both"/>
              <w:rPr>
                <w:rFonts w:hAnsi="宋体" w:cs="宋体"/>
                <w:szCs w:val="24"/>
                <w:lang w:bidi="ar"/>
              </w:rPr>
            </w:pPr>
            <w:r>
              <w:rPr>
                <w:rFonts w:hint="eastAsia"/>
                <w:lang w:bidi="ar"/>
              </w:rPr>
              <w:t>5）室外</w:t>
            </w:r>
            <w:r>
              <w:rPr>
                <w:lang w:bidi="ar"/>
              </w:rPr>
              <w:t>照明采用</w:t>
            </w:r>
            <w:r>
              <w:rPr>
                <w:rFonts w:hint="eastAsia"/>
                <w:lang w:bidi="ar"/>
              </w:rPr>
              <w:t>LED节能灯</w:t>
            </w:r>
            <w:r>
              <w:rPr>
                <w:lang w:bidi="ar"/>
              </w:rPr>
              <w:t>。</w:t>
            </w:r>
          </w:p>
          <w:p>
            <w:pPr>
              <w:widowControl/>
              <w:ind w:firstLine="480"/>
              <w:jc w:val="both"/>
              <w:rPr>
                <w:rFonts w:hAnsi="宋体" w:cs="宋体"/>
                <w:szCs w:val="24"/>
                <w:lang w:bidi="ar"/>
              </w:rPr>
            </w:pPr>
            <w:r>
              <w:rPr>
                <w:rFonts w:hint="eastAsia" w:hAnsi="宋体" w:cs="宋体"/>
                <w:szCs w:val="24"/>
                <w:lang w:bidi="ar"/>
              </w:rPr>
              <w:t>（2）电缆、电线的选型及敷设</w:t>
            </w:r>
          </w:p>
          <w:p>
            <w:pPr>
              <w:widowControl/>
              <w:ind w:firstLine="480"/>
              <w:jc w:val="both"/>
              <w:rPr>
                <w:rFonts w:hAnsi="宋体" w:cs="宋体"/>
                <w:szCs w:val="24"/>
                <w:lang w:bidi="ar"/>
              </w:rPr>
            </w:pPr>
            <w:r>
              <w:rPr>
                <w:rFonts w:hint="eastAsia" w:hAnsi="宋体" w:cs="宋体"/>
                <w:szCs w:val="24"/>
                <w:lang w:bidi="ar"/>
              </w:rPr>
              <w:t>进线采用YJY22铠装电缆埋地敷设，分支电缆线采用ZR-YJV阻燃型电缆穿钢管沿板底、竖井及桥架敷设，分支线路采用ZR-BV-450/750V阻燃型电线穿钢管沿地板、墙、柱等暗敷。</w:t>
            </w:r>
          </w:p>
          <w:p>
            <w:pPr>
              <w:widowControl/>
              <w:ind w:firstLine="480"/>
              <w:jc w:val="both"/>
              <w:rPr>
                <w:rFonts w:asciiTheme="minorEastAsia" w:hAnsiTheme="minorEastAsia" w:eastAsiaTheme="minorEastAsia" w:cstheme="minorEastAsia"/>
                <w:szCs w:val="24"/>
                <w:lang w:bidi="ar"/>
              </w:rPr>
            </w:pPr>
            <w:r>
              <w:rPr>
                <w:rFonts w:asciiTheme="minorEastAsia" w:hAnsiTheme="minorEastAsia" w:eastAsiaTheme="minorEastAsia" w:cstheme="minorEastAsia"/>
                <w:szCs w:val="24"/>
                <w:lang w:bidi="ar"/>
              </w:rPr>
              <w:t>4</w:t>
            </w:r>
            <w:r>
              <w:rPr>
                <w:rFonts w:hint="eastAsia" w:asciiTheme="minorEastAsia" w:hAnsiTheme="minorEastAsia" w:eastAsiaTheme="minorEastAsia" w:cstheme="minorEastAsia"/>
                <w:szCs w:val="24"/>
                <w:lang w:bidi="ar"/>
              </w:rPr>
              <w:t>、防雷接地</w:t>
            </w:r>
            <w:r>
              <w:rPr>
                <w:rFonts w:asciiTheme="minorEastAsia" w:hAnsiTheme="minorEastAsia" w:eastAsiaTheme="minorEastAsia" w:cstheme="minorEastAsia"/>
                <w:szCs w:val="24"/>
                <w:lang w:bidi="ar"/>
              </w:rPr>
              <w:t>系统</w:t>
            </w:r>
          </w:p>
          <w:p>
            <w:pPr>
              <w:ind w:firstLine="480"/>
              <w:jc w:val="both"/>
            </w:pPr>
            <w:r>
              <w:rPr>
                <w:rFonts w:hint="eastAsia"/>
              </w:rPr>
              <w:t>站房防雷系统应符合现行国家标准《建筑防雷设计规范》（GB 50057）的规定，并应由具有相关资质的单位进行设计、施工以及验收。</w:t>
            </w:r>
          </w:p>
          <w:p>
            <w:pPr>
              <w:ind w:firstLine="480"/>
              <w:jc w:val="both"/>
            </w:pPr>
            <w:r>
              <w:rPr>
                <w:rFonts w:hint="eastAsia"/>
              </w:rPr>
              <w:t>水站内集中了多种电气系统，需预防雷电入侵的主要有三种途径，包括电源系统、通道和信号系统、接地系统。</w:t>
            </w:r>
          </w:p>
          <w:p>
            <w:pPr>
              <w:ind w:firstLine="480"/>
              <w:jc w:val="both"/>
            </w:pPr>
            <w:r>
              <w:rPr>
                <w:rFonts w:hint="eastAsia"/>
              </w:rPr>
              <w:t>具体要求如下：</w:t>
            </w:r>
          </w:p>
          <w:p>
            <w:pPr>
              <w:ind w:firstLine="480"/>
              <w:jc w:val="both"/>
            </w:pPr>
            <w:r>
              <w:rPr>
                <w:rFonts w:hint="eastAsia"/>
              </w:rPr>
              <w:t>（1）对于直击雷的防护</w:t>
            </w:r>
          </w:p>
          <w:p>
            <w:pPr>
              <w:ind w:firstLine="480"/>
              <w:jc w:val="both"/>
            </w:pPr>
            <w:r>
              <w:rPr>
                <w:rFonts w:hint="eastAsia"/>
              </w:rPr>
              <w:t>采用避雷针是最首要、最基本的措施，完整的防雷装置应包括接闪器、引下线和接地装置。</w:t>
            </w:r>
          </w:p>
          <w:p>
            <w:pPr>
              <w:ind w:firstLine="480"/>
              <w:jc w:val="both"/>
            </w:pPr>
            <w:r>
              <w:rPr>
                <w:rFonts w:hint="eastAsia"/>
              </w:rPr>
              <w:t>（2）电源系统、通信系统的防护</w:t>
            </w:r>
          </w:p>
          <w:p>
            <w:pPr>
              <w:ind w:firstLine="480"/>
              <w:jc w:val="both"/>
            </w:pPr>
            <w:r>
              <w:rPr>
                <w:rFonts w:hint="eastAsia"/>
              </w:rPr>
              <w:t>在总电源处加装避雷箱，内装多级集成避雷器。避雷器本身具有三级保护，串接在电源回路中可靠地将电涌电流泄入大地，保护设备安全。</w:t>
            </w:r>
          </w:p>
          <w:p>
            <w:pPr>
              <w:ind w:firstLine="480"/>
              <w:jc w:val="both"/>
            </w:pPr>
            <w:r>
              <w:rPr>
                <w:rFonts w:hint="eastAsia"/>
              </w:rPr>
              <w:t>如不用避雷箱，按照分区防护的原则，一般选并联的避雷器，选用通流容量比较大的，作为第一级防护。在总电源进线开关下口加装电源电涌保护器作为电源的一级保护，在稳压器后加装多级集成式电涌保护器。</w:t>
            </w:r>
          </w:p>
          <w:p>
            <w:pPr>
              <w:ind w:firstLine="480"/>
              <w:jc w:val="both"/>
            </w:pPr>
            <w:r>
              <w:rPr>
                <w:rFonts w:hint="eastAsia"/>
              </w:rPr>
              <w:t>通信系统防护：对于卫星通讯系统，应在馈线电缆进入站房时安装同轴馈线保护器；对于电话线系统，应采用电话线路防雷保护器。利用铜质线缆的数据信号专线，在设备的接口处应加装信号专线电涌保护器，该保护器应是内多级保护，要依据被保护设备传输的信号电压、信号电流、传输速率、线路等效阻抗及衰耗要求，同时考虑机械接口等配置电涌保护器。</w:t>
            </w:r>
          </w:p>
          <w:p>
            <w:pPr>
              <w:ind w:firstLine="480"/>
              <w:jc w:val="both"/>
            </w:pPr>
            <w:r>
              <w:rPr>
                <w:rFonts w:hint="eastAsia"/>
              </w:rPr>
              <w:t>地表水自动监测站站内管线选用金属管道、金属槽道或有屏蔽功能的PVC塑料管，并且将两端与保护地线相连。</w:t>
            </w:r>
          </w:p>
          <w:p>
            <w:pPr>
              <w:ind w:firstLine="480"/>
              <w:jc w:val="both"/>
            </w:pPr>
            <w:r>
              <w:rPr>
                <w:rFonts w:hint="eastAsia"/>
              </w:rPr>
              <w:t>（3）接地系统</w:t>
            </w:r>
          </w:p>
          <w:p>
            <w:pPr>
              <w:ind w:firstLine="480"/>
              <w:jc w:val="both"/>
            </w:pPr>
            <w:r>
              <w:rPr>
                <w:rFonts w:hint="eastAsia"/>
              </w:rPr>
              <w:t>站房内电源保护接地与建筑物防雷保护接地之间要加装等电位均衡器，正常情况下回路内各用自己的保护接地，当某点出现雷击高电压时，两地之间保持等电位。站房内设置等电位公共接地环网，使需要有保护接地的各类设备和线路，做到就近接地。</w:t>
            </w:r>
          </w:p>
          <w:p>
            <w:pPr>
              <w:pStyle w:val="2"/>
              <w:ind w:firstLine="210"/>
              <w:rPr>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503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asciiTheme="minorEastAsia" w:hAnsiTheme="minorEastAsia" w:eastAsiaTheme="minorEastAsia" w:cstheme="minorEastAsia"/>
                <w:b/>
                <w:bCs/>
                <w:color w:val="000000"/>
                <w:szCs w:val="24"/>
                <w:lang w:bidi="ar"/>
              </w:rPr>
              <w:t>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视频监控工程</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视频监控单元由前端系统、传输网络和监控平台三部分组成，可远程监视水质自动监测站内设备（采水单元、自动监测分析仪器、供电系统、数据采集及传输系统等）的整体运行情况，观察取水工程（取样水泵、浮台等）工作状况，水站周边的水位、流量等水文情况，同时也可观察水站院落、站房、供电线路等周边环境。其中，前端系统主要对监控区域现场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1、视频监控单元功能要求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1</w:t>
            </w:r>
            <w:r>
              <w:rPr>
                <w:rFonts w:hint="eastAsia" w:asciiTheme="minorEastAsia" w:hAnsiTheme="minorEastAsia" w:eastAsiaTheme="minorEastAsia" w:cstheme="minorEastAsia"/>
                <w:color w:val="000000"/>
                <w:szCs w:val="24"/>
                <w:lang w:bidi="ar"/>
              </w:rPr>
              <w:t>)实时监控功能：可实现24小时不间断监控，实时获取监控区域内清晰的监控图像。</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2</w:t>
            </w:r>
            <w:r>
              <w:rPr>
                <w:rFonts w:hint="eastAsia" w:asciiTheme="minorEastAsia" w:hAnsiTheme="minorEastAsia" w:eastAsiaTheme="minorEastAsia" w:cstheme="minorEastAsia"/>
                <w:color w:val="000000"/>
                <w:szCs w:val="24"/>
                <w:lang w:bidi="ar"/>
              </w:rPr>
              <w:t>)云台操作功能：可实现全方位、多视角、无盲区、全天候式监控。</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3</w:t>
            </w:r>
            <w:r>
              <w:rPr>
                <w:rFonts w:hint="eastAsia" w:asciiTheme="minorEastAsia" w:hAnsiTheme="minorEastAsia" w:eastAsiaTheme="minorEastAsia" w:cstheme="minorEastAsia"/>
                <w:color w:val="000000"/>
                <w:szCs w:val="24"/>
                <w:lang w:bidi="ar"/>
              </w:rPr>
              <w:t>)录像存储功能：支持前端存储和中心存储两种模式，既可通过前端的视音信号接入视频处理单元存储数据，满足前端存储的需要，供事后调查取证；也可通过部署存储服务器和存储设备，满足大容量多通道并发的中心存储需要。</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4</w:t>
            </w:r>
            <w:r>
              <w:rPr>
                <w:rFonts w:hint="eastAsia" w:asciiTheme="minorEastAsia" w:hAnsiTheme="minorEastAsia" w:eastAsiaTheme="minorEastAsia" w:cstheme="minorEastAsia"/>
                <w:color w:val="000000"/>
                <w:szCs w:val="24"/>
                <w:lang w:bidi="ar"/>
              </w:rPr>
              <w:t>)语音监听功能。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5</w:t>
            </w:r>
            <w:r>
              <w:rPr>
                <w:rFonts w:hint="eastAsia" w:asciiTheme="minorEastAsia" w:hAnsiTheme="minorEastAsia" w:eastAsiaTheme="minorEastAsia" w:cstheme="minorEastAsia"/>
                <w:color w:val="000000"/>
                <w:szCs w:val="24"/>
                <w:lang w:bidi="ar"/>
              </w:rPr>
              <w:t>)远程维护功能：可通过平台软件对前端设备进行校时、重启、修正参数、软件升级、远程维护等操作。</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2、前端视频监控设备布设要求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1</w:t>
            </w:r>
            <w:r>
              <w:rPr>
                <w:rFonts w:hint="eastAsia" w:asciiTheme="minorEastAsia" w:hAnsiTheme="minorEastAsia" w:eastAsiaTheme="minorEastAsia" w:cstheme="minorEastAsia"/>
                <w:color w:val="000000"/>
                <w:szCs w:val="24"/>
                <w:lang w:bidi="ar"/>
              </w:rPr>
              <w:t>)站房外取水口：安装在靠近取水口岸边，并考虑50年一遇的防洪要求，用于监控取水口及站房周边情况。监控设备可水平360度旋转，竖直-5～185度旋转。具备通过智能设备对视频图像进行分析，支持排口异常排放、水面漂浮物、垃圾堆放、违法施工等进行识别，并根据规则触发报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2</w:t>
            </w:r>
            <w:r>
              <w:rPr>
                <w:rFonts w:hint="eastAsia" w:asciiTheme="minorEastAsia" w:hAnsiTheme="minorEastAsia" w:eastAsiaTheme="minorEastAsia" w:cstheme="minorEastAsia"/>
                <w:color w:val="000000"/>
                <w:szCs w:val="24"/>
                <w:lang w:bidi="ar"/>
              </w:rPr>
              <w:t>)站房进门处：安装在站房大门附近墙壁上，用以监控人员进出站房情况。监控设备应配置枪机，固定监控视角。</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3</w:t>
            </w:r>
            <w:r>
              <w:rPr>
                <w:rFonts w:hint="eastAsia" w:asciiTheme="minorEastAsia" w:hAnsiTheme="minorEastAsia" w:eastAsiaTheme="minorEastAsia" w:cstheme="minorEastAsia"/>
                <w:color w:val="000000"/>
                <w:szCs w:val="24"/>
                <w:lang w:bidi="ar"/>
              </w:rPr>
              <w:t>)站房仪表间：安装在集成机柜正面墙壁上，用于监控仪表间内部设备运行情况。监控设备可水平360度旋转，竖直-5～185度旋转。</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3、前端视频监控设备技术要求</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1</w:t>
            </w:r>
            <w:r>
              <w:rPr>
                <w:rFonts w:hint="eastAsia" w:asciiTheme="minorEastAsia" w:hAnsiTheme="minorEastAsia" w:eastAsiaTheme="minorEastAsia" w:cstheme="minorEastAsia"/>
                <w:color w:val="000000"/>
                <w:szCs w:val="24"/>
                <w:lang w:bidi="ar"/>
              </w:rPr>
              <w:t>)网络红外球型摄像机：球机带云台，可水平360度旋转，竖直-5～185度旋转；带红外，支持夜间查看。</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w:t>
            </w:r>
            <w:r>
              <w:rPr>
                <w:rFonts w:asciiTheme="minorEastAsia" w:hAnsiTheme="minorEastAsia" w:eastAsiaTheme="minorEastAsia" w:cstheme="minorEastAsia"/>
                <w:color w:val="000000"/>
                <w:szCs w:val="24"/>
                <w:lang w:bidi="ar"/>
              </w:rPr>
              <w:t>2</w:t>
            </w:r>
            <w:r>
              <w:rPr>
                <w:rFonts w:hint="eastAsia" w:asciiTheme="minorEastAsia" w:hAnsiTheme="minorEastAsia" w:eastAsiaTheme="minorEastAsia" w:cstheme="minorEastAsia"/>
                <w:color w:val="000000"/>
                <w:szCs w:val="24"/>
                <w:lang w:bidi="ar"/>
              </w:rPr>
              <w:t>)高清网络录像机：应选用可接驳符合ONVIF、PSLA、RTSP标准及众多主流厂商的网络摄像机；支持不低于200万像素高清网络视频的预览、存储和回放；支持IPC集中管理，包括IPC参数配置、信息的导入/导出、语音对讲和升级等；支持智能搜索、回放及备份。</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1401"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9</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防盗门禁系统</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（1）32位高速处理器，性能强劲、速度快。</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（2）支持TCP/IP网络通信，网速自适应，通讯数据采用特殊加密处理。</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（3）支持长度为20位的卡号识别和存储。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（4）可存储10万笔合法卡，30万笔刷卡记录。</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（5）支持多门互锁功能、反潜回功能、多重卡开门功能、首卡开门功能、超级卡和超级密码开门、在线升级功能、中心远程开门功能。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（6）支持读卡器防拆报警、门未关妥报警、门被外力开起报警、开门等待超时报警、胁迫卡和胁迫码报警、黑名单报警、非法卡超次刷卡报警。</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（7）支持防区报警输入，具有防短、防剪功能。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（8）同时支持RS485接口和韦根接口读卡器的接入，RS485接口采用双接口设计，支持环路断点故障检测和冗余功能；韦根格式支持W26、W34、W37等多种格式，能无缝兼容第三方韦根接口读卡器。</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（9）支持NTP校时、手动校时、自动校时功能。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（10）支持脱机记录保持功能和纪录储存空间不足警告功能。</w:t>
            </w:r>
          </w:p>
          <w:p>
            <w:pPr>
              <w:widowControl/>
              <w:ind w:firstLine="480"/>
              <w:jc w:val="both"/>
              <w:textAlignment w:val="center"/>
              <w:rPr>
                <w:rFonts w:asciiTheme="minorEastAsia" w:hAnsiTheme="minorEastAsia" w:eastAsiaTheme="minorEastAsia" w:cstheme="minorEastAsia"/>
                <w:color w:val="000000"/>
                <w:szCs w:val="24"/>
                <w:lang w:bidi="ar"/>
              </w:rPr>
            </w:pPr>
            <w:r>
              <w:rPr>
                <w:rFonts w:hint="eastAsia" w:asciiTheme="minorEastAsia" w:hAnsiTheme="minorEastAsia" w:eastAsiaTheme="minorEastAsia" w:cstheme="minorEastAsia"/>
                <w:color w:val="000000"/>
                <w:szCs w:val="24"/>
                <w:lang w:bidi="ar"/>
              </w:rPr>
              <w:t>（11）具有备用电池设计、看门狗设计、防拆设计。</w:t>
            </w:r>
          </w:p>
          <w:p>
            <w:pPr>
              <w:widowControl/>
              <w:ind w:firstLine="48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（12）主机断电后数据可以永久保存。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2948"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1" w:firstLineChars="100"/>
              <w:jc w:val="both"/>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室内消防设施</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pPr>
            <w:r>
              <w:rPr>
                <w:rFonts w:hint="eastAsia"/>
              </w:rPr>
              <w:t>站房应设火灾自动报警、自动灭火装置及手持式</w:t>
            </w:r>
            <w:r>
              <w:t>灭火装置</w:t>
            </w:r>
            <w:r>
              <w:rPr>
                <w:rFonts w:hint="eastAsia"/>
              </w:rPr>
              <w:t>；火灾自动报警系统的设计应符合现行国家标准《火灾自动报警系统设计规范》（GB 50116）的规定；配置的自动灭火装置，需有国家强制性产品认证证书。自动灭火装置触发可靠，灭火时间短，灭火干粉对人和仪器无损害，体积美观实用，与站房和仪器系统整体协调。</w:t>
            </w:r>
          </w:p>
          <w:p>
            <w:pPr>
              <w:widowControl/>
              <w:numPr>
                <w:ilvl w:val="0"/>
                <w:numId w:val="3"/>
              </w:numPr>
              <w:ind w:firstLine="480"/>
              <w:jc w:val="both"/>
              <w:textAlignment w:val="center"/>
            </w:pPr>
            <w:r>
              <w:rPr>
                <w:rFonts w:hint="eastAsia"/>
              </w:rPr>
              <w:t>自动灭火装置</w:t>
            </w:r>
          </w:p>
          <w:p>
            <w:pPr>
              <w:widowControl/>
              <w:ind w:firstLine="480"/>
              <w:jc w:val="both"/>
              <w:textAlignment w:val="center"/>
            </w:pPr>
            <w:r>
              <w:rPr>
                <w:rFonts w:hint="eastAsia"/>
              </w:rPr>
              <w:t>站房内配置自动灭火装置，采用悬挂式气体灭火器，灭火材料须对人体和设备无害。悬挂式气体灭火装置由灭火剂储瓶、感温释放组件、悬挂支架、压力表等组成，不需安装灭火剂输送管道，不需设置专用的储瓶间，不用与火灾报警系统联动，采用悬挂或壁挂式安装，当火灾发生时，感温玻璃球破裂，感温释放组件开启，直接向防护区喷射灭火剂，灭火剂无管路损失，灭火速度更快、效率更高。</w:t>
            </w:r>
          </w:p>
          <w:p>
            <w:pPr>
              <w:widowControl/>
              <w:ind w:firstLine="480"/>
              <w:jc w:val="both"/>
              <w:textAlignment w:val="center"/>
            </w:pPr>
            <w:r>
              <w:rPr>
                <w:rFonts w:hint="eastAsia"/>
              </w:rPr>
              <w:t>技术要求：</w:t>
            </w:r>
          </w:p>
          <w:p>
            <w:pPr>
              <w:widowControl/>
              <w:ind w:firstLine="480"/>
              <w:jc w:val="both"/>
              <w:textAlignment w:val="center"/>
            </w:pPr>
            <w:r>
              <w:rPr>
                <w:rFonts w:hint="eastAsia"/>
              </w:rPr>
              <w:t>贮存压力：1.6MPa（20℃）</w:t>
            </w:r>
          </w:p>
          <w:p>
            <w:pPr>
              <w:widowControl/>
              <w:ind w:firstLine="480"/>
              <w:jc w:val="both"/>
              <w:textAlignment w:val="center"/>
            </w:pPr>
            <w:r>
              <w:rPr>
                <w:rFonts w:hint="eastAsia"/>
              </w:rPr>
              <w:t>工作压力：2.5MPa（50℃）</w:t>
            </w:r>
          </w:p>
          <w:p>
            <w:pPr>
              <w:widowControl/>
              <w:ind w:firstLine="480"/>
              <w:jc w:val="both"/>
              <w:textAlignment w:val="center"/>
            </w:pPr>
            <w:r>
              <w:rPr>
                <w:rFonts w:hint="eastAsia"/>
              </w:rPr>
              <w:t>充装密度：≤1.0kg/L</w:t>
            </w:r>
          </w:p>
          <w:p>
            <w:pPr>
              <w:widowControl/>
              <w:ind w:firstLine="480"/>
              <w:jc w:val="both"/>
              <w:textAlignment w:val="center"/>
            </w:pPr>
            <w:r>
              <w:rPr>
                <w:rFonts w:hint="eastAsia"/>
              </w:rPr>
              <w:t>定温型感温玻璃球：启动温度68℃</w:t>
            </w:r>
          </w:p>
          <w:p>
            <w:pPr>
              <w:widowControl/>
              <w:ind w:firstLine="480"/>
              <w:jc w:val="both"/>
              <w:textAlignment w:val="center"/>
            </w:pPr>
            <w:r>
              <w:rPr>
                <w:rFonts w:hint="eastAsia"/>
              </w:rPr>
              <w:t>灭火技术方式：全淹没</w:t>
            </w:r>
          </w:p>
          <w:p>
            <w:pPr>
              <w:widowControl/>
              <w:ind w:firstLine="480"/>
              <w:jc w:val="both"/>
              <w:textAlignment w:val="center"/>
            </w:pPr>
            <w:r>
              <w:rPr>
                <w:rFonts w:hint="eastAsia"/>
              </w:rPr>
              <w:t>喷射时间：≤10S</w:t>
            </w:r>
          </w:p>
          <w:p>
            <w:pPr>
              <w:widowControl/>
              <w:ind w:firstLine="480"/>
              <w:jc w:val="both"/>
              <w:textAlignment w:val="center"/>
            </w:pPr>
            <w:r>
              <w:rPr>
                <w:rFonts w:hint="eastAsia"/>
              </w:rPr>
              <w:t>驱动气体：氮气</w:t>
            </w:r>
          </w:p>
          <w:p>
            <w:pPr>
              <w:widowControl/>
              <w:ind w:firstLine="480"/>
              <w:jc w:val="both"/>
              <w:textAlignment w:val="center"/>
            </w:pPr>
            <w:r>
              <w:rPr>
                <w:rFonts w:hint="eastAsia"/>
              </w:rPr>
              <w:t>使用环境温度：0℃～50℃</w:t>
            </w:r>
          </w:p>
          <w:p>
            <w:pPr>
              <w:pStyle w:val="2"/>
              <w:numPr>
                <w:ilvl w:val="0"/>
                <w:numId w:val="3"/>
              </w:numPr>
              <w:spacing w:after="0" w:line="440" w:lineRule="exact"/>
              <w:ind w:firstLine="480" w:firstLineChars="200"/>
              <w:jc w:val="both"/>
              <w:rPr>
                <w:rFonts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手持灭火装置</w:t>
            </w:r>
          </w:p>
          <w:p>
            <w:pPr>
              <w:pStyle w:val="2"/>
              <w:spacing w:after="0" w:line="440" w:lineRule="exact"/>
              <w:ind w:firstLine="480" w:firstLineChars="200"/>
              <w:jc w:val="both"/>
              <w:rPr>
                <w:rFonts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配置手提式二氧化碳灭火器</w:t>
            </w:r>
            <w:r>
              <w:rPr>
                <w:rFonts w:asciiTheme="minorEastAsia" w:hAnsiTheme="minorEastAsia" w:eastAsiaTheme="minorEastAsia" w:cstheme="minorEastAsia"/>
                <w:color w:val="000000"/>
                <w:sz w:val="24"/>
                <w:szCs w:val="24"/>
                <w:lang w:bidi="ar"/>
              </w:rPr>
              <w:t>4</w:t>
            </w:r>
            <w:r>
              <w:rPr>
                <w:rFonts w:hint="eastAsia" w:asciiTheme="minorEastAsia" w:hAnsiTheme="minorEastAsia" w:eastAsiaTheme="minorEastAsia" w:cstheme="minorEastAsia"/>
                <w:color w:val="000000"/>
                <w:sz w:val="24"/>
                <w:szCs w:val="24"/>
                <w:lang w:bidi="ar"/>
              </w:rPr>
              <w:t>个，容积不小于</w:t>
            </w:r>
            <w:r>
              <w:rPr>
                <w:rFonts w:asciiTheme="minorEastAsia" w:hAnsiTheme="minorEastAsia" w:eastAsiaTheme="minorEastAsia" w:cstheme="minorEastAsia"/>
                <w:color w:val="000000"/>
                <w:sz w:val="24"/>
                <w:szCs w:val="24"/>
                <w:lang w:bidi="ar"/>
              </w:rPr>
              <w:t>3kg</w:t>
            </w:r>
            <w:r>
              <w:rPr>
                <w:rFonts w:hint="eastAsia" w:asciiTheme="minorEastAsia" w:hAnsiTheme="minorEastAsia" w:eastAsiaTheme="minorEastAsia" w:cstheme="minorEastAsia"/>
                <w:color w:val="000000"/>
                <w:sz w:val="24"/>
                <w:szCs w:val="24"/>
                <w:lang w:bidi="ar"/>
              </w:rPr>
              <w:t>/个，</w:t>
            </w:r>
            <w:r>
              <w:rPr>
                <w:rFonts w:asciiTheme="minorEastAsia" w:hAnsiTheme="minorEastAsia" w:eastAsiaTheme="minorEastAsia" w:cstheme="minorEastAsia"/>
                <w:color w:val="000000"/>
                <w:sz w:val="24"/>
                <w:szCs w:val="24"/>
                <w:lang w:bidi="ar"/>
              </w:rPr>
              <w:t>符合</w:t>
            </w:r>
            <w:r>
              <w:rPr>
                <w:rFonts w:hint="eastAsia" w:asciiTheme="minorEastAsia" w:hAnsiTheme="minorEastAsia" w:eastAsiaTheme="minorEastAsia" w:cstheme="minorEastAsia"/>
                <w:color w:val="000000"/>
                <w:sz w:val="24"/>
                <w:szCs w:val="24"/>
                <w:lang w:bidi="ar"/>
              </w:rPr>
              <w:t>GB4351技术</w:t>
            </w:r>
            <w:r>
              <w:rPr>
                <w:rFonts w:asciiTheme="minorEastAsia" w:hAnsiTheme="minorEastAsia" w:eastAsiaTheme="minorEastAsia" w:cstheme="minorEastAsia"/>
                <w:color w:val="000000"/>
                <w:sz w:val="24"/>
                <w:szCs w:val="24"/>
                <w:lang w:bidi="ar"/>
              </w:rPr>
              <w:t>标准</w:t>
            </w:r>
            <w:r>
              <w:rPr>
                <w:rFonts w:hint="eastAsia" w:asciiTheme="minorEastAsia" w:hAnsiTheme="minorEastAsia" w:eastAsiaTheme="minorEastAsia" w:cstheme="minorEastAsia"/>
                <w:color w:val="000000"/>
                <w:sz w:val="24"/>
                <w:szCs w:val="24"/>
                <w:lang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2</w:t>
            </w:r>
          </w:p>
        </w:tc>
      </w:tr>
      <w:tr>
        <w:tblPrEx>
          <w:tblCellMar>
            <w:top w:w="0" w:type="dxa"/>
            <w:left w:w="108" w:type="dxa"/>
            <w:bottom w:w="0" w:type="dxa"/>
            <w:right w:w="108" w:type="dxa"/>
          </w:tblCellMar>
        </w:tblPrEx>
        <w:trPr>
          <w:trHeight w:val="549"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三</w:t>
            </w:r>
          </w:p>
        </w:tc>
        <w:tc>
          <w:tcPr>
            <w:tcW w:w="1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2"/>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运维服务</w:t>
            </w:r>
          </w:p>
        </w:tc>
      </w:tr>
      <w:tr>
        <w:tblPrEx>
          <w:tblCellMar>
            <w:top w:w="0" w:type="dxa"/>
            <w:left w:w="108" w:type="dxa"/>
            <w:bottom w:w="0" w:type="dxa"/>
            <w:right w:w="108" w:type="dxa"/>
          </w:tblCellMar>
        </w:tblPrEx>
        <w:trPr>
          <w:trHeight w:val="1607"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color w:val="000000"/>
                <w:szCs w:val="24"/>
              </w:rPr>
            </w:pPr>
            <w:r>
              <w:rPr>
                <w:rFonts w:hint="eastAsia" w:asciiTheme="minorEastAsia" w:hAnsiTheme="minorEastAsia" w:eastAsiaTheme="minorEastAsia" w:cstheme="minorEastAsia"/>
                <w:b/>
                <w:bCs/>
                <w:color w:val="000000"/>
                <w:szCs w:val="24"/>
                <w:lang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水质自动监测站运维服务</w:t>
            </w:r>
          </w:p>
        </w:tc>
        <w:tc>
          <w:tcPr>
            <w:tcW w:w="10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480" w:firstLine="0" w:firstLineChars="0"/>
              <w:jc w:val="both"/>
              <w:textAlignment w:val="center"/>
            </w:pPr>
            <w:r>
              <w:t>（一）总体要求</w:t>
            </w:r>
          </w:p>
          <w:p>
            <w:pPr>
              <w:widowControl/>
              <w:ind w:firstLine="480"/>
              <w:jc w:val="both"/>
              <w:textAlignment w:val="center"/>
            </w:pPr>
            <w:r>
              <w:rPr>
                <w:rFonts w:hint="eastAsia"/>
              </w:rPr>
              <w:t>本项目运维服务包括对2个水质自动监测站开展为期1年的运行维护工作，包括远程维护、现场维护和应急维护等工作，保证监测数据质量，并对维护过程进行详细记录。</w:t>
            </w:r>
          </w:p>
          <w:p>
            <w:pPr>
              <w:widowControl/>
              <w:ind w:firstLine="480"/>
              <w:jc w:val="both"/>
              <w:textAlignment w:val="center"/>
            </w:pPr>
            <w:r>
              <w:rPr>
                <w:rFonts w:hint="eastAsia"/>
              </w:rPr>
              <w:t>1</w:t>
            </w:r>
            <w:r>
              <w:t>、</w:t>
            </w:r>
            <w:r>
              <w:rPr>
                <w:rFonts w:hint="eastAsia"/>
              </w:rPr>
              <w:t>维护期间需遵守国家的有关法律、法规及其他规定，依照有关规范和技术要求，使水站的运行结果达到地方环保部门的考核指标要求，充分发挥水质自动监测系统的效能；</w:t>
            </w:r>
          </w:p>
          <w:p>
            <w:pPr>
              <w:widowControl/>
              <w:ind w:firstLine="480"/>
              <w:jc w:val="both"/>
              <w:textAlignment w:val="center"/>
            </w:pPr>
            <w:r>
              <w:rPr>
                <w:rFonts w:hint="eastAsia"/>
              </w:rPr>
              <w:t>2</w:t>
            </w:r>
            <w:r>
              <w:t>、</w:t>
            </w:r>
            <w:r>
              <w:rPr>
                <w:rFonts w:hint="eastAsia"/>
              </w:rPr>
              <w:t>维护期间，值守人员的相关费用以及采水、供水、供电、通讯、采暖、试剂耗材、仪器设备维修、设施设备的年检保养和水站安全保障所发生的费用等均由运维单位支付；</w:t>
            </w:r>
          </w:p>
          <w:p>
            <w:pPr>
              <w:widowControl/>
              <w:ind w:firstLine="480"/>
              <w:jc w:val="both"/>
              <w:textAlignment w:val="center"/>
            </w:pPr>
            <w:r>
              <w:t>3、</w:t>
            </w:r>
            <w:r>
              <w:rPr>
                <w:rFonts w:hint="eastAsia"/>
              </w:rPr>
              <w:t>运维单位每年对水站站房进行一次修缮，并做好避雷系统的年检工作；</w:t>
            </w:r>
          </w:p>
          <w:p>
            <w:pPr>
              <w:widowControl/>
              <w:ind w:firstLine="480"/>
              <w:jc w:val="both"/>
              <w:textAlignment w:val="center"/>
            </w:pPr>
            <w:r>
              <w:rPr>
                <w:rFonts w:hint="eastAsia"/>
              </w:rPr>
              <w:t>4</w:t>
            </w:r>
            <w:r>
              <w:t>、</w:t>
            </w:r>
            <w:r>
              <w:rPr>
                <w:rFonts w:hint="eastAsia"/>
              </w:rPr>
              <w:t>运维单位需参加地方环保部门组织的技术培训以及运维质量的相互监督检查，接受地方环保部门或其委托相关机构的监管和考核；</w:t>
            </w:r>
          </w:p>
          <w:p>
            <w:pPr>
              <w:widowControl/>
              <w:ind w:firstLine="480"/>
              <w:jc w:val="both"/>
              <w:textAlignment w:val="center"/>
            </w:pPr>
            <w:r>
              <w:rPr>
                <w:rFonts w:hint="eastAsia"/>
              </w:rPr>
              <w:t>5</w:t>
            </w:r>
            <w:r>
              <w:t>、</w:t>
            </w:r>
            <w:r>
              <w:rPr>
                <w:rFonts w:hint="eastAsia"/>
              </w:rPr>
              <w:t>维护期间，如遇地方环保部门为水站更换或新增仪器，运维单位需配合做好新仪器的安装、调试和运行维护等工作，以及数据无缝对接到地方环保部门指定的管理平台中；</w:t>
            </w:r>
          </w:p>
          <w:p>
            <w:pPr>
              <w:widowControl/>
              <w:ind w:firstLine="480"/>
              <w:jc w:val="both"/>
              <w:textAlignment w:val="center"/>
            </w:pPr>
            <w:r>
              <w:rPr>
                <w:rFonts w:hint="eastAsia"/>
              </w:rPr>
              <w:t>6</w:t>
            </w:r>
            <w:r>
              <w:t>、</w:t>
            </w:r>
            <w:r>
              <w:rPr>
                <w:rFonts w:hint="eastAsia"/>
              </w:rPr>
              <w:t>维护期间，水站的全部资产（建筑物、设备、软件、配套设施、水质自动监测系统和配套监控系统产生的各类数据信息及相关文档资料等）属地方环保部门所有。未经地方环保部门同意，运维单位不得以任何方式对各类财产进行出售、抵押或转移；</w:t>
            </w:r>
          </w:p>
          <w:p>
            <w:pPr>
              <w:widowControl/>
              <w:ind w:firstLine="480"/>
              <w:jc w:val="both"/>
              <w:textAlignment w:val="center"/>
            </w:pPr>
            <w:r>
              <w:rPr>
                <w:rFonts w:hint="eastAsia"/>
              </w:rPr>
              <w:t>7</w:t>
            </w:r>
            <w:r>
              <w:t>、</w:t>
            </w:r>
            <w:r>
              <w:rPr>
                <w:rFonts w:hint="eastAsia"/>
              </w:rPr>
              <w:t>单位对水站的监测数据负有保密的责任，不得以任何方式和渠道向外界提供或用于商业用途；</w:t>
            </w:r>
          </w:p>
          <w:p>
            <w:pPr>
              <w:widowControl/>
              <w:ind w:firstLine="480"/>
              <w:jc w:val="both"/>
              <w:textAlignment w:val="center"/>
            </w:pPr>
            <w:r>
              <w:t>8</w:t>
            </w:r>
            <w:r>
              <w:rPr>
                <w:rFonts w:hint="eastAsia"/>
              </w:rPr>
              <w:t>、维护期间，运维单位有责任保证水站全部资产的完整、安全并处于良好状态。配备值守人员，避免出现因被盗、人为破坏等原因造成的资产流失。如出现因运维单位安保措施不当造成的水站资产丢失、破坏的情况，由运维单位复原并尽快恢复运行，所发生的费用由运维单位承担。运维单位协助地方环保部门做好水站固定资产登记管理等工作；</w:t>
            </w:r>
          </w:p>
          <w:p>
            <w:pPr>
              <w:widowControl/>
              <w:ind w:firstLine="480"/>
              <w:jc w:val="both"/>
              <w:textAlignment w:val="center"/>
            </w:pPr>
            <w:r>
              <w:rPr>
                <w:rFonts w:hint="eastAsia"/>
              </w:rPr>
              <w:t>9、运维单位相关技术人员应持证上岗，具有相关的专业知识，能独立运行维护水站，有3年水质自动监测站运维经验；</w:t>
            </w:r>
          </w:p>
          <w:p>
            <w:pPr>
              <w:widowControl/>
              <w:ind w:firstLine="480"/>
              <w:jc w:val="both"/>
              <w:textAlignment w:val="center"/>
            </w:pPr>
            <w:r>
              <w:rPr>
                <w:rFonts w:hint="eastAsia"/>
              </w:rPr>
              <w:t>10、运维单位运维期满后应保证资产完好，并做好资产交接，交接的仪器设备需满足本标书中的技术要求。</w:t>
            </w:r>
          </w:p>
          <w:p>
            <w:pPr>
              <w:widowControl/>
              <w:ind w:firstLine="480"/>
              <w:jc w:val="both"/>
              <w:textAlignment w:val="center"/>
            </w:pPr>
            <w:r>
              <w:rPr>
                <w:rFonts w:hint="eastAsia"/>
              </w:rPr>
              <w:t>11、认真、及时做好运行维护记录，汇总各水质自动站每周维护记录，每月以书面形式上报至采购方，该书面报告作为运行维护考核的依据之一，内容包括：每日运行数据监控统计表、现场维护记录、仪器设备故障及排除情况登记表、每月运行情况、备品备件管理登记表、仪器质控统计表等。</w:t>
            </w:r>
          </w:p>
          <w:p>
            <w:pPr>
              <w:pStyle w:val="2"/>
              <w:spacing w:after="0" w:line="440" w:lineRule="exact"/>
              <w:ind w:firstLine="480" w:firstLineChars="200"/>
              <w:jc w:val="both"/>
              <w:rPr>
                <w:sz w:val="24"/>
              </w:rPr>
            </w:pPr>
            <w:r>
              <w:rPr>
                <w:rFonts w:hint="eastAsia"/>
                <w:sz w:val="24"/>
              </w:rPr>
              <w:t>（二）具体运行维护要求</w:t>
            </w:r>
          </w:p>
          <w:p>
            <w:pPr>
              <w:pStyle w:val="2"/>
              <w:spacing w:after="0" w:line="440" w:lineRule="exact"/>
              <w:ind w:firstLine="480" w:firstLineChars="200"/>
              <w:jc w:val="both"/>
              <w:rPr>
                <w:sz w:val="24"/>
              </w:rPr>
            </w:pPr>
            <w:r>
              <w:rPr>
                <w:rFonts w:hint="eastAsia"/>
                <w:sz w:val="24"/>
              </w:rPr>
              <w:t>1、远程维护要求</w:t>
            </w:r>
          </w:p>
          <w:p>
            <w:pPr>
              <w:pStyle w:val="2"/>
              <w:spacing w:after="0" w:line="440" w:lineRule="exact"/>
              <w:ind w:firstLine="480" w:firstLineChars="200"/>
              <w:jc w:val="both"/>
              <w:rPr>
                <w:sz w:val="24"/>
              </w:rPr>
            </w:pPr>
            <w:r>
              <w:rPr>
                <w:rFonts w:hint="eastAsia"/>
                <w:sz w:val="24"/>
              </w:rPr>
              <w:t>（1）每日对水站监测数据和设备运行状况进行远程监视，对监测数据进行审核，对站点运行情况进行诊断和运行管理，根据运维工作需要，对运维人员进行调度，并记录；</w:t>
            </w:r>
          </w:p>
          <w:p>
            <w:pPr>
              <w:pStyle w:val="2"/>
              <w:spacing w:after="0" w:line="440" w:lineRule="exact"/>
              <w:ind w:firstLine="480" w:firstLineChars="200"/>
              <w:jc w:val="both"/>
              <w:rPr>
                <w:sz w:val="24"/>
              </w:rPr>
            </w:pPr>
            <w:r>
              <w:rPr>
                <w:rFonts w:hint="eastAsia"/>
                <w:sz w:val="24"/>
              </w:rPr>
              <w:t>（2）远程对水站的整体工作情况进行监控，获取仪器设备关键参数，可根据其运行状态进行相应远程调试；</w:t>
            </w:r>
          </w:p>
          <w:p>
            <w:pPr>
              <w:pStyle w:val="2"/>
              <w:spacing w:after="0" w:line="440" w:lineRule="exact"/>
              <w:ind w:firstLine="480" w:firstLineChars="200"/>
              <w:jc w:val="both"/>
              <w:rPr>
                <w:sz w:val="24"/>
              </w:rPr>
            </w:pPr>
            <w:r>
              <w:rPr>
                <w:rFonts w:hint="eastAsia"/>
                <w:sz w:val="24"/>
              </w:rPr>
              <w:t>（3）通过远程控制，可对仪表进行校时、复位、测试、校准、清洗、24小时零点漂移和量程漂移核查、标样核查、样品复测和留样等维护工作；</w:t>
            </w:r>
          </w:p>
          <w:p>
            <w:pPr>
              <w:pStyle w:val="2"/>
              <w:spacing w:after="0" w:line="440" w:lineRule="exact"/>
              <w:ind w:firstLine="480" w:firstLineChars="200"/>
              <w:jc w:val="both"/>
              <w:rPr>
                <w:sz w:val="24"/>
              </w:rPr>
            </w:pPr>
            <w:r>
              <w:rPr>
                <w:rFonts w:hint="eastAsia"/>
                <w:sz w:val="24"/>
              </w:rPr>
              <w:t>（4）通过运维管理平台对站点的运维情况及相关信息进行统计和评价，包括运维巡检频次、质控频次、故障响应情况、超标响应情况等信息统计，结合数据获取率、数据有效率等对水站的运行维护情况进行评价。</w:t>
            </w:r>
          </w:p>
          <w:p>
            <w:pPr>
              <w:pStyle w:val="2"/>
              <w:spacing w:after="0" w:line="440" w:lineRule="exact"/>
              <w:ind w:firstLine="480" w:firstLineChars="200"/>
              <w:jc w:val="both"/>
              <w:rPr>
                <w:sz w:val="24"/>
              </w:rPr>
            </w:pPr>
            <w:r>
              <w:rPr>
                <w:rFonts w:hint="eastAsia"/>
                <w:sz w:val="24"/>
              </w:rPr>
              <w:t>2、现场维护要求</w:t>
            </w:r>
          </w:p>
          <w:p>
            <w:pPr>
              <w:pStyle w:val="2"/>
              <w:spacing w:after="0" w:line="440" w:lineRule="exact"/>
              <w:ind w:firstLine="480" w:firstLineChars="200"/>
              <w:jc w:val="both"/>
              <w:rPr>
                <w:sz w:val="24"/>
              </w:rPr>
            </w:pPr>
            <w:r>
              <w:rPr>
                <w:rFonts w:hint="eastAsia"/>
                <w:sz w:val="24"/>
              </w:rPr>
              <w:t>现场维护包括运维技术人员到水站现场完成的例行巡检、定期养护和现场质控工作。</w:t>
            </w:r>
          </w:p>
          <w:p>
            <w:pPr>
              <w:pStyle w:val="2"/>
              <w:spacing w:after="0" w:line="440" w:lineRule="exact"/>
              <w:ind w:firstLine="480" w:firstLineChars="200"/>
              <w:jc w:val="both"/>
              <w:rPr>
                <w:sz w:val="24"/>
              </w:rPr>
            </w:pPr>
            <w:r>
              <w:rPr>
                <w:rFonts w:hint="eastAsia"/>
                <w:sz w:val="24"/>
              </w:rPr>
              <w:t>（1）每周例行巡检</w:t>
            </w:r>
          </w:p>
          <w:p>
            <w:pPr>
              <w:pStyle w:val="2"/>
              <w:spacing w:after="0" w:line="440" w:lineRule="exact"/>
              <w:ind w:firstLine="480" w:firstLineChars="200"/>
              <w:jc w:val="both"/>
              <w:rPr>
                <w:sz w:val="24"/>
              </w:rPr>
            </w:pPr>
            <w:r>
              <w:rPr>
                <w:rFonts w:hint="eastAsia"/>
                <w:sz w:val="24"/>
              </w:rPr>
              <w:t>1）检查水站电路系统是否正常，接地线路是否可靠，检查采样和排液管路是否有漏液或堵塞现象，排水排气装置工作是否正常；</w:t>
            </w:r>
          </w:p>
          <w:p>
            <w:pPr>
              <w:pStyle w:val="2"/>
              <w:spacing w:after="0" w:line="440" w:lineRule="exact"/>
              <w:ind w:firstLine="480" w:firstLineChars="200"/>
              <w:jc w:val="both"/>
              <w:rPr>
                <w:sz w:val="24"/>
              </w:rPr>
            </w:pPr>
            <w:r>
              <w:rPr>
                <w:rFonts w:hint="eastAsia"/>
                <w:sz w:val="24"/>
              </w:rPr>
              <w:t>2）检查采配水单元是否正常，如采水浮船固定情况，自吸泵运行情况等；定期清洗采配水系统，包括采水头、吊桶、泵体、沉砂池、过滤头、水样杯、阀门、管路等，对于无法清洗干净的及时更换；</w:t>
            </w:r>
          </w:p>
          <w:p>
            <w:pPr>
              <w:pStyle w:val="2"/>
              <w:spacing w:after="0" w:line="440" w:lineRule="exact"/>
              <w:ind w:firstLine="480" w:firstLineChars="200"/>
              <w:jc w:val="both"/>
              <w:rPr>
                <w:sz w:val="24"/>
              </w:rPr>
            </w:pPr>
            <w:r>
              <w:rPr>
                <w:rFonts w:hint="eastAsia"/>
                <w:sz w:val="24"/>
              </w:rPr>
              <w:t>3）检查工控机运行状态，检查上传至平台数据和现场数据的一致性，检查仪器与系统的通讯线路是否正常；</w:t>
            </w:r>
          </w:p>
          <w:p>
            <w:pPr>
              <w:pStyle w:val="2"/>
              <w:spacing w:after="0" w:line="440" w:lineRule="exact"/>
              <w:ind w:firstLine="480" w:firstLineChars="200"/>
              <w:jc w:val="both"/>
              <w:rPr>
                <w:sz w:val="24"/>
              </w:rPr>
            </w:pPr>
            <w:r>
              <w:rPr>
                <w:rFonts w:hint="eastAsia"/>
                <w:sz w:val="24"/>
              </w:rPr>
              <w:t>4）查看分析仪器及辅助设备的运行状态和主要技术参数，判断运行是否正常。检查有无漏液，进样管路、试剂管路中是否有气泡存在，如有及时将气泡排出；</w:t>
            </w:r>
          </w:p>
          <w:p>
            <w:pPr>
              <w:pStyle w:val="2"/>
              <w:spacing w:after="0" w:line="440" w:lineRule="exact"/>
              <w:ind w:firstLine="480" w:firstLineChars="200"/>
              <w:jc w:val="both"/>
              <w:rPr>
                <w:sz w:val="24"/>
              </w:rPr>
            </w:pPr>
            <w:r>
              <w:rPr>
                <w:rFonts w:hint="eastAsia"/>
                <w:sz w:val="24"/>
              </w:rPr>
              <w:t>5）检查空调及保温措施，检查水泵及空压机固定情况，避免仪器振动。检查不间断电源（UPS）、除藻装置等外部保障设施运行状态，并及时更换耗材；</w:t>
            </w:r>
          </w:p>
          <w:p>
            <w:pPr>
              <w:pStyle w:val="2"/>
              <w:spacing w:after="0" w:line="440" w:lineRule="exact"/>
              <w:ind w:firstLine="480" w:firstLineChars="200"/>
              <w:jc w:val="both"/>
              <w:rPr>
                <w:sz w:val="24"/>
              </w:rPr>
            </w:pPr>
            <w:r>
              <w:rPr>
                <w:rFonts w:hint="eastAsia"/>
                <w:sz w:val="24"/>
              </w:rPr>
              <w:t>6）检查试剂使用状况，定期添加、更换试剂；</w:t>
            </w:r>
          </w:p>
          <w:p>
            <w:pPr>
              <w:pStyle w:val="2"/>
              <w:spacing w:after="0" w:line="440" w:lineRule="exact"/>
              <w:ind w:firstLine="480" w:firstLineChars="200"/>
              <w:jc w:val="both"/>
              <w:rPr>
                <w:sz w:val="24"/>
              </w:rPr>
            </w:pPr>
            <w:r>
              <w:rPr>
                <w:rFonts w:hint="eastAsia"/>
                <w:sz w:val="24"/>
              </w:rPr>
              <w:t>7）检查防雷设施是否可靠，站房是否有漏水现象，站房外围的其他设施是否有损坏，如遇到以上问题及时处理，保证水站系统安全运行。在封冻期来临前做好采水管路和站房保温等维护工作；</w:t>
            </w:r>
          </w:p>
          <w:p>
            <w:pPr>
              <w:pStyle w:val="2"/>
              <w:spacing w:after="0" w:line="440" w:lineRule="exact"/>
              <w:ind w:firstLine="480" w:firstLineChars="200"/>
              <w:jc w:val="both"/>
              <w:rPr>
                <w:sz w:val="24"/>
              </w:rPr>
            </w:pPr>
            <w:r>
              <w:rPr>
                <w:rFonts w:hint="eastAsia"/>
                <w:sz w:val="24"/>
              </w:rPr>
              <w:t>8）做好废液收集并按相关规定做好处置工作；</w:t>
            </w:r>
          </w:p>
          <w:p>
            <w:pPr>
              <w:pStyle w:val="2"/>
              <w:spacing w:after="0" w:line="440" w:lineRule="exact"/>
              <w:ind w:firstLine="480" w:firstLineChars="200"/>
              <w:jc w:val="both"/>
              <w:rPr>
                <w:sz w:val="24"/>
              </w:rPr>
            </w:pPr>
            <w:r>
              <w:rPr>
                <w:rFonts w:hint="eastAsia"/>
                <w:sz w:val="24"/>
              </w:rPr>
              <w:t>9）保持水站站房及各仪器干净整洁，及时关闭门窗，避免日光直射各类分析仪器。</w:t>
            </w:r>
          </w:p>
          <w:p>
            <w:pPr>
              <w:pStyle w:val="2"/>
              <w:spacing w:after="0" w:line="440" w:lineRule="exact"/>
              <w:ind w:firstLine="480" w:firstLineChars="200"/>
              <w:jc w:val="both"/>
              <w:rPr>
                <w:sz w:val="24"/>
              </w:rPr>
            </w:pPr>
            <w:r>
              <w:rPr>
                <w:rFonts w:hint="eastAsia"/>
                <w:sz w:val="24"/>
              </w:rPr>
              <w:t>（2）定期养护</w:t>
            </w:r>
          </w:p>
          <w:p>
            <w:pPr>
              <w:pStyle w:val="2"/>
              <w:spacing w:after="0" w:line="440" w:lineRule="exact"/>
              <w:ind w:firstLine="480" w:firstLineChars="200"/>
              <w:jc w:val="both"/>
              <w:rPr>
                <w:sz w:val="24"/>
              </w:rPr>
            </w:pPr>
            <w:r>
              <w:rPr>
                <w:rFonts w:hint="eastAsia"/>
                <w:sz w:val="24"/>
              </w:rPr>
              <w:t>1）站房</w:t>
            </w:r>
          </w:p>
          <w:p>
            <w:pPr>
              <w:pStyle w:val="2"/>
              <w:spacing w:after="0" w:line="440" w:lineRule="exact"/>
              <w:ind w:firstLine="480" w:firstLineChars="200"/>
              <w:jc w:val="both"/>
              <w:rPr>
                <w:sz w:val="24"/>
              </w:rPr>
            </w:pPr>
            <w:r>
              <w:rPr>
                <w:rFonts w:hint="eastAsia"/>
                <w:sz w:val="24"/>
              </w:rPr>
              <w:t>保证站房空调及取暖设施运行正常，定期对空调进行全面的清洗。每年需通过具有资质的专业机构对防雷设施进行检测、维护或更换，并出具报告。定期更换防火设备。</w:t>
            </w:r>
          </w:p>
          <w:p>
            <w:pPr>
              <w:pStyle w:val="2"/>
              <w:spacing w:after="0" w:line="440" w:lineRule="exact"/>
              <w:ind w:firstLine="480" w:firstLineChars="200"/>
              <w:jc w:val="both"/>
              <w:rPr>
                <w:sz w:val="24"/>
              </w:rPr>
            </w:pPr>
            <w:r>
              <w:rPr>
                <w:rFonts w:hint="eastAsia"/>
                <w:sz w:val="24"/>
              </w:rPr>
              <w:t>2）分析单元</w:t>
            </w:r>
          </w:p>
          <w:p>
            <w:pPr>
              <w:pStyle w:val="2"/>
              <w:spacing w:after="0" w:line="440" w:lineRule="exact"/>
              <w:ind w:firstLine="480" w:firstLineChars="200"/>
              <w:jc w:val="both"/>
              <w:rPr>
                <w:sz w:val="24"/>
              </w:rPr>
            </w:pPr>
            <w:r>
              <w:rPr>
                <w:rFonts w:hint="eastAsia"/>
                <w:sz w:val="24"/>
              </w:rPr>
              <w:t>应依据断面水质状况、水站环境条件和分析仪器的要求，制定易耗品（如泵管、滤膜、活性碳及干燥剂等）的更换周期，做到定期更换；对使用期限有规定的备品备件，严格按使用规定期限予以更换。</w:t>
            </w:r>
          </w:p>
          <w:p>
            <w:pPr>
              <w:pStyle w:val="2"/>
              <w:spacing w:after="0" w:line="440" w:lineRule="exact"/>
              <w:ind w:firstLine="480" w:firstLineChars="200"/>
              <w:jc w:val="both"/>
              <w:rPr>
                <w:sz w:val="24"/>
              </w:rPr>
            </w:pPr>
            <w:r>
              <w:rPr>
                <w:rFonts w:hint="eastAsia"/>
                <w:sz w:val="24"/>
              </w:rPr>
              <w:t>水站仪器所用试剂的更换周期应根据试剂稳定性和保质期确定，室内温度较高时应缩短更换周期，试剂的更换周期不得超过30天。</w:t>
            </w:r>
          </w:p>
          <w:p>
            <w:pPr>
              <w:pStyle w:val="2"/>
              <w:spacing w:after="0" w:line="440" w:lineRule="exact"/>
              <w:ind w:firstLine="480" w:firstLineChars="200"/>
              <w:jc w:val="both"/>
              <w:rPr>
                <w:sz w:val="24"/>
              </w:rPr>
            </w:pPr>
            <w:r>
              <w:rPr>
                <w:rFonts w:hint="eastAsia"/>
                <w:sz w:val="24"/>
              </w:rPr>
              <w:t>根据水站运行的环境状况，在规定的时间对仪器设备进行预防性检修。</w:t>
            </w:r>
          </w:p>
          <w:p>
            <w:pPr>
              <w:pStyle w:val="2"/>
              <w:spacing w:after="0" w:line="440" w:lineRule="exact"/>
              <w:ind w:firstLine="480" w:firstLineChars="200"/>
              <w:jc w:val="both"/>
              <w:rPr>
                <w:sz w:val="24"/>
              </w:rPr>
            </w:pPr>
            <w:r>
              <w:rPr>
                <w:rFonts w:hint="eastAsia"/>
                <w:sz w:val="24"/>
              </w:rPr>
              <w:t>每月至少进行一次多点线性核查，在自动分析仪器当前量程范围内均匀选择5个浓度标准溶液（包括空白）。</w:t>
            </w:r>
          </w:p>
          <w:p>
            <w:pPr>
              <w:pStyle w:val="2"/>
              <w:spacing w:after="0" w:line="440" w:lineRule="exact"/>
              <w:ind w:firstLine="480" w:firstLineChars="200"/>
              <w:jc w:val="both"/>
              <w:rPr>
                <w:sz w:val="24"/>
              </w:rPr>
            </w:pPr>
            <w:r>
              <w:rPr>
                <w:rFonts w:hint="eastAsia"/>
                <w:sz w:val="24"/>
              </w:rPr>
              <w:t>3）采配水单元</w:t>
            </w:r>
          </w:p>
          <w:p>
            <w:pPr>
              <w:pStyle w:val="2"/>
              <w:spacing w:after="0" w:line="440" w:lineRule="exact"/>
              <w:ind w:firstLine="480" w:firstLineChars="200"/>
              <w:jc w:val="both"/>
              <w:rPr>
                <w:sz w:val="24"/>
              </w:rPr>
            </w:pPr>
            <w:r>
              <w:rPr>
                <w:rFonts w:hint="eastAsia"/>
                <w:sz w:val="24"/>
              </w:rPr>
              <w:t>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沉淀池、过滤芯、配水管路和采样杯等部件。</w:t>
            </w:r>
          </w:p>
          <w:p>
            <w:pPr>
              <w:pStyle w:val="2"/>
              <w:spacing w:after="0" w:line="440" w:lineRule="exact"/>
              <w:ind w:firstLine="480" w:firstLineChars="200"/>
              <w:jc w:val="both"/>
              <w:rPr>
                <w:sz w:val="24"/>
              </w:rPr>
            </w:pPr>
            <w:r>
              <w:rPr>
                <w:rFonts w:hint="eastAsia"/>
                <w:sz w:val="24"/>
              </w:rPr>
              <w:t>4）站点质控单元及通讯单元</w:t>
            </w:r>
          </w:p>
          <w:p>
            <w:pPr>
              <w:pStyle w:val="2"/>
              <w:spacing w:after="0" w:line="440" w:lineRule="exact"/>
              <w:ind w:firstLine="480" w:firstLineChars="200"/>
              <w:jc w:val="both"/>
              <w:rPr>
                <w:sz w:val="24"/>
              </w:rPr>
            </w:pPr>
            <w:r>
              <w:rPr>
                <w:rFonts w:hint="eastAsia"/>
                <w:sz w:val="24"/>
              </w:rPr>
              <w:t>定期对工控机进行断电重启，查看工控机是否可以自动启动，并运行操作系统、加载现场监控软件，查看串口通讯是否正常。</w:t>
            </w:r>
          </w:p>
          <w:p>
            <w:pPr>
              <w:pStyle w:val="2"/>
              <w:spacing w:after="0" w:line="440" w:lineRule="exact"/>
              <w:ind w:firstLine="480" w:firstLineChars="200"/>
              <w:jc w:val="both"/>
              <w:rPr>
                <w:sz w:val="24"/>
              </w:rPr>
            </w:pPr>
            <w:r>
              <w:rPr>
                <w:rFonts w:hint="eastAsia"/>
                <w:sz w:val="24"/>
              </w:rPr>
              <w:t>定期对网络通讯设备进行断电重启，查看启动后是否通讯正常。</w:t>
            </w:r>
          </w:p>
          <w:p>
            <w:pPr>
              <w:pStyle w:val="2"/>
              <w:spacing w:after="0" w:line="440" w:lineRule="exact"/>
              <w:ind w:firstLine="480" w:firstLineChars="200"/>
              <w:jc w:val="both"/>
              <w:rPr>
                <w:sz w:val="24"/>
              </w:rPr>
            </w:pPr>
            <w:r>
              <w:rPr>
                <w:rFonts w:hint="eastAsia"/>
                <w:sz w:val="24"/>
              </w:rPr>
              <w:t>每月检查开机过程中硬件自检过程是否有异常数据传输和报警。</w:t>
            </w:r>
          </w:p>
          <w:p>
            <w:pPr>
              <w:pStyle w:val="2"/>
              <w:spacing w:after="0" w:line="440" w:lineRule="exact"/>
              <w:ind w:firstLine="480" w:firstLineChars="200"/>
              <w:jc w:val="both"/>
              <w:rPr>
                <w:sz w:val="24"/>
              </w:rPr>
            </w:pPr>
            <w:r>
              <w:rPr>
                <w:rFonts w:hint="eastAsia"/>
                <w:sz w:val="24"/>
              </w:rPr>
              <w:t>每月对工控机进行杀毒，防止病毒损坏软件。</w:t>
            </w:r>
          </w:p>
          <w:p>
            <w:pPr>
              <w:pStyle w:val="2"/>
              <w:spacing w:after="0" w:line="440" w:lineRule="exact"/>
              <w:ind w:firstLine="480" w:firstLineChars="200"/>
              <w:jc w:val="both"/>
              <w:rPr>
                <w:sz w:val="24"/>
              </w:rPr>
            </w:pPr>
            <w:r>
              <w:rPr>
                <w:rFonts w:hint="eastAsia"/>
                <w:sz w:val="24"/>
              </w:rPr>
              <w:t>5）辅助设备</w:t>
            </w:r>
          </w:p>
          <w:p>
            <w:pPr>
              <w:pStyle w:val="2"/>
              <w:spacing w:after="0" w:line="440" w:lineRule="exact"/>
              <w:ind w:firstLine="480" w:firstLineChars="200"/>
              <w:jc w:val="both"/>
              <w:rPr>
                <w:sz w:val="24"/>
              </w:rPr>
            </w:pPr>
            <w:r>
              <w:rPr>
                <w:rFonts w:hint="eastAsia"/>
                <w:sz w:val="24"/>
              </w:rPr>
              <w:t>定期检查稳压电源及UPS的输出是否符合技术要求，突发异常情况需及时排查处理。</w:t>
            </w:r>
          </w:p>
          <w:p>
            <w:pPr>
              <w:pStyle w:val="2"/>
              <w:spacing w:after="0" w:line="440" w:lineRule="exact"/>
              <w:ind w:firstLine="480" w:firstLineChars="200"/>
              <w:jc w:val="both"/>
              <w:rPr>
                <w:sz w:val="24"/>
              </w:rPr>
            </w:pPr>
            <w:r>
              <w:rPr>
                <w:rFonts w:hint="eastAsia"/>
                <w:sz w:val="24"/>
              </w:rPr>
              <w:t>每月至少检查一次空气压缩机气泵和清水增压泵的工作状况，并对空气过滤器放水。</w:t>
            </w:r>
          </w:p>
          <w:p>
            <w:pPr>
              <w:pStyle w:val="2"/>
              <w:spacing w:after="0" w:line="440" w:lineRule="exact"/>
              <w:ind w:firstLine="480" w:firstLineChars="200"/>
              <w:jc w:val="both"/>
              <w:rPr>
                <w:sz w:val="24"/>
              </w:rPr>
            </w:pPr>
            <w:r>
              <w:rPr>
                <w:rFonts w:hint="eastAsia"/>
                <w:sz w:val="24"/>
              </w:rPr>
              <w:t>定期检查摄像头是否破损，视频设备功能是否正常，包括摄像、视频存储、云台控制等。</w:t>
            </w:r>
          </w:p>
          <w:p>
            <w:pPr>
              <w:pStyle w:val="2"/>
              <w:spacing w:after="0" w:line="440" w:lineRule="exact"/>
              <w:ind w:firstLine="480" w:firstLineChars="200"/>
              <w:jc w:val="both"/>
              <w:rPr>
                <w:sz w:val="24"/>
              </w:rPr>
            </w:pPr>
            <w:r>
              <w:rPr>
                <w:rFonts w:hint="eastAsia"/>
                <w:sz w:val="24"/>
              </w:rPr>
              <w:t>6）其它</w:t>
            </w:r>
          </w:p>
          <w:p>
            <w:pPr>
              <w:pStyle w:val="2"/>
              <w:spacing w:after="0" w:line="440" w:lineRule="exact"/>
              <w:ind w:firstLine="480" w:firstLineChars="200"/>
              <w:jc w:val="both"/>
              <w:rPr>
                <w:sz w:val="24"/>
              </w:rPr>
            </w:pPr>
            <w:r>
              <w:rPr>
                <w:rFonts w:hint="eastAsia"/>
                <w:sz w:val="24"/>
              </w:rPr>
              <w:t>每月对水站监测数据进行一次备份，备份数据单独存储；每月对备用仪器进行一次校准和标样核查。</w:t>
            </w:r>
          </w:p>
          <w:p>
            <w:pPr>
              <w:pStyle w:val="2"/>
              <w:spacing w:after="0" w:line="440" w:lineRule="exact"/>
              <w:ind w:firstLine="480" w:firstLineChars="200"/>
              <w:jc w:val="both"/>
              <w:rPr>
                <w:sz w:val="24"/>
              </w:rPr>
            </w:pPr>
            <w:r>
              <w:rPr>
                <w:rFonts w:hint="eastAsia"/>
                <w:sz w:val="24"/>
              </w:rPr>
              <w:t>3、应急运维要求</w:t>
            </w:r>
          </w:p>
          <w:p>
            <w:pPr>
              <w:pStyle w:val="2"/>
              <w:spacing w:after="0" w:line="440" w:lineRule="exact"/>
              <w:ind w:firstLine="480" w:firstLineChars="200"/>
              <w:jc w:val="both"/>
              <w:rPr>
                <w:sz w:val="24"/>
              </w:rPr>
            </w:pPr>
            <w:r>
              <w:rPr>
                <w:rFonts w:hint="eastAsia"/>
                <w:sz w:val="24"/>
              </w:rPr>
              <w:t>针对异常数据、系统故障和数据缺失等情况，运维单位需建立一套完整的应急维护方案。</w:t>
            </w:r>
          </w:p>
          <w:p>
            <w:pPr>
              <w:pStyle w:val="2"/>
              <w:spacing w:after="0" w:line="440" w:lineRule="exact"/>
              <w:ind w:firstLine="480" w:firstLineChars="200"/>
              <w:jc w:val="both"/>
              <w:rPr>
                <w:sz w:val="24"/>
              </w:rPr>
            </w:pPr>
            <w:r>
              <w:rPr>
                <w:rFonts w:hint="eastAsia"/>
                <w:sz w:val="24"/>
              </w:rPr>
              <w:t>发生数据异常情况时应及时远程启动标样核查和留样复测，通过核查结果初步判定仪表当前的状态是否正常；确系污染过程应启动水站加密测试模式，同时记录并上报；</w:t>
            </w:r>
          </w:p>
          <w:p>
            <w:pPr>
              <w:pStyle w:val="2"/>
              <w:spacing w:after="0" w:line="440" w:lineRule="exact"/>
              <w:ind w:firstLine="480" w:firstLineChars="200"/>
              <w:jc w:val="both"/>
              <w:rPr>
                <w:sz w:val="24"/>
              </w:rPr>
            </w:pPr>
            <w:r>
              <w:rPr>
                <w:rFonts w:hint="eastAsia"/>
                <w:sz w:val="24"/>
              </w:rPr>
              <w:t>水站仪器发生故障时，运维单位应及时响应（响应时间不超过8小时），并在24小时内解决所有的故障，如故障不能排除，应在48小时内更换备机；</w:t>
            </w:r>
          </w:p>
          <w:p>
            <w:pPr>
              <w:pStyle w:val="2"/>
              <w:spacing w:after="0" w:line="440" w:lineRule="exact"/>
              <w:ind w:firstLine="480" w:firstLineChars="200"/>
              <w:jc w:val="both"/>
              <w:rPr>
                <w:sz w:val="24"/>
              </w:rPr>
            </w:pPr>
            <w:r>
              <w:rPr>
                <w:rFonts w:hint="eastAsia"/>
                <w:sz w:val="24"/>
              </w:rPr>
              <w:t>当出现水站长时间停电和水位不足造成水站无法自动取样时需进行人工补测，并将实验室分析结果录入数据平台；补测频率为每周两次，两次采样间隔不低于两天；根据各站仪器配置补测相关监测项目，包括pH、溶解氧、氨氮等。</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lang w:bidi="ar"/>
              </w:rPr>
              <w:t>1</w:t>
            </w:r>
          </w:p>
        </w:tc>
      </w:tr>
    </w:tbl>
    <w:p>
      <w:pPr>
        <w:ind w:firstLine="480"/>
        <w:sectPr>
          <w:pgSz w:w="16840" w:h="11900" w:orient="landscape"/>
          <w:pgMar w:top="1418" w:right="1191" w:bottom="1191" w:left="1191" w:header="850" w:footer="992" w:gutter="0"/>
          <w:cols w:space="720" w:num="1"/>
          <w:docGrid w:linePitch="360" w:charSpace="0"/>
        </w:sectPr>
      </w:pPr>
      <w:bookmarkStart w:id="9" w:name="_GoBack"/>
      <w:bookmarkEnd w:id="9"/>
    </w:p>
    <w:bookmarkEnd w:id="0"/>
    <w:bookmarkEnd w:id="1"/>
    <w:bookmarkEnd w:id="2"/>
    <w:bookmarkEnd w:id="3"/>
    <w:bookmarkEnd w:id="4"/>
    <w:bookmarkEnd w:id="5"/>
    <w:bookmarkEnd w:id="6"/>
    <w:bookmarkEnd w:id="7"/>
    <w:p/>
    <w:sectPr>
      <w:footerReference r:id="rId6" w:type="default"/>
      <w:type w:val="nextColumn"/>
      <w:pgSz w:w="11907" w:h="16840"/>
      <w:pgMar w:top="1191" w:right="1191" w:bottom="1191" w:left="1418" w:header="0" w:footer="1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right"/>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path/>
          <v:fill on="f" focussize="0,0"/>
          <v:stroke on="f" weight="0.5pt" joinstyle="miter"/>
          <v:imagedata o:title=""/>
          <o:lock v:ext="edit"/>
          <v:textbox inset="0mm,0mm,0mm,0mm" style="mso-fit-shape-to-text:t;">
            <w:txbxContent>
              <w:p>
                <w:pPr>
                  <w:ind w:firstLine="480"/>
                </w:pPr>
              </w:p>
            </w:txbxContent>
          </v:textbox>
        </v:shape>
      </w:pict>
    </w:r>
  </w:p>
  <w:p>
    <w:pPr>
      <w:pStyle w:val="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ind w:firstLine="36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75</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4B31B"/>
    <w:multiLevelType w:val="singleLevel"/>
    <w:tmpl w:val="FC54B31B"/>
    <w:lvl w:ilvl="0" w:tentative="0">
      <w:start w:val="1"/>
      <w:numFmt w:val="decimal"/>
      <w:suff w:val="nothing"/>
      <w:lvlText w:val="%1、"/>
      <w:lvlJc w:val="left"/>
      <w:rPr>
        <w:b/>
      </w:rPr>
    </w:lvl>
  </w:abstractNum>
  <w:abstractNum w:abstractNumId="1">
    <w:nsid w:val="3ED38692"/>
    <w:multiLevelType w:val="singleLevel"/>
    <w:tmpl w:val="3ED38692"/>
    <w:lvl w:ilvl="0" w:tentative="0">
      <w:start w:val="1"/>
      <w:numFmt w:val="chineseCounting"/>
      <w:suff w:val="nothing"/>
      <w:lvlText w:val="（%1）"/>
      <w:lvlJc w:val="left"/>
      <w:rPr>
        <w:rFonts w:hint="eastAsia"/>
      </w:rPr>
    </w:lvl>
  </w:abstractNum>
  <w:abstractNum w:abstractNumId="2">
    <w:nsid w:val="496DABD6"/>
    <w:multiLevelType w:val="singleLevel"/>
    <w:tmpl w:val="496DABD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c0OTEwZjE3MDQ2OTg2OTkyYzcyMWQxY2Y1ZDkifQ=="/>
  </w:docVars>
  <w:rsids>
    <w:rsidRoot w:val="00EB4302"/>
    <w:rsid w:val="00011784"/>
    <w:rsid w:val="0001554B"/>
    <w:rsid w:val="00023C66"/>
    <w:rsid w:val="0005395F"/>
    <w:rsid w:val="0007030F"/>
    <w:rsid w:val="00086650"/>
    <w:rsid w:val="00086E41"/>
    <w:rsid w:val="000F7727"/>
    <w:rsid w:val="00107826"/>
    <w:rsid w:val="001122C9"/>
    <w:rsid w:val="0013334F"/>
    <w:rsid w:val="00135DDE"/>
    <w:rsid w:val="00154220"/>
    <w:rsid w:val="00196D01"/>
    <w:rsid w:val="001B5D1C"/>
    <w:rsid w:val="001D1BEE"/>
    <w:rsid w:val="001D3CC0"/>
    <w:rsid w:val="001F2CA3"/>
    <w:rsid w:val="002116B7"/>
    <w:rsid w:val="00212F40"/>
    <w:rsid w:val="00216DFC"/>
    <w:rsid w:val="00217810"/>
    <w:rsid w:val="00244FE9"/>
    <w:rsid w:val="002721D1"/>
    <w:rsid w:val="002A745E"/>
    <w:rsid w:val="002B5AC5"/>
    <w:rsid w:val="002C02E6"/>
    <w:rsid w:val="00332EB3"/>
    <w:rsid w:val="00346DCA"/>
    <w:rsid w:val="00377D38"/>
    <w:rsid w:val="003837EC"/>
    <w:rsid w:val="003C0F38"/>
    <w:rsid w:val="003F359E"/>
    <w:rsid w:val="004314C7"/>
    <w:rsid w:val="00455D7C"/>
    <w:rsid w:val="0047712E"/>
    <w:rsid w:val="00496425"/>
    <w:rsid w:val="004C217F"/>
    <w:rsid w:val="004D6091"/>
    <w:rsid w:val="004D62ED"/>
    <w:rsid w:val="00502697"/>
    <w:rsid w:val="00512850"/>
    <w:rsid w:val="00513D2A"/>
    <w:rsid w:val="00552555"/>
    <w:rsid w:val="005804CC"/>
    <w:rsid w:val="00593BDA"/>
    <w:rsid w:val="005B43D0"/>
    <w:rsid w:val="005C500E"/>
    <w:rsid w:val="005E63AA"/>
    <w:rsid w:val="005E7941"/>
    <w:rsid w:val="005F74B1"/>
    <w:rsid w:val="005F7D06"/>
    <w:rsid w:val="00604CFA"/>
    <w:rsid w:val="0062126C"/>
    <w:rsid w:val="00623D9F"/>
    <w:rsid w:val="006368CE"/>
    <w:rsid w:val="006417E3"/>
    <w:rsid w:val="00641ACC"/>
    <w:rsid w:val="006422EB"/>
    <w:rsid w:val="0064348E"/>
    <w:rsid w:val="00647E7F"/>
    <w:rsid w:val="00681F1A"/>
    <w:rsid w:val="00692899"/>
    <w:rsid w:val="006B0B0A"/>
    <w:rsid w:val="006B7843"/>
    <w:rsid w:val="00707C5B"/>
    <w:rsid w:val="007123AB"/>
    <w:rsid w:val="00743AB0"/>
    <w:rsid w:val="007B1822"/>
    <w:rsid w:val="007B4E1D"/>
    <w:rsid w:val="007E58AA"/>
    <w:rsid w:val="007F5944"/>
    <w:rsid w:val="008004C1"/>
    <w:rsid w:val="0080372E"/>
    <w:rsid w:val="00834662"/>
    <w:rsid w:val="00837D04"/>
    <w:rsid w:val="00853B3C"/>
    <w:rsid w:val="00872472"/>
    <w:rsid w:val="008813FC"/>
    <w:rsid w:val="0088375B"/>
    <w:rsid w:val="00884F32"/>
    <w:rsid w:val="00891501"/>
    <w:rsid w:val="008A6F24"/>
    <w:rsid w:val="008B23B5"/>
    <w:rsid w:val="008C163A"/>
    <w:rsid w:val="00903227"/>
    <w:rsid w:val="00947A10"/>
    <w:rsid w:val="009521FF"/>
    <w:rsid w:val="0096087B"/>
    <w:rsid w:val="00973FC5"/>
    <w:rsid w:val="009904AD"/>
    <w:rsid w:val="009925D2"/>
    <w:rsid w:val="009A2E06"/>
    <w:rsid w:val="009B1E2A"/>
    <w:rsid w:val="009B2192"/>
    <w:rsid w:val="009C2519"/>
    <w:rsid w:val="009E4D8F"/>
    <w:rsid w:val="009F1555"/>
    <w:rsid w:val="00A355AA"/>
    <w:rsid w:val="00A35619"/>
    <w:rsid w:val="00A52E87"/>
    <w:rsid w:val="00A545DC"/>
    <w:rsid w:val="00A56609"/>
    <w:rsid w:val="00A67642"/>
    <w:rsid w:val="00A71E48"/>
    <w:rsid w:val="00A84621"/>
    <w:rsid w:val="00A857D8"/>
    <w:rsid w:val="00A876CE"/>
    <w:rsid w:val="00A910C1"/>
    <w:rsid w:val="00A977B4"/>
    <w:rsid w:val="00AC3E2D"/>
    <w:rsid w:val="00AD5B5A"/>
    <w:rsid w:val="00AF11B6"/>
    <w:rsid w:val="00B00C43"/>
    <w:rsid w:val="00B141AA"/>
    <w:rsid w:val="00B37B00"/>
    <w:rsid w:val="00B9438F"/>
    <w:rsid w:val="00BB6562"/>
    <w:rsid w:val="00BC1391"/>
    <w:rsid w:val="00BD1709"/>
    <w:rsid w:val="00BE6A8F"/>
    <w:rsid w:val="00C25E3A"/>
    <w:rsid w:val="00C26E26"/>
    <w:rsid w:val="00CC7B9B"/>
    <w:rsid w:val="00CD2CC1"/>
    <w:rsid w:val="00CD755E"/>
    <w:rsid w:val="00CF222D"/>
    <w:rsid w:val="00D441EB"/>
    <w:rsid w:val="00D46D8B"/>
    <w:rsid w:val="00D5033B"/>
    <w:rsid w:val="00D54061"/>
    <w:rsid w:val="00D5664F"/>
    <w:rsid w:val="00D62DE1"/>
    <w:rsid w:val="00DC1601"/>
    <w:rsid w:val="00DC6B39"/>
    <w:rsid w:val="00E07A1E"/>
    <w:rsid w:val="00E2426F"/>
    <w:rsid w:val="00E62345"/>
    <w:rsid w:val="00E863AB"/>
    <w:rsid w:val="00E94386"/>
    <w:rsid w:val="00EA5579"/>
    <w:rsid w:val="00EB36C2"/>
    <w:rsid w:val="00EB4302"/>
    <w:rsid w:val="00EE4EE1"/>
    <w:rsid w:val="00F042EA"/>
    <w:rsid w:val="00F130BB"/>
    <w:rsid w:val="00F16E53"/>
    <w:rsid w:val="00F22367"/>
    <w:rsid w:val="00F54066"/>
    <w:rsid w:val="00F92934"/>
    <w:rsid w:val="00FA36B1"/>
    <w:rsid w:val="00FB56A1"/>
    <w:rsid w:val="00FC764F"/>
    <w:rsid w:val="00FF7209"/>
    <w:rsid w:val="013B2B96"/>
    <w:rsid w:val="01F80A87"/>
    <w:rsid w:val="01F926E4"/>
    <w:rsid w:val="01FB2325"/>
    <w:rsid w:val="01FE5971"/>
    <w:rsid w:val="02246ECF"/>
    <w:rsid w:val="02590796"/>
    <w:rsid w:val="029F0F02"/>
    <w:rsid w:val="03030B80"/>
    <w:rsid w:val="039447DF"/>
    <w:rsid w:val="040E580F"/>
    <w:rsid w:val="0483013D"/>
    <w:rsid w:val="049A5FA2"/>
    <w:rsid w:val="049C7878"/>
    <w:rsid w:val="04C42EA2"/>
    <w:rsid w:val="04D035F5"/>
    <w:rsid w:val="05BE78F1"/>
    <w:rsid w:val="064C2F96"/>
    <w:rsid w:val="072F6440"/>
    <w:rsid w:val="076631C2"/>
    <w:rsid w:val="079E5C2C"/>
    <w:rsid w:val="07E46F86"/>
    <w:rsid w:val="08002443"/>
    <w:rsid w:val="084B1F81"/>
    <w:rsid w:val="084D31AF"/>
    <w:rsid w:val="08810805"/>
    <w:rsid w:val="090135A2"/>
    <w:rsid w:val="09700EFD"/>
    <w:rsid w:val="098C3877"/>
    <w:rsid w:val="09975029"/>
    <w:rsid w:val="0A044046"/>
    <w:rsid w:val="0A081A83"/>
    <w:rsid w:val="0A1D7336"/>
    <w:rsid w:val="0ACE39FD"/>
    <w:rsid w:val="0AF659E5"/>
    <w:rsid w:val="0B3E77A2"/>
    <w:rsid w:val="0BF95B27"/>
    <w:rsid w:val="0C26610A"/>
    <w:rsid w:val="0CE04281"/>
    <w:rsid w:val="0D070E16"/>
    <w:rsid w:val="0D884402"/>
    <w:rsid w:val="0DAD4070"/>
    <w:rsid w:val="0E0C623D"/>
    <w:rsid w:val="0E161B9F"/>
    <w:rsid w:val="0E5139F9"/>
    <w:rsid w:val="0E903615"/>
    <w:rsid w:val="0FCF6F4F"/>
    <w:rsid w:val="10217530"/>
    <w:rsid w:val="10543B1B"/>
    <w:rsid w:val="106C2D6C"/>
    <w:rsid w:val="10961B97"/>
    <w:rsid w:val="109776BD"/>
    <w:rsid w:val="117D2F4B"/>
    <w:rsid w:val="11987B90"/>
    <w:rsid w:val="13CA5182"/>
    <w:rsid w:val="13D5058C"/>
    <w:rsid w:val="13E0137B"/>
    <w:rsid w:val="13F93DD9"/>
    <w:rsid w:val="14AD08B3"/>
    <w:rsid w:val="14F92DC4"/>
    <w:rsid w:val="15671D54"/>
    <w:rsid w:val="15F35395"/>
    <w:rsid w:val="15FA64BF"/>
    <w:rsid w:val="160871D0"/>
    <w:rsid w:val="16096967"/>
    <w:rsid w:val="1763479D"/>
    <w:rsid w:val="17936E30"/>
    <w:rsid w:val="17AA5F28"/>
    <w:rsid w:val="18786643"/>
    <w:rsid w:val="188C2FA4"/>
    <w:rsid w:val="1927379D"/>
    <w:rsid w:val="19842073"/>
    <w:rsid w:val="1A0062D3"/>
    <w:rsid w:val="1A5249BA"/>
    <w:rsid w:val="1ABF6389"/>
    <w:rsid w:val="1AFF24AC"/>
    <w:rsid w:val="1B617E91"/>
    <w:rsid w:val="1B9E5521"/>
    <w:rsid w:val="1BB37B88"/>
    <w:rsid w:val="1BF52059"/>
    <w:rsid w:val="1C220FFA"/>
    <w:rsid w:val="1C52109D"/>
    <w:rsid w:val="1CE67A02"/>
    <w:rsid w:val="1D4D3C8D"/>
    <w:rsid w:val="1D536AA0"/>
    <w:rsid w:val="1D6659F0"/>
    <w:rsid w:val="1DFF6065"/>
    <w:rsid w:val="1E200CF1"/>
    <w:rsid w:val="1E287F8C"/>
    <w:rsid w:val="1E3650EB"/>
    <w:rsid w:val="1E45047F"/>
    <w:rsid w:val="1EB678A8"/>
    <w:rsid w:val="1EE560EB"/>
    <w:rsid w:val="1EEE78CC"/>
    <w:rsid w:val="1F2966A0"/>
    <w:rsid w:val="204523FD"/>
    <w:rsid w:val="204664F4"/>
    <w:rsid w:val="20683BFC"/>
    <w:rsid w:val="20FB77F4"/>
    <w:rsid w:val="214F0BB7"/>
    <w:rsid w:val="21571EAB"/>
    <w:rsid w:val="217C26E3"/>
    <w:rsid w:val="22274D44"/>
    <w:rsid w:val="222A0391"/>
    <w:rsid w:val="22B13007"/>
    <w:rsid w:val="22F32E79"/>
    <w:rsid w:val="237F6ACC"/>
    <w:rsid w:val="23890B32"/>
    <w:rsid w:val="24361158"/>
    <w:rsid w:val="245E4322"/>
    <w:rsid w:val="24F1047F"/>
    <w:rsid w:val="24F160DB"/>
    <w:rsid w:val="250A03EB"/>
    <w:rsid w:val="25115C77"/>
    <w:rsid w:val="25924294"/>
    <w:rsid w:val="25AF3943"/>
    <w:rsid w:val="25C32B05"/>
    <w:rsid w:val="25C5019B"/>
    <w:rsid w:val="260D0228"/>
    <w:rsid w:val="275704C7"/>
    <w:rsid w:val="276460F3"/>
    <w:rsid w:val="27B31352"/>
    <w:rsid w:val="28565325"/>
    <w:rsid w:val="28CA6B5C"/>
    <w:rsid w:val="28CF4A42"/>
    <w:rsid w:val="28EB1781"/>
    <w:rsid w:val="29495216"/>
    <w:rsid w:val="297F46BA"/>
    <w:rsid w:val="2A3A5D5B"/>
    <w:rsid w:val="2A4C69EA"/>
    <w:rsid w:val="2B3B53BD"/>
    <w:rsid w:val="2B9B30E3"/>
    <w:rsid w:val="2BF55667"/>
    <w:rsid w:val="2C5F157F"/>
    <w:rsid w:val="2C7C5C8D"/>
    <w:rsid w:val="2CF72DA5"/>
    <w:rsid w:val="2D247F6D"/>
    <w:rsid w:val="2DAD9876"/>
    <w:rsid w:val="2E575575"/>
    <w:rsid w:val="2F4D12B0"/>
    <w:rsid w:val="2F75430C"/>
    <w:rsid w:val="2F943DC3"/>
    <w:rsid w:val="2FE31F56"/>
    <w:rsid w:val="300246FB"/>
    <w:rsid w:val="3030536A"/>
    <w:rsid w:val="3045283A"/>
    <w:rsid w:val="30A41BBC"/>
    <w:rsid w:val="30B36B52"/>
    <w:rsid w:val="30D53BBD"/>
    <w:rsid w:val="311601B9"/>
    <w:rsid w:val="312608BD"/>
    <w:rsid w:val="312D1C4B"/>
    <w:rsid w:val="31853836"/>
    <w:rsid w:val="31B1462B"/>
    <w:rsid w:val="32585345"/>
    <w:rsid w:val="32951856"/>
    <w:rsid w:val="33FB72A4"/>
    <w:rsid w:val="344F4F4F"/>
    <w:rsid w:val="348A1E8B"/>
    <w:rsid w:val="34F82570"/>
    <w:rsid w:val="34FD36E3"/>
    <w:rsid w:val="352F2A09"/>
    <w:rsid w:val="359677B4"/>
    <w:rsid w:val="35B013E8"/>
    <w:rsid w:val="364D18CA"/>
    <w:rsid w:val="36904C96"/>
    <w:rsid w:val="36E201D9"/>
    <w:rsid w:val="3725750B"/>
    <w:rsid w:val="38C34C43"/>
    <w:rsid w:val="3912102C"/>
    <w:rsid w:val="3930052B"/>
    <w:rsid w:val="3948655B"/>
    <w:rsid w:val="39A16D33"/>
    <w:rsid w:val="3A06303A"/>
    <w:rsid w:val="3A8617D5"/>
    <w:rsid w:val="3AA3471D"/>
    <w:rsid w:val="3AA571EB"/>
    <w:rsid w:val="3AB000E2"/>
    <w:rsid w:val="3B0A6B5A"/>
    <w:rsid w:val="3B68257E"/>
    <w:rsid w:val="3B732951"/>
    <w:rsid w:val="3B807E98"/>
    <w:rsid w:val="3BA90120"/>
    <w:rsid w:val="3C61505C"/>
    <w:rsid w:val="3C6C485C"/>
    <w:rsid w:val="3C8818A1"/>
    <w:rsid w:val="3D0644FF"/>
    <w:rsid w:val="3D8A04A6"/>
    <w:rsid w:val="3E1263E0"/>
    <w:rsid w:val="3EED78B1"/>
    <w:rsid w:val="3EF23E2B"/>
    <w:rsid w:val="3F122481"/>
    <w:rsid w:val="3F125FDD"/>
    <w:rsid w:val="3F3732D6"/>
    <w:rsid w:val="3F3C2F3C"/>
    <w:rsid w:val="3F4E5B52"/>
    <w:rsid w:val="3F710B1D"/>
    <w:rsid w:val="3FB3704E"/>
    <w:rsid w:val="3FC31EC6"/>
    <w:rsid w:val="3FCC0F8A"/>
    <w:rsid w:val="3FF35E0E"/>
    <w:rsid w:val="400B56A3"/>
    <w:rsid w:val="4075369B"/>
    <w:rsid w:val="408447A5"/>
    <w:rsid w:val="408455A5"/>
    <w:rsid w:val="40A8309D"/>
    <w:rsid w:val="411B62C6"/>
    <w:rsid w:val="418516E2"/>
    <w:rsid w:val="418F295E"/>
    <w:rsid w:val="426C3C56"/>
    <w:rsid w:val="428C6E8F"/>
    <w:rsid w:val="42C346A4"/>
    <w:rsid w:val="43236A0A"/>
    <w:rsid w:val="43DB4716"/>
    <w:rsid w:val="445F49F9"/>
    <w:rsid w:val="446B0654"/>
    <w:rsid w:val="44BE647E"/>
    <w:rsid w:val="44FC39B7"/>
    <w:rsid w:val="451734C3"/>
    <w:rsid w:val="45B778DE"/>
    <w:rsid w:val="45BA3A6E"/>
    <w:rsid w:val="45C53DA9"/>
    <w:rsid w:val="45CE37B6"/>
    <w:rsid w:val="45DB6AB2"/>
    <w:rsid w:val="46277943"/>
    <w:rsid w:val="46DD42C4"/>
    <w:rsid w:val="47387358"/>
    <w:rsid w:val="47555600"/>
    <w:rsid w:val="47607B4F"/>
    <w:rsid w:val="479A5CC4"/>
    <w:rsid w:val="47AB017D"/>
    <w:rsid w:val="47CB387D"/>
    <w:rsid w:val="47FF008E"/>
    <w:rsid w:val="480F57AF"/>
    <w:rsid w:val="48352A29"/>
    <w:rsid w:val="48356590"/>
    <w:rsid w:val="49425E5E"/>
    <w:rsid w:val="49521DF7"/>
    <w:rsid w:val="49D8055C"/>
    <w:rsid w:val="49E3340D"/>
    <w:rsid w:val="4A17094B"/>
    <w:rsid w:val="4A4756D4"/>
    <w:rsid w:val="4AA743C5"/>
    <w:rsid w:val="4AC26AD4"/>
    <w:rsid w:val="4BA356C8"/>
    <w:rsid w:val="4C4E488E"/>
    <w:rsid w:val="4CA93D05"/>
    <w:rsid w:val="4D08663A"/>
    <w:rsid w:val="4D1B2345"/>
    <w:rsid w:val="4D4A3E41"/>
    <w:rsid w:val="4D6C0FAE"/>
    <w:rsid w:val="4DF741F2"/>
    <w:rsid w:val="4E1602EE"/>
    <w:rsid w:val="4E3F5A9B"/>
    <w:rsid w:val="4E492466"/>
    <w:rsid w:val="4E7E5DA9"/>
    <w:rsid w:val="4EB54E7D"/>
    <w:rsid w:val="4F267703"/>
    <w:rsid w:val="4FC5497A"/>
    <w:rsid w:val="4FD572DE"/>
    <w:rsid w:val="4FDC4700"/>
    <w:rsid w:val="50504EF2"/>
    <w:rsid w:val="512D535F"/>
    <w:rsid w:val="51535718"/>
    <w:rsid w:val="51A95182"/>
    <w:rsid w:val="51C578C6"/>
    <w:rsid w:val="521C7399"/>
    <w:rsid w:val="52657C81"/>
    <w:rsid w:val="52C06024"/>
    <w:rsid w:val="52EB5641"/>
    <w:rsid w:val="532742F5"/>
    <w:rsid w:val="538E7ED0"/>
    <w:rsid w:val="53CB1DFA"/>
    <w:rsid w:val="53F071BE"/>
    <w:rsid w:val="53F12AF7"/>
    <w:rsid w:val="541F51A7"/>
    <w:rsid w:val="54387E3C"/>
    <w:rsid w:val="544669FD"/>
    <w:rsid w:val="558237FF"/>
    <w:rsid w:val="55AA6B17"/>
    <w:rsid w:val="561D553B"/>
    <w:rsid w:val="56570A4D"/>
    <w:rsid w:val="56BA1E1F"/>
    <w:rsid w:val="56D31113"/>
    <w:rsid w:val="57FC6891"/>
    <w:rsid w:val="57FDDE5F"/>
    <w:rsid w:val="591B14BC"/>
    <w:rsid w:val="59837A09"/>
    <w:rsid w:val="598A113A"/>
    <w:rsid w:val="598A17E7"/>
    <w:rsid w:val="5A1F6A09"/>
    <w:rsid w:val="5A821BCB"/>
    <w:rsid w:val="5AA4447D"/>
    <w:rsid w:val="5AC016F2"/>
    <w:rsid w:val="5ACB2C4B"/>
    <w:rsid w:val="5ACE5F97"/>
    <w:rsid w:val="5B303D44"/>
    <w:rsid w:val="5B547841"/>
    <w:rsid w:val="5BF45FDC"/>
    <w:rsid w:val="5D8D2FA6"/>
    <w:rsid w:val="5D8F5849"/>
    <w:rsid w:val="5DC3215B"/>
    <w:rsid w:val="5DED1C97"/>
    <w:rsid w:val="5F2B49A3"/>
    <w:rsid w:val="5F5E45CE"/>
    <w:rsid w:val="5F781A34"/>
    <w:rsid w:val="5FC829BC"/>
    <w:rsid w:val="5FCF78A6"/>
    <w:rsid w:val="5FDFEFEB"/>
    <w:rsid w:val="5FEF96E4"/>
    <w:rsid w:val="60021F25"/>
    <w:rsid w:val="605B3830"/>
    <w:rsid w:val="607E6DDD"/>
    <w:rsid w:val="60DB4D01"/>
    <w:rsid w:val="611B6454"/>
    <w:rsid w:val="61CD56C8"/>
    <w:rsid w:val="61DC23F5"/>
    <w:rsid w:val="61DE6F3A"/>
    <w:rsid w:val="623C6FF7"/>
    <w:rsid w:val="62680661"/>
    <w:rsid w:val="62E26CCD"/>
    <w:rsid w:val="63155F18"/>
    <w:rsid w:val="63EB13B1"/>
    <w:rsid w:val="6417083B"/>
    <w:rsid w:val="644936A1"/>
    <w:rsid w:val="647E189B"/>
    <w:rsid w:val="648B07C1"/>
    <w:rsid w:val="64F658D5"/>
    <w:rsid w:val="65136092"/>
    <w:rsid w:val="657D5FF6"/>
    <w:rsid w:val="65A078E9"/>
    <w:rsid w:val="65D6386A"/>
    <w:rsid w:val="66E46D60"/>
    <w:rsid w:val="6713433B"/>
    <w:rsid w:val="675F49AA"/>
    <w:rsid w:val="683926A8"/>
    <w:rsid w:val="6870599E"/>
    <w:rsid w:val="687D30A8"/>
    <w:rsid w:val="68BD55B2"/>
    <w:rsid w:val="68BE670A"/>
    <w:rsid w:val="69270753"/>
    <w:rsid w:val="69563814"/>
    <w:rsid w:val="69BB0E40"/>
    <w:rsid w:val="69CF61A5"/>
    <w:rsid w:val="6AFE7291"/>
    <w:rsid w:val="6B08582F"/>
    <w:rsid w:val="6B400EF1"/>
    <w:rsid w:val="6C2076DB"/>
    <w:rsid w:val="6C7605FB"/>
    <w:rsid w:val="6CCE784A"/>
    <w:rsid w:val="6CD04C5E"/>
    <w:rsid w:val="6E3612E5"/>
    <w:rsid w:val="6E5B4D79"/>
    <w:rsid w:val="6EAB5739"/>
    <w:rsid w:val="6ED36C87"/>
    <w:rsid w:val="6EE40E94"/>
    <w:rsid w:val="6EE64C0C"/>
    <w:rsid w:val="6EFC4430"/>
    <w:rsid w:val="6FAC19B2"/>
    <w:rsid w:val="70024204"/>
    <w:rsid w:val="70182BA3"/>
    <w:rsid w:val="70656BF0"/>
    <w:rsid w:val="707D50FC"/>
    <w:rsid w:val="70BB17A8"/>
    <w:rsid w:val="712C336A"/>
    <w:rsid w:val="717F0248"/>
    <w:rsid w:val="71B73E9C"/>
    <w:rsid w:val="71C33D90"/>
    <w:rsid w:val="71E13469"/>
    <w:rsid w:val="723306B2"/>
    <w:rsid w:val="726E6F18"/>
    <w:rsid w:val="73200408"/>
    <w:rsid w:val="735A6E26"/>
    <w:rsid w:val="74081181"/>
    <w:rsid w:val="74CB7586"/>
    <w:rsid w:val="74F02341"/>
    <w:rsid w:val="75370869"/>
    <w:rsid w:val="754A61B3"/>
    <w:rsid w:val="760929C8"/>
    <w:rsid w:val="761213C9"/>
    <w:rsid w:val="76361E88"/>
    <w:rsid w:val="767B7BC6"/>
    <w:rsid w:val="768E0063"/>
    <w:rsid w:val="76C45833"/>
    <w:rsid w:val="778560BB"/>
    <w:rsid w:val="77C518DD"/>
    <w:rsid w:val="77D632CA"/>
    <w:rsid w:val="78361C89"/>
    <w:rsid w:val="785B139A"/>
    <w:rsid w:val="78AB77B5"/>
    <w:rsid w:val="78F7948D"/>
    <w:rsid w:val="79125A56"/>
    <w:rsid w:val="7A1140E4"/>
    <w:rsid w:val="7A8366BF"/>
    <w:rsid w:val="7A99343D"/>
    <w:rsid w:val="7AFB34E0"/>
    <w:rsid w:val="7AFF4E35"/>
    <w:rsid w:val="7B745E37"/>
    <w:rsid w:val="7BB775AE"/>
    <w:rsid w:val="7BD57A28"/>
    <w:rsid w:val="7BFFFF1B"/>
    <w:rsid w:val="7C7A6994"/>
    <w:rsid w:val="7C817D22"/>
    <w:rsid w:val="7C820546"/>
    <w:rsid w:val="7C92398B"/>
    <w:rsid w:val="7CCC49B9"/>
    <w:rsid w:val="7D2C2E8C"/>
    <w:rsid w:val="7D5D078F"/>
    <w:rsid w:val="7D761078"/>
    <w:rsid w:val="7DB15422"/>
    <w:rsid w:val="7DFD297E"/>
    <w:rsid w:val="7E0D6904"/>
    <w:rsid w:val="7E8104AE"/>
    <w:rsid w:val="7EC62364"/>
    <w:rsid w:val="7F205D99"/>
    <w:rsid w:val="7F283C33"/>
    <w:rsid w:val="7F857B2A"/>
    <w:rsid w:val="7FD5285F"/>
    <w:rsid w:val="AEFA1B4C"/>
    <w:rsid w:val="BBE35E21"/>
    <w:rsid w:val="BDF35BF1"/>
    <w:rsid w:val="BE7FCAEA"/>
    <w:rsid w:val="BFFE57F6"/>
    <w:rsid w:val="EFFABEF0"/>
    <w:rsid w:val="F9EEE89A"/>
    <w:rsid w:val="FD383FDF"/>
    <w:rsid w:val="FE9CFF27"/>
    <w:rsid w:val="FFF30B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pPr>
    <w:rPr>
      <w:rFonts w:ascii="宋体" w:hAnsi="Times New Roman" w:eastAsia="宋体" w:cs="Times New Roman"/>
      <w:sz w:val="24"/>
      <w:szCs w:val="22"/>
      <w:lang w:val="en-US" w:eastAsia="zh-CN" w:bidi="ar-SA"/>
    </w:rPr>
  </w:style>
  <w:style w:type="paragraph" w:styleId="3">
    <w:name w:val="heading 1"/>
    <w:basedOn w:val="1"/>
    <w:next w:val="1"/>
    <w:link w:val="73"/>
    <w:qFormat/>
    <w:uiPriority w:val="99"/>
    <w:pPr>
      <w:spacing w:line="360" w:lineRule="auto"/>
      <w:jc w:val="center"/>
      <w:outlineLvl w:val="0"/>
    </w:pPr>
    <w:rPr>
      <w:rFonts w:hAnsi="宋体"/>
      <w:b/>
      <w:bCs/>
      <w:kern w:val="44"/>
      <w:sz w:val="32"/>
      <w:szCs w:val="32"/>
    </w:rPr>
  </w:style>
  <w:style w:type="paragraph" w:styleId="4">
    <w:name w:val="heading 2"/>
    <w:basedOn w:val="1"/>
    <w:next w:val="1"/>
    <w:link w:val="74"/>
    <w:qFormat/>
    <w:uiPriority w:val="0"/>
    <w:pPr>
      <w:keepNext/>
      <w:keepLines/>
      <w:ind w:firstLine="0" w:firstLineChars="0"/>
      <w:outlineLvl w:val="1"/>
    </w:pPr>
    <w:rPr>
      <w:rFonts w:ascii="Arial" w:hAnsi="Arial"/>
      <w:b/>
      <w:bCs/>
      <w:spacing w:val="10"/>
      <w:szCs w:val="32"/>
    </w:rPr>
  </w:style>
  <w:style w:type="paragraph" w:styleId="5">
    <w:name w:val="heading 3"/>
    <w:basedOn w:val="1"/>
    <w:next w:val="1"/>
    <w:link w:val="62"/>
    <w:qFormat/>
    <w:uiPriority w:val="9"/>
    <w:pPr>
      <w:ind w:firstLine="0" w:firstLineChars="0"/>
      <w:outlineLvl w:val="2"/>
    </w:pPr>
    <w:rPr>
      <w:rFonts w:hAnsi="宋体"/>
      <w:b/>
      <w:szCs w:val="24"/>
      <w:lang w:val="zh-CN"/>
    </w:rPr>
  </w:style>
  <w:style w:type="paragraph" w:styleId="6">
    <w:name w:val="heading 4"/>
    <w:basedOn w:val="1"/>
    <w:next w:val="1"/>
    <w:link w:val="66"/>
    <w:qFormat/>
    <w:uiPriority w:val="99"/>
    <w:pPr>
      <w:keepNext/>
      <w:keepLines/>
      <w:adjustRightInd w:val="0"/>
      <w:spacing w:before="280" w:after="290" w:line="376" w:lineRule="auto"/>
      <w:ind w:left="1559" w:hanging="425" w:firstLineChars="0"/>
      <w:textAlignment w:val="baseline"/>
      <w:outlineLvl w:val="3"/>
    </w:pPr>
    <w:rPr>
      <w:rFonts w:ascii="Arial" w:hAnsi="Arial" w:eastAsia="黑体"/>
      <w:b/>
      <w:sz w:val="28"/>
      <w:szCs w:val="20"/>
    </w:rPr>
  </w:style>
  <w:style w:type="paragraph" w:styleId="7">
    <w:name w:val="heading 5"/>
    <w:basedOn w:val="1"/>
    <w:next w:val="1"/>
    <w:link w:val="67"/>
    <w:qFormat/>
    <w:uiPriority w:val="99"/>
    <w:pPr>
      <w:keepNext/>
      <w:keepLines/>
      <w:adjustRightInd w:val="0"/>
      <w:spacing w:before="280" w:after="290" w:line="376" w:lineRule="auto"/>
      <w:ind w:left="1984" w:hanging="425" w:firstLineChars="0"/>
      <w:textAlignment w:val="baseline"/>
      <w:outlineLvl w:val="4"/>
    </w:pPr>
    <w:rPr>
      <w:rFonts w:ascii="Times New Roman"/>
      <w:b/>
      <w:sz w:val="28"/>
      <w:szCs w:val="20"/>
    </w:rPr>
  </w:style>
  <w:style w:type="paragraph" w:styleId="8">
    <w:name w:val="heading 6"/>
    <w:basedOn w:val="1"/>
    <w:next w:val="1"/>
    <w:link w:val="68"/>
    <w:qFormat/>
    <w:uiPriority w:val="99"/>
    <w:pPr>
      <w:keepNext/>
      <w:keepLines/>
      <w:adjustRightInd w:val="0"/>
      <w:spacing w:before="240" w:after="64" w:line="320" w:lineRule="auto"/>
      <w:ind w:left="2409" w:hanging="425" w:firstLineChars="0"/>
      <w:textAlignment w:val="baseline"/>
      <w:outlineLvl w:val="5"/>
    </w:pPr>
    <w:rPr>
      <w:rFonts w:ascii="Arial" w:hAnsi="Arial" w:eastAsia="黑体"/>
      <w:b/>
      <w:szCs w:val="20"/>
    </w:rPr>
  </w:style>
  <w:style w:type="paragraph" w:styleId="9">
    <w:name w:val="heading 7"/>
    <w:basedOn w:val="1"/>
    <w:next w:val="1"/>
    <w:link w:val="69"/>
    <w:qFormat/>
    <w:uiPriority w:val="99"/>
    <w:pPr>
      <w:keepNext/>
      <w:keepLines/>
      <w:adjustRightInd w:val="0"/>
      <w:spacing w:before="240" w:after="64" w:line="320" w:lineRule="auto"/>
      <w:ind w:left="2834" w:hanging="425" w:firstLineChars="0"/>
      <w:textAlignment w:val="baseline"/>
      <w:outlineLvl w:val="6"/>
    </w:pPr>
    <w:rPr>
      <w:rFonts w:ascii="Times New Roman"/>
      <w:b/>
      <w:szCs w:val="20"/>
    </w:rPr>
  </w:style>
  <w:style w:type="paragraph" w:styleId="10">
    <w:name w:val="heading 8"/>
    <w:basedOn w:val="1"/>
    <w:next w:val="1"/>
    <w:link w:val="70"/>
    <w:qFormat/>
    <w:uiPriority w:val="99"/>
    <w:pPr>
      <w:keepNext/>
      <w:keepLines/>
      <w:adjustRightInd w:val="0"/>
      <w:spacing w:before="240" w:after="64" w:line="320" w:lineRule="auto"/>
      <w:ind w:left="3259" w:hanging="425" w:firstLineChars="0"/>
      <w:textAlignment w:val="baseline"/>
      <w:outlineLvl w:val="7"/>
    </w:pPr>
    <w:rPr>
      <w:rFonts w:ascii="Arial" w:hAnsi="Arial" w:eastAsia="黑体"/>
      <w:szCs w:val="20"/>
    </w:rPr>
  </w:style>
  <w:style w:type="paragraph" w:styleId="11">
    <w:name w:val="heading 9"/>
    <w:basedOn w:val="1"/>
    <w:next w:val="1"/>
    <w:link w:val="71"/>
    <w:qFormat/>
    <w:uiPriority w:val="99"/>
    <w:pPr>
      <w:keepNext/>
      <w:keepLines/>
      <w:adjustRightInd w:val="0"/>
      <w:spacing w:before="240" w:after="64" w:line="320" w:lineRule="auto"/>
      <w:ind w:left="3684" w:hanging="425" w:firstLineChars="0"/>
      <w:textAlignment w:val="baseline"/>
      <w:outlineLvl w:val="8"/>
    </w:pPr>
    <w:rPr>
      <w:rFonts w:ascii="Arial" w:hAnsi="Arial" w:eastAsia="黑体"/>
      <w:szCs w:val="20"/>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87"/>
    <w:unhideWhenUsed/>
    <w:qFormat/>
    <w:uiPriority w:val="99"/>
    <w:pPr>
      <w:spacing w:after="120" w:line="240" w:lineRule="auto"/>
      <w:ind w:firstLine="420" w:firstLineChars="100"/>
    </w:pPr>
    <w:rPr>
      <w:sz w:val="21"/>
    </w:rPr>
  </w:style>
  <w:style w:type="paragraph" w:styleId="12">
    <w:name w:val="toc 7"/>
    <w:basedOn w:val="1"/>
    <w:next w:val="1"/>
    <w:qFormat/>
    <w:uiPriority w:val="39"/>
    <w:pPr>
      <w:spacing w:line="240" w:lineRule="auto"/>
      <w:ind w:left="2520" w:leftChars="1200" w:firstLine="0" w:firstLineChars="0"/>
      <w:jc w:val="both"/>
    </w:pPr>
    <w:rPr>
      <w:rFonts w:ascii="Calibri" w:hAnsi="Calibri"/>
      <w:kern w:val="2"/>
      <w:sz w:val="21"/>
    </w:rPr>
  </w:style>
  <w:style w:type="paragraph" w:styleId="13">
    <w:name w:val="table of authorities"/>
    <w:basedOn w:val="1"/>
    <w:next w:val="1"/>
    <w:qFormat/>
    <w:uiPriority w:val="99"/>
    <w:pPr>
      <w:spacing w:line="240" w:lineRule="auto"/>
      <w:ind w:left="420" w:firstLine="0" w:firstLineChars="0"/>
      <w:jc w:val="both"/>
    </w:pPr>
    <w:rPr>
      <w:kern w:val="2"/>
      <w:sz w:val="28"/>
      <w:szCs w:val="20"/>
    </w:rPr>
  </w:style>
  <w:style w:type="paragraph" w:styleId="14">
    <w:name w:val="Normal Indent"/>
    <w:basedOn w:val="1"/>
    <w:qFormat/>
    <w:uiPriority w:val="0"/>
    <w:pPr>
      <w:spacing w:after="120" w:line="360" w:lineRule="auto"/>
      <w:ind w:firstLine="420"/>
    </w:pPr>
    <w:rPr>
      <w:rFonts w:ascii="Times New Roman"/>
      <w:szCs w:val="20"/>
    </w:rPr>
  </w:style>
  <w:style w:type="paragraph" w:styleId="15">
    <w:name w:val="caption"/>
    <w:basedOn w:val="1"/>
    <w:next w:val="1"/>
    <w:qFormat/>
    <w:uiPriority w:val="0"/>
    <w:pPr>
      <w:adjustRightInd w:val="0"/>
      <w:spacing w:before="152" w:after="160" w:line="360" w:lineRule="atLeast"/>
      <w:ind w:right="26" w:firstLine="0" w:firstLineChars="0"/>
      <w:textAlignment w:val="baseline"/>
    </w:pPr>
    <w:rPr>
      <w:rFonts w:ascii="Arial" w:hAnsi="Arial" w:eastAsia="黑体"/>
      <w:sz w:val="21"/>
      <w:szCs w:val="20"/>
    </w:rPr>
  </w:style>
  <w:style w:type="paragraph" w:styleId="16">
    <w:name w:val="Document Map"/>
    <w:basedOn w:val="1"/>
    <w:link w:val="75"/>
    <w:qFormat/>
    <w:uiPriority w:val="99"/>
    <w:pPr>
      <w:shd w:val="clear" w:color="auto" w:fill="000080"/>
      <w:adjustRightInd w:val="0"/>
      <w:spacing w:line="360" w:lineRule="atLeast"/>
      <w:ind w:right="26" w:firstLine="0" w:firstLineChars="0"/>
      <w:textAlignment w:val="baseline"/>
    </w:pPr>
    <w:rPr>
      <w:sz w:val="21"/>
      <w:szCs w:val="20"/>
    </w:rPr>
  </w:style>
  <w:style w:type="paragraph" w:styleId="17">
    <w:name w:val="toa heading"/>
    <w:basedOn w:val="1"/>
    <w:next w:val="1"/>
    <w:qFormat/>
    <w:uiPriority w:val="0"/>
    <w:rPr>
      <w:rFonts w:ascii="Arial" w:hAnsi="Arial"/>
    </w:rPr>
  </w:style>
  <w:style w:type="paragraph" w:styleId="18">
    <w:name w:val="annotation text"/>
    <w:basedOn w:val="1"/>
    <w:link w:val="76"/>
    <w:qFormat/>
    <w:uiPriority w:val="99"/>
  </w:style>
  <w:style w:type="paragraph" w:styleId="19">
    <w:name w:val="Body Text"/>
    <w:basedOn w:val="1"/>
    <w:next w:val="1"/>
    <w:link w:val="72"/>
    <w:qFormat/>
    <w:uiPriority w:val="0"/>
    <w:pPr>
      <w:snapToGrid w:val="0"/>
      <w:spacing w:line="300" w:lineRule="auto"/>
    </w:pPr>
    <w:rPr>
      <w:rFonts w:hAnsi="宋体"/>
      <w:spacing w:val="4"/>
      <w:szCs w:val="20"/>
    </w:rPr>
  </w:style>
  <w:style w:type="paragraph" w:styleId="20">
    <w:name w:val="Body Text Indent"/>
    <w:basedOn w:val="1"/>
    <w:next w:val="21"/>
    <w:link w:val="77"/>
    <w:qFormat/>
    <w:uiPriority w:val="99"/>
    <w:pPr>
      <w:spacing w:line="460" w:lineRule="exact"/>
      <w:ind w:firstLine="570"/>
    </w:pPr>
    <w:rPr>
      <w:rFonts w:ascii="Times New Roman"/>
      <w:b/>
      <w:bCs/>
      <w:sz w:val="28"/>
      <w:szCs w:val="20"/>
    </w:r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99"/>
    <w:pPr>
      <w:spacing w:line="260" w:lineRule="exact"/>
      <w:ind w:left="-105" w:leftChars="-50" w:right="-50" w:rightChars="-50" w:firstLine="0" w:firstLineChars="0"/>
      <w:jc w:val="center"/>
    </w:pPr>
    <w:rPr>
      <w:rFonts w:ascii="Times New Roman"/>
      <w:kern w:val="2"/>
      <w:sz w:val="21"/>
      <w:szCs w:val="20"/>
    </w:rPr>
  </w:style>
  <w:style w:type="paragraph" w:styleId="23">
    <w:name w:val="toc 5"/>
    <w:basedOn w:val="1"/>
    <w:next w:val="1"/>
    <w:qFormat/>
    <w:uiPriority w:val="39"/>
    <w:pPr>
      <w:spacing w:line="240" w:lineRule="auto"/>
      <w:ind w:left="1680" w:leftChars="800" w:firstLine="0" w:firstLineChars="0"/>
      <w:jc w:val="both"/>
    </w:pPr>
    <w:rPr>
      <w:rFonts w:ascii="Calibri" w:hAnsi="Calibri"/>
      <w:kern w:val="2"/>
      <w:sz w:val="21"/>
    </w:rPr>
  </w:style>
  <w:style w:type="paragraph" w:styleId="24">
    <w:name w:val="toc 3"/>
    <w:basedOn w:val="1"/>
    <w:next w:val="1"/>
    <w:qFormat/>
    <w:uiPriority w:val="39"/>
    <w:pPr>
      <w:ind w:left="840" w:leftChars="400"/>
    </w:pPr>
  </w:style>
  <w:style w:type="paragraph" w:styleId="25">
    <w:name w:val="Plain Text"/>
    <w:basedOn w:val="1"/>
    <w:link w:val="78"/>
    <w:qFormat/>
    <w:uiPriority w:val="99"/>
    <w:pPr>
      <w:adjustRightInd w:val="0"/>
      <w:spacing w:line="335" w:lineRule="atLeast"/>
      <w:textAlignment w:val="baseline"/>
    </w:pPr>
    <w:rPr>
      <w:rFonts w:hAnsi="Courier New"/>
      <w:sz w:val="20"/>
      <w:szCs w:val="21"/>
    </w:rPr>
  </w:style>
  <w:style w:type="paragraph" w:styleId="26">
    <w:name w:val="toc 8"/>
    <w:basedOn w:val="1"/>
    <w:next w:val="1"/>
    <w:qFormat/>
    <w:uiPriority w:val="39"/>
    <w:pPr>
      <w:spacing w:line="240" w:lineRule="auto"/>
      <w:ind w:left="2940" w:leftChars="1400" w:firstLine="0" w:firstLineChars="0"/>
      <w:jc w:val="both"/>
    </w:pPr>
    <w:rPr>
      <w:rFonts w:ascii="Calibri" w:hAnsi="Calibri"/>
      <w:kern w:val="2"/>
      <w:sz w:val="21"/>
    </w:rPr>
  </w:style>
  <w:style w:type="paragraph" w:styleId="27">
    <w:name w:val="Date"/>
    <w:basedOn w:val="1"/>
    <w:next w:val="1"/>
    <w:link w:val="79"/>
    <w:qFormat/>
    <w:uiPriority w:val="99"/>
    <w:pPr>
      <w:ind w:left="100" w:leftChars="2500"/>
    </w:pPr>
    <w:rPr>
      <w:rFonts w:ascii="Times New Roman"/>
      <w:sz w:val="28"/>
      <w:szCs w:val="24"/>
    </w:rPr>
  </w:style>
  <w:style w:type="paragraph" w:styleId="28">
    <w:name w:val="Body Text Indent 2"/>
    <w:basedOn w:val="1"/>
    <w:link w:val="80"/>
    <w:qFormat/>
    <w:uiPriority w:val="99"/>
    <w:pPr>
      <w:spacing w:line="300" w:lineRule="exact"/>
      <w:ind w:firstLine="560"/>
      <w:jc w:val="both"/>
    </w:pPr>
    <w:rPr>
      <w:rFonts w:ascii="Times New Roman" w:eastAsia="幼圆"/>
      <w:kern w:val="2"/>
      <w:sz w:val="28"/>
      <w:szCs w:val="20"/>
    </w:rPr>
  </w:style>
  <w:style w:type="paragraph" w:styleId="29">
    <w:name w:val="Balloon Text"/>
    <w:basedOn w:val="1"/>
    <w:link w:val="81"/>
    <w:qFormat/>
    <w:uiPriority w:val="99"/>
    <w:pPr>
      <w:spacing w:line="240" w:lineRule="auto"/>
      <w:ind w:firstLine="0" w:firstLineChars="0"/>
      <w:jc w:val="both"/>
    </w:pPr>
    <w:rPr>
      <w:rFonts w:ascii="Times New Roman"/>
      <w:kern w:val="2"/>
      <w:sz w:val="18"/>
      <w:szCs w:val="18"/>
    </w:rPr>
  </w:style>
  <w:style w:type="paragraph" w:styleId="30">
    <w:name w:val="footer"/>
    <w:basedOn w:val="1"/>
    <w:link w:val="65"/>
    <w:qFormat/>
    <w:uiPriority w:val="99"/>
    <w:pPr>
      <w:tabs>
        <w:tab w:val="center" w:pos="4153"/>
        <w:tab w:val="right" w:pos="8306"/>
      </w:tabs>
      <w:snapToGrid w:val="0"/>
    </w:pPr>
    <w:rPr>
      <w:sz w:val="18"/>
      <w:szCs w:val="18"/>
    </w:rPr>
  </w:style>
  <w:style w:type="paragraph" w:styleId="31">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qFormat/>
    <w:uiPriority w:val="39"/>
    <w:pPr>
      <w:spacing w:line="240" w:lineRule="auto"/>
      <w:ind w:left="1260" w:leftChars="600" w:firstLine="0" w:firstLineChars="0"/>
      <w:jc w:val="both"/>
    </w:pPr>
    <w:rPr>
      <w:rFonts w:ascii="Calibri" w:hAnsi="Calibri"/>
      <w:kern w:val="2"/>
      <w:sz w:val="21"/>
    </w:rPr>
  </w:style>
  <w:style w:type="paragraph" w:styleId="34">
    <w:name w:val="toc 6"/>
    <w:basedOn w:val="1"/>
    <w:next w:val="1"/>
    <w:qFormat/>
    <w:uiPriority w:val="39"/>
    <w:pPr>
      <w:spacing w:line="240" w:lineRule="auto"/>
      <w:ind w:left="2100" w:leftChars="1000" w:firstLine="0" w:firstLineChars="0"/>
      <w:jc w:val="both"/>
    </w:pPr>
    <w:rPr>
      <w:rFonts w:ascii="Calibri" w:hAnsi="Calibri"/>
      <w:kern w:val="2"/>
      <w:sz w:val="21"/>
    </w:rPr>
  </w:style>
  <w:style w:type="paragraph" w:styleId="35">
    <w:name w:val="Body Text Indent 3"/>
    <w:basedOn w:val="1"/>
    <w:link w:val="83"/>
    <w:qFormat/>
    <w:uiPriority w:val="99"/>
    <w:pPr>
      <w:spacing w:line="480" w:lineRule="auto"/>
      <w:ind w:firstLine="480"/>
      <w:jc w:val="both"/>
    </w:pPr>
    <w:rPr>
      <w:rFonts w:ascii="幼圆" w:eastAsia="幼圆"/>
      <w:kern w:val="2"/>
      <w:szCs w:val="20"/>
    </w:rPr>
  </w:style>
  <w:style w:type="paragraph" w:styleId="36">
    <w:name w:val="table of figures"/>
    <w:basedOn w:val="1"/>
    <w:next w:val="1"/>
    <w:qFormat/>
    <w:uiPriority w:val="99"/>
    <w:pPr>
      <w:spacing w:line="240" w:lineRule="auto"/>
      <w:ind w:left="200" w:leftChars="200" w:hanging="200" w:hangingChars="200"/>
      <w:jc w:val="both"/>
    </w:pPr>
    <w:rPr>
      <w:rFonts w:ascii="Times New Roman"/>
      <w:kern w:val="2"/>
      <w:sz w:val="21"/>
      <w:szCs w:val="20"/>
    </w:rPr>
  </w:style>
  <w:style w:type="paragraph" w:styleId="37">
    <w:name w:val="toc 2"/>
    <w:basedOn w:val="1"/>
    <w:next w:val="1"/>
    <w:qFormat/>
    <w:uiPriority w:val="39"/>
    <w:pPr>
      <w:ind w:left="420" w:leftChars="200"/>
    </w:pPr>
  </w:style>
  <w:style w:type="paragraph" w:styleId="38">
    <w:name w:val="toc 9"/>
    <w:basedOn w:val="1"/>
    <w:next w:val="1"/>
    <w:qFormat/>
    <w:uiPriority w:val="39"/>
    <w:pPr>
      <w:spacing w:line="240" w:lineRule="auto"/>
      <w:ind w:left="3360" w:leftChars="1600" w:firstLine="0" w:firstLineChars="0"/>
      <w:jc w:val="both"/>
    </w:pPr>
    <w:rPr>
      <w:rFonts w:ascii="Calibri" w:hAnsi="Calibri"/>
      <w:kern w:val="2"/>
      <w:sz w:val="21"/>
    </w:rPr>
  </w:style>
  <w:style w:type="paragraph" w:styleId="39">
    <w:name w:val="Body Text 2"/>
    <w:basedOn w:val="1"/>
    <w:link w:val="84"/>
    <w:qFormat/>
    <w:uiPriority w:val="99"/>
    <w:pPr>
      <w:spacing w:line="480" w:lineRule="auto"/>
      <w:ind w:firstLine="0" w:firstLineChars="0"/>
      <w:jc w:val="both"/>
    </w:pPr>
    <w:rPr>
      <w:rFonts w:ascii="Times New Roman" w:eastAsia="幼圆"/>
      <w:kern w:val="2"/>
      <w:sz w:val="28"/>
      <w:szCs w:val="20"/>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hAnsi="宋体" w:cs="宋体"/>
      <w:szCs w:val="24"/>
    </w:rPr>
  </w:style>
  <w:style w:type="paragraph" w:styleId="41">
    <w:name w:val="Normal (Web)"/>
    <w:basedOn w:val="1"/>
    <w:qFormat/>
    <w:uiPriority w:val="99"/>
    <w:pPr>
      <w:widowControl/>
      <w:spacing w:before="100" w:beforeAutospacing="1" w:after="100" w:afterAutospacing="1"/>
    </w:pPr>
    <w:rPr>
      <w:rFonts w:hAnsi="宋体"/>
    </w:rPr>
  </w:style>
  <w:style w:type="paragraph" w:styleId="42">
    <w:name w:val="Title"/>
    <w:basedOn w:val="1"/>
    <w:next w:val="1"/>
    <w:link w:val="86"/>
    <w:qFormat/>
    <w:uiPriority w:val="99"/>
    <w:pPr>
      <w:spacing w:before="240" w:after="60"/>
      <w:jc w:val="center"/>
      <w:outlineLvl w:val="0"/>
    </w:pPr>
    <w:rPr>
      <w:rFonts w:ascii="Cambria" w:hAnsi="Cambria"/>
      <w:b/>
      <w:bCs/>
      <w:sz w:val="32"/>
      <w:szCs w:val="32"/>
    </w:rPr>
  </w:style>
  <w:style w:type="paragraph" w:styleId="43">
    <w:name w:val="Body Text First Indent 2"/>
    <w:basedOn w:val="20"/>
    <w:link w:val="88"/>
    <w:qFormat/>
    <w:uiPriority w:val="0"/>
    <w:pPr>
      <w:ind w:firstLine="420"/>
    </w:p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basedOn w:val="46"/>
    <w:unhideWhenUsed/>
    <w:qFormat/>
    <w:uiPriority w:val="99"/>
    <w:rPr>
      <w:rFonts w:hint="eastAsia" w:ascii="宋体" w:hAnsi="宋体" w:eastAsia="宋体" w:cs="宋体"/>
      <w:color w:val="3D3D3D"/>
      <w:u w:val="none"/>
    </w:rPr>
  </w:style>
  <w:style w:type="character" w:styleId="50">
    <w:name w:val="Hyperlink"/>
    <w:qFormat/>
    <w:uiPriority w:val="99"/>
    <w:rPr>
      <w:color w:val="396690"/>
      <w:u w:val="none"/>
    </w:rPr>
  </w:style>
  <w:style w:type="character" w:styleId="51">
    <w:name w:val="annotation reference"/>
    <w:qFormat/>
    <w:uiPriority w:val="99"/>
    <w:rPr>
      <w:rFonts w:cs="Times New Roman"/>
      <w:sz w:val="21"/>
    </w:rPr>
  </w:style>
  <w:style w:type="character" w:customStyle="1" w:styleId="52">
    <w:name w:val="标题 3 Char"/>
    <w:qFormat/>
    <w:uiPriority w:val="9"/>
    <w:rPr>
      <w:rFonts w:ascii="仿宋" w:hAnsi="仿宋" w:eastAsia="仿宋"/>
      <w:b/>
      <w:bCs/>
      <w:sz w:val="28"/>
      <w:szCs w:val="32"/>
    </w:rPr>
  </w:style>
  <w:style w:type="paragraph" w:customStyle="1" w:styleId="53">
    <w:name w:val="FootnoteText"/>
    <w:basedOn w:val="1"/>
    <w:qFormat/>
    <w:uiPriority w:val="0"/>
    <w:pPr>
      <w:snapToGrid w:val="0"/>
      <w:textAlignment w:val="baseline"/>
    </w:pPr>
    <w:rPr>
      <w:kern w:val="2"/>
      <w:sz w:val="18"/>
      <w:szCs w:val="18"/>
    </w:rPr>
  </w:style>
  <w:style w:type="paragraph" w:customStyle="1" w:styleId="54">
    <w:name w:val="样式"/>
    <w:basedOn w:val="1"/>
    <w:qFormat/>
    <w:uiPriority w:val="99"/>
    <w:pPr>
      <w:ind w:firstLine="420"/>
    </w:pPr>
  </w:style>
  <w:style w:type="paragraph" w:customStyle="1" w:styleId="55">
    <w:name w:val="Table Paragraph"/>
    <w:basedOn w:val="1"/>
    <w:qFormat/>
    <w:uiPriority w:val="1"/>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标题 41"/>
    <w:basedOn w:val="1"/>
    <w:qFormat/>
    <w:uiPriority w:val="1"/>
    <w:pPr>
      <w:outlineLvl w:val="4"/>
    </w:pPr>
    <w:rPr>
      <w:rFonts w:hAnsi="宋体"/>
      <w:sz w:val="28"/>
      <w:szCs w:val="28"/>
    </w:rPr>
  </w:style>
  <w:style w:type="paragraph" w:customStyle="1" w:styleId="58">
    <w:name w:val="标题 81"/>
    <w:basedOn w:val="1"/>
    <w:qFormat/>
    <w:uiPriority w:val="1"/>
    <w:pPr>
      <w:autoSpaceDE w:val="0"/>
      <w:autoSpaceDN w:val="0"/>
      <w:adjustRightInd w:val="0"/>
      <w:spacing w:line="240" w:lineRule="auto"/>
      <w:ind w:left="840" w:firstLine="0" w:firstLineChars="0"/>
      <w:outlineLvl w:val="7"/>
    </w:pPr>
    <w:rPr>
      <w:rFonts w:cs="宋体"/>
      <w:b/>
      <w:bCs/>
      <w:szCs w:val="24"/>
    </w:rPr>
  </w:style>
  <w:style w:type="paragraph" w:styleId="59">
    <w:name w:val="List Paragraph"/>
    <w:basedOn w:val="1"/>
    <w:link w:val="124"/>
    <w:qFormat/>
    <w:uiPriority w:val="34"/>
    <w:pPr>
      <w:widowControl/>
      <w:spacing w:line="240" w:lineRule="auto"/>
      <w:ind w:firstLine="420" w:firstLineChars="0"/>
      <w:jc w:val="both"/>
    </w:pPr>
    <w:rPr>
      <w:rFonts w:ascii="Calibri" w:hAnsi="Calibri"/>
      <w:sz w:val="21"/>
      <w:szCs w:val="21"/>
    </w:rPr>
  </w:style>
  <w:style w:type="paragraph" w:customStyle="1" w:styleId="60">
    <w:name w:val="标题 31"/>
    <w:basedOn w:val="1"/>
    <w:qFormat/>
    <w:uiPriority w:val="1"/>
    <w:pPr>
      <w:autoSpaceDE w:val="0"/>
      <w:autoSpaceDN w:val="0"/>
      <w:spacing w:line="240" w:lineRule="auto"/>
      <w:ind w:left="1286" w:firstLine="0" w:firstLineChars="0"/>
      <w:outlineLvl w:val="3"/>
    </w:pPr>
    <w:rPr>
      <w:rFonts w:hAnsi="宋体" w:cs="宋体"/>
      <w:b/>
      <w:bCs/>
      <w:szCs w:val="24"/>
    </w:rPr>
  </w:style>
  <w:style w:type="paragraph" w:customStyle="1" w:styleId="61">
    <w:name w:val="标题 51"/>
    <w:basedOn w:val="1"/>
    <w:qFormat/>
    <w:uiPriority w:val="1"/>
    <w:pPr>
      <w:autoSpaceDE w:val="0"/>
      <w:autoSpaceDN w:val="0"/>
      <w:adjustRightInd w:val="0"/>
      <w:spacing w:line="240" w:lineRule="auto"/>
      <w:ind w:left="1053" w:firstLine="0" w:firstLineChars="0"/>
      <w:outlineLvl w:val="4"/>
    </w:pPr>
    <w:rPr>
      <w:rFonts w:cs="宋体"/>
      <w:b/>
      <w:bCs/>
      <w:sz w:val="21"/>
      <w:szCs w:val="21"/>
    </w:rPr>
  </w:style>
  <w:style w:type="character" w:customStyle="1" w:styleId="62">
    <w:name w:val="标题 3 字符"/>
    <w:link w:val="5"/>
    <w:qFormat/>
    <w:uiPriority w:val="9"/>
    <w:rPr>
      <w:rFonts w:hAnsi="宋体"/>
      <w:b/>
      <w:szCs w:val="24"/>
      <w:lang w:val="zh-CN"/>
    </w:rPr>
  </w:style>
  <w:style w:type="table" w:customStyle="1" w:styleId="63">
    <w:name w:val="Table Normal"/>
    <w:semiHidden/>
    <w:unhideWhenUsed/>
    <w:qFormat/>
    <w:uiPriority w:val="2"/>
    <w:tblPr>
      <w:tblCellMar>
        <w:top w:w="0" w:type="dxa"/>
        <w:left w:w="0" w:type="dxa"/>
        <w:bottom w:w="0" w:type="dxa"/>
        <w:right w:w="0" w:type="dxa"/>
      </w:tblCellMar>
    </w:tblPr>
  </w:style>
  <w:style w:type="paragraph" w:customStyle="1" w:styleId="64">
    <w:name w:val="标题 32"/>
    <w:basedOn w:val="1"/>
    <w:qFormat/>
    <w:uiPriority w:val="1"/>
    <w:pPr>
      <w:autoSpaceDE w:val="0"/>
      <w:autoSpaceDN w:val="0"/>
      <w:spacing w:line="240" w:lineRule="auto"/>
      <w:ind w:left="1286" w:firstLine="0" w:firstLineChars="0"/>
      <w:outlineLvl w:val="3"/>
    </w:pPr>
    <w:rPr>
      <w:rFonts w:hAnsi="宋体" w:cs="宋体"/>
      <w:b/>
      <w:bCs/>
      <w:szCs w:val="24"/>
    </w:rPr>
  </w:style>
  <w:style w:type="character" w:customStyle="1" w:styleId="65">
    <w:name w:val="页脚 字符"/>
    <w:basedOn w:val="46"/>
    <w:link w:val="30"/>
    <w:qFormat/>
    <w:uiPriority w:val="99"/>
    <w:rPr>
      <w:rFonts w:ascii="宋体"/>
      <w:sz w:val="18"/>
      <w:szCs w:val="18"/>
    </w:rPr>
  </w:style>
  <w:style w:type="character" w:customStyle="1" w:styleId="66">
    <w:name w:val="标题 4 字符"/>
    <w:basedOn w:val="46"/>
    <w:link w:val="6"/>
    <w:qFormat/>
    <w:uiPriority w:val="99"/>
    <w:rPr>
      <w:rFonts w:ascii="Arial" w:hAnsi="Arial" w:eastAsia="黑体"/>
      <w:b/>
      <w:sz w:val="28"/>
    </w:rPr>
  </w:style>
  <w:style w:type="character" w:customStyle="1" w:styleId="67">
    <w:name w:val="标题 5 字符"/>
    <w:basedOn w:val="46"/>
    <w:link w:val="7"/>
    <w:qFormat/>
    <w:uiPriority w:val="99"/>
    <w:rPr>
      <w:b/>
      <w:sz w:val="28"/>
    </w:rPr>
  </w:style>
  <w:style w:type="character" w:customStyle="1" w:styleId="68">
    <w:name w:val="标题 6 字符"/>
    <w:basedOn w:val="46"/>
    <w:link w:val="8"/>
    <w:qFormat/>
    <w:uiPriority w:val="99"/>
    <w:rPr>
      <w:rFonts w:ascii="Arial" w:hAnsi="Arial" w:eastAsia="黑体"/>
      <w:b/>
      <w:sz w:val="24"/>
    </w:rPr>
  </w:style>
  <w:style w:type="character" w:customStyle="1" w:styleId="69">
    <w:name w:val="标题 7 字符"/>
    <w:basedOn w:val="46"/>
    <w:link w:val="9"/>
    <w:qFormat/>
    <w:uiPriority w:val="99"/>
    <w:rPr>
      <w:b/>
      <w:sz w:val="24"/>
    </w:rPr>
  </w:style>
  <w:style w:type="character" w:customStyle="1" w:styleId="70">
    <w:name w:val="标题 8 字符"/>
    <w:basedOn w:val="46"/>
    <w:link w:val="10"/>
    <w:qFormat/>
    <w:uiPriority w:val="99"/>
    <w:rPr>
      <w:rFonts w:ascii="Arial" w:hAnsi="Arial" w:eastAsia="黑体"/>
      <w:sz w:val="24"/>
    </w:rPr>
  </w:style>
  <w:style w:type="character" w:customStyle="1" w:styleId="71">
    <w:name w:val="标题 9 字符"/>
    <w:basedOn w:val="46"/>
    <w:link w:val="11"/>
    <w:qFormat/>
    <w:uiPriority w:val="99"/>
    <w:rPr>
      <w:rFonts w:ascii="Arial" w:hAnsi="Arial" w:eastAsia="黑体"/>
      <w:sz w:val="24"/>
    </w:rPr>
  </w:style>
  <w:style w:type="character" w:customStyle="1" w:styleId="72">
    <w:name w:val="正文文本 字符"/>
    <w:basedOn w:val="46"/>
    <w:link w:val="19"/>
    <w:qFormat/>
    <w:uiPriority w:val="99"/>
    <w:rPr>
      <w:rFonts w:ascii="宋体" w:hAnsi="宋体"/>
      <w:spacing w:val="4"/>
      <w:sz w:val="24"/>
    </w:rPr>
  </w:style>
  <w:style w:type="character" w:customStyle="1" w:styleId="73">
    <w:name w:val="标题 1 字符"/>
    <w:basedOn w:val="46"/>
    <w:link w:val="3"/>
    <w:qFormat/>
    <w:uiPriority w:val="99"/>
    <w:rPr>
      <w:rFonts w:ascii="宋体" w:hAnsi="宋体"/>
      <w:b/>
      <w:bCs/>
      <w:kern w:val="44"/>
      <w:sz w:val="32"/>
      <w:szCs w:val="32"/>
    </w:rPr>
  </w:style>
  <w:style w:type="character" w:customStyle="1" w:styleId="74">
    <w:name w:val="标题 2 字符"/>
    <w:basedOn w:val="46"/>
    <w:link w:val="4"/>
    <w:qFormat/>
    <w:uiPriority w:val="99"/>
    <w:rPr>
      <w:rFonts w:ascii="Arial" w:hAnsi="Arial"/>
      <w:b/>
      <w:bCs/>
      <w:spacing w:val="10"/>
      <w:sz w:val="24"/>
      <w:szCs w:val="32"/>
    </w:rPr>
  </w:style>
  <w:style w:type="character" w:customStyle="1" w:styleId="75">
    <w:name w:val="文档结构图 字符"/>
    <w:basedOn w:val="46"/>
    <w:link w:val="16"/>
    <w:qFormat/>
    <w:uiPriority w:val="99"/>
    <w:rPr>
      <w:rFonts w:ascii="宋体"/>
      <w:sz w:val="21"/>
      <w:shd w:val="clear" w:color="auto" w:fill="000080"/>
    </w:rPr>
  </w:style>
  <w:style w:type="character" w:customStyle="1" w:styleId="76">
    <w:name w:val="批注文字 字符"/>
    <w:basedOn w:val="46"/>
    <w:link w:val="18"/>
    <w:qFormat/>
    <w:uiPriority w:val="99"/>
    <w:rPr>
      <w:rFonts w:ascii="宋体"/>
      <w:sz w:val="24"/>
      <w:szCs w:val="22"/>
    </w:rPr>
  </w:style>
  <w:style w:type="character" w:customStyle="1" w:styleId="77">
    <w:name w:val="正文文本缩进 字符"/>
    <w:basedOn w:val="46"/>
    <w:link w:val="20"/>
    <w:qFormat/>
    <w:uiPriority w:val="99"/>
    <w:rPr>
      <w:b/>
      <w:bCs/>
      <w:sz w:val="28"/>
    </w:rPr>
  </w:style>
  <w:style w:type="character" w:customStyle="1" w:styleId="78">
    <w:name w:val="纯文本 字符"/>
    <w:basedOn w:val="46"/>
    <w:link w:val="25"/>
    <w:qFormat/>
    <w:uiPriority w:val="99"/>
    <w:rPr>
      <w:rFonts w:ascii="宋体" w:hAnsi="Courier New"/>
      <w:szCs w:val="21"/>
    </w:rPr>
  </w:style>
  <w:style w:type="character" w:customStyle="1" w:styleId="79">
    <w:name w:val="日期 字符"/>
    <w:basedOn w:val="46"/>
    <w:link w:val="27"/>
    <w:qFormat/>
    <w:uiPriority w:val="99"/>
    <w:rPr>
      <w:sz w:val="28"/>
      <w:szCs w:val="24"/>
    </w:rPr>
  </w:style>
  <w:style w:type="character" w:customStyle="1" w:styleId="80">
    <w:name w:val="正文文本缩进 2 字符"/>
    <w:basedOn w:val="46"/>
    <w:link w:val="28"/>
    <w:qFormat/>
    <w:uiPriority w:val="99"/>
    <w:rPr>
      <w:rFonts w:eastAsia="幼圆"/>
      <w:kern w:val="2"/>
      <w:sz w:val="28"/>
    </w:rPr>
  </w:style>
  <w:style w:type="character" w:customStyle="1" w:styleId="81">
    <w:name w:val="批注框文本 字符"/>
    <w:basedOn w:val="46"/>
    <w:link w:val="29"/>
    <w:qFormat/>
    <w:uiPriority w:val="99"/>
    <w:rPr>
      <w:kern w:val="2"/>
      <w:sz w:val="18"/>
      <w:szCs w:val="18"/>
    </w:rPr>
  </w:style>
  <w:style w:type="character" w:customStyle="1" w:styleId="82">
    <w:name w:val="页眉 字符"/>
    <w:basedOn w:val="46"/>
    <w:link w:val="31"/>
    <w:qFormat/>
    <w:uiPriority w:val="99"/>
    <w:rPr>
      <w:rFonts w:ascii="宋体"/>
      <w:sz w:val="18"/>
      <w:szCs w:val="18"/>
    </w:rPr>
  </w:style>
  <w:style w:type="character" w:customStyle="1" w:styleId="83">
    <w:name w:val="正文文本缩进 3 字符"/>
    <w:basedOn w:val="46"/>
    <w:link w:val="35"/>
    <w:qFormat/>
    <w:uiPriority w:val="99"/>
    <w:rPr>
      <w:rFonts w:ascii="幼圆" w:eastAsia="幼圆"/>
      <w:kern w:val="2"/>
      <w:sz w:val="24"/>
    </w:rPr>
  </w:style>
  <w:style w:type="character" w:customStyle="1" w:styleId="84">
    <w:name w:val="正文文本 2 字符"/>
    <w:basedOn w:val="46"/>
    <w:link w:val="39"/>
    <w:qFormat/>
    <w:uiPriority w:val="99"/>
    <w:rPr>
      <w:rFonts w:eastAsia="幼圆"/>
      <w:kern w:val="2"/>
      <w:sz w:val="28"/>
    </w:rPr>
  </w:style>
  <w:style w:type="character" w:customStyle="1" w:styleId="85">
    <w:name w:val="HTML 预设格式 字符"/>
    <w:basedOn w:val="46"/>
    <w:link w:val="40"/>
    <w:qFormat/>
    <w:uiPriority w:val="0"/>
    <w:rPr>
      <w:rFonts w:ascii="宋体" w:hAnsi="宋体" w:cs="宋体"/>
      <w:sz w:val="24"/>
      <w:szCs w:val="24"/>
    </w:rPr>
  </w:style>
  <w:style w:type="character" w:customStyle="1" w:styleId="86">
    <w:name w:val="标题 字符"/>
    <w:basedOn w:val="46"/>
    <w:link w:val="42"/>
    <w:qFormat/>
    <w:uiPriority w:val="99"/>
    <w:rPr>
      <w:rFonts w:ascii="Cambria" w:hAnsi="Cambria"/>
      <w:b/>
      <w:bCs/>
      <w:sz w:val="32"/>
      <w:szCs w:val="32"/>
    </w:rPr>
  </w:style>
  <w:style w:type="character" w:customStyle="1" w:styleId="87">
    <w:name w:val="正文首行缩进 字符"/>
    <w:basedOn w:val="72"/>
    <w:link w:val="2"/>
    <w:qFormat/>
    <w:uiPriority w:val="0"/>
    <w:rPr>
      <w:rFonts w:ascii="宋体" w:hAnsi="宋体"/>
      <w:spacing w:val="4"/>
      <w:sz w:val="21"/>
      <w:szCs w:val="22"/>
    </w:rPr>
  </w:style>
  <w:style w:type="character" w:customStyle="1" w:styleId="88">
    <w:name w:val="正文首行缩进 2 字符"/>
    <w:basedOn w:val="77"/>
    <w:link w:val="43"/>
    <w:qFormat/>
    <w:uiPriority w:val="0"/>
    <w:rPr>
      <w:sz w:val="28"/>
    </w:rPr>
  </w:style>
  <w:style w:type="paragraph" w:customStyle="1" w:styleId="89">
    <w:name w:val="表格文字"/>
    <w:basedOn w:val="1"/>
    <w:next w:val="19"/>
    <w:qFormat/>
    <w:uiPriority w:val="0"/>
    <w:pPr>
      <w:adjustRightInd w:val="0"/>
      <w:snapToGrid w:val="0"/>
      <w:spacing w:line="240" w:lineRule="auto"/>
      <w:ind w:firstLine="0" w:firstLineChars="0"/>
      <w:jc w:val="both"/>
    </w:pPr>
    <w:rPr>
      <w:rFonts w:ascii="Arial" w:hAnsi="Arial"/>
      <w:kern w:val="21"/>
      <w:sz w:val="21"/>
      <w:szCs w:val="18"/>
    </w:rPr>
  </w:style>
  <w:style w:type="character" w:customStyle="1" w:styleId="90">
    <w:name w:val="标题 2 Char1"/>
    <w:qFormat/>
    <w:locked/>
    <w:uiPriority w:val="99"/>
    <w:rPr>
      <w:rFonts w:ascii="Arial" w:hAnsi="Arial" w:eastAsia="宋体" w:cs="Times New Roman"/>
      <w:b/>
      <w:color w:val="000000"/>
      <w:kern w:val="2"/>
      <w:sz w:val="32"/>
    </w:rPr>
  </w:style>
  <w:style w:type="paragraph" w:customStyle="1" w:styleId="91">
    <w:name w:val="Char1 Char Char Char Char Char"/>
    <w:basedOn w:val="1"/>
    <w:qFormat/>
    <w:uiPriority w:val="0"/>
    <w:pPr>
      <w:spacing w:line="240" w:lineRule="auto"/>
      <w:ind w:firstLine="0" w:firstLineChars="0"/>
      <w:jc w:val="both"/>
    </w:pPr>
    <w:rPr>
      <w:rFonts w:ascii="Times New Roman"/>
      <w:kern w:val="2"/>
      <w:sz w:val="21"/>
      <w:szCs w:val="20"/>
    </w:rPr>
  </w:style>
  <w:style w:type="character" w:customStyle="1" w:styleId="92">
    <w:name w:val="Char Char"/>
    <w:qFormat/>
    <w:uiPriority w:val="99"/>
    <w:rPr>
      <w:rFonts w:ascii="宋体" w:hAnsi="Courier New" w:eastAsia="宋体" w:cs="Times New Roman"/>
      <w:kern w:val="2"/>
      <w:sz w:val="21"/>
      <w:lang w:val="en-US" w:eastAsia="zh-CN"/>
    </w:rPr>
  </w:style>
  <w:style w:type="paragraph" w:customStyle="1" w:styleId="93">
    <w:name w:val="font6"/>
    <w:basedOn w:val="1"/>
    <w:qFormat/>
    <w:uiPriority w:val="99"/>
    <w:pPr>
      <w:widowControl/>
      <w:spacing w:before="100" w:beforeAutospacing="1" w:after="100" w:afterAutospacing="1" w:line="240" w:lineRule="auto"/>
      <w:ind w:firstLine="0" w:firstLineChars="0"/>
    </w:pPr>
    <w:rPr>
      <w:rFonts w:hAnsi="宋体"/>
      <w:b/>
      <w:sz w:val="28"/>
      <w:szCs w:val="20"/>
    </w:rPr>
  </w:style>
  <w:style w:type="character" w:customStyle="1" w:styleId="94">
    <w:name w:val="Plain Text Char1"/>
    <w:semiHidden/>
    <w:qFormat/>
    <w:locked/>
    <w:uiPriority w:val="99"/>
    <w:rPr>
      <w:rFonts w:ascii="宋体" w:hAnsi="Courier New" w:cs="Courier New"/>
      <w:sz w:val="21"/>
      <w:szCs w:val="21"/>
    </w:rPr>
  </w:style>
  <w:style w:type="paragraph" w:customStyle="1" w:styleId="95">
    <w:name w:val="Char Char Char Char Char Char Char"/>
    <w:basedOn w:val="1"/>
    <w:qFormat/>
    <w:uiPriority w:val="99"/>
    <w:pPr>
      <w:spacing w:line="240" w:lineRule="auto"/>
      <w:ind w:firstLine="0" w:firstLineChars="0"/>
      <w:jc w:val="both"/>
    </w:pPr>
    <w:rPr>
      <w:rFonts w:ascii="Times New Roman"/>
      <w:spacing w:val="-2"/>
      <w:szCs w:val="24"/>
    </w:rPr>
  </w:style>
  <w:style w:type="character" w:customStyle="1" w:styleId="96">
    <w:name w:val="标题 2 Char"/>
    <w:qFormat/>
    <w:uiPriority w:val="99"/>
    <w:rPr>
      <w:rFonts w:ascii="Arial" w:hAnsi="Arial" w:eastAsia="黑体" w:cs="Times New Roman"/>
      <w:b/>
      <w:bCs/>
      <w:kern w:val="2"/>
      <w:sz w:val="32"/>
      <w:szCs w:val="32"/>
      <w:lang w:val="en-US" w:eastAsia="zh-CN" w:bidi="ar-SA"/>
    </w:rPr>
  </w:style>
  <w:style w:type="character" w:customStyle="1" w:styleId="97">
    <w:name w:val="javascript"/>
    <w:qFormat/>
    <w:uiPriority w:val="99"/>
    <w:rPr>
      <w:rFonts w:cs="Times New Roman"/>
    </w:rPr>
  </w:style>
  <w:style w:type="paragraph" w:customStyle="1" w:styleId="9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ind w:firstLine="0" w:firstLineChars="0"/>
    </w:pPr>
    <w:rPr>
      <w:rFonts w:ascii="Verdana" w:hAnsi="Verdana" w:eastAsia="仿宋_GB2312" w:cs="Verdana"/>
      <w:szCs w:val="24"/>
      <w:lang w:eastAsia="en-US"/>
    </w:rPr>
  </w:style>
  <w:style w:type="character" w:customStyle="1" w:styleId="99">
    <w:name w:val="Char Char Char"/>
    <w:qFormat/>
    <w:uiPriority w:val="99"/>
    <w:rPr>
      <w:rFonts w:ascii="Courier New" w:hAnsi="Courier New" w:eastAsia="宋体" w:cs="Times New Roman"/>
      <w:kern w:val="2"/>
      <w:sz w:val="28"/>
      <w:lang w:val="en-US" w:eastAsia="zh-CN"/>
    </w:rPr>
  </w:style>
  <w:style w:type="character" w:customStyle="1" w:styleId="100">
    <w:name w:val="Char Char Char1"/>
    <w:qFormat/>
    <w:uiPriority w:val="99"/>
    <w:rPr>
      <w:rFonts w:ascii="Courier New" w:hAnsi="Courier New" w:eastAsia="宋体" w:cs="Times New Roman"/>
      <w:kern w:val="2"/>
      <w:sz w:val="28"/>
      <w:lang w:val="en-US" w:eastAsia="zh-CN"/>
    </w:rPr>
  </w:style>
  <w:style w:type="paragraph" w:customStyle="1" w:styleId="101">
    <w:name w:val="正文文本缩进1"/>
    <w:basedOn w:val="1"/>
    <w:qFormat/>
    <w:uiPriority w:val="99"/>
    <w:pPr>
      <w:spacing w:line="240" w:lineRule="auto"/>
      <w:ind w:left="360" w:firstLine="0" w:firstLineChars="0"/>
      <w:jc w:val="both"/>
    </w:pPr>
    <w:rPr>
      <w:rFonts w:ascii="黑体" w:hAnsi="宋体" w:eastAsia="黑体"/>
      <w:kern w:val="2"/>
      <w:sz w:val="28"/>
      <w:szCs w:val="24"/>
    </w:rPr>
  </w:style>
  <w:style w:type="character" w:customStyle="1" w:styleId="102">
    <w:name w:val="标题 1 Char1"/>
    <w:qFormat/>
    <w:uiPriority w:val="99"/>
    <w:rPr>
      <w:rFonts w:ascii="Times New Roman" w:hAnsi="Times New Roman" w:eastAsia="宋体"/>
      <w:color w:val="000000"/>
      <w:sz w:val="28"/>
    </w:rPr>
  </w:style>
  <w:style w:type="paragraph" w:customStyle="1" w:styleId="103">
    <w:name w:val="TOC Heading1"/>
    <w:basedOn w:val="3"/>
    <w:next w:val="1"/>
    <w:qFormat/>
    <w:uiPriority w:val="99"/>
    <w:pPr>
      <w:keepNext/>
      <w:keepLines/>
      <w:widowControl/>
      <w:spacing w:before="240" w:line="259" w:lineRule="auto"/>
      <w:ind w:firstLine="0" w:firstLineChars="0"/>
      <w:jc w:val="left"/>
      <w:outlineLvl w:val="9"/>
    </w:pPr>
    <w:rPr>
      <w:rFonts w:ascii="Cambria" w:hAnsi="Cambria"/>
      <w:b w:val="0"/>
      <w:bCs w:val="0"/>
      <w:color w:val="365F91"/>
      <w:kern w:val="0"/>
    </w:rPr>
  </w:style>
  <w:style w:type="paragraph" w:customStyle="1" w:styleId="104">
    <w:name w:val="Char1 Char Char Char Char Char1"/>
    <w:basedOn w:val="1"/>
    <w:qFormat/>
    <w:uiPriority w:val="99"/>
    <w:pPr>
      <w:widowControl/>
      <w:spacing w:line="360" w:lineRule="auto"/>
      <w:ind w:firstLine="0" w:firstLineChars="0"/>
      <w:jc w:val="both"/>
      <w:textAlignment w:val="baseline"/>
    </w:pPr>
    <w:rPr>
      <w:rFonts w:ascii="Times New Roman"/>
      <w:color w:val="000000"/>
      <w:szCs w:val="20"/>
      <w:u w:color="000000"/>
    </w:rPr>
  </w:style>
  <w:style w:type="paragraph" w:customStyle="1" w:styleId="105">
    <w:name w:val="font5"/>
    <w:basedOn w:val="1"/>
    <w:qFormat/>
    <w:uiPriority w:val="99"/>
    <w:pPr>
      <w:widowControl/>
      <w:spacing w:before="100" w:beforeAutospacing="1" w:after="100" w:afterAutospacing="1" w:line="240" w:lineRule="auto"/>
      <w:ind w:firstLine="0" w:firstLineChars="0"/>
    </w:pPr>
    <w:rPr>
      <w:rFonts w:ascii="Times New Roman"/>
      <w:color w:val="000000"/>
      <w:sz w:val="28"/>
      <w:szCs w:val="28"/>
    </w:rPr>
  </w:style>
  <w:style w:type="paragraph" w:customStyle="1" w:styleId="106">
    <w:name w:val="样式 正文 +"/>
    <w:basedOn w:val="1"/>
    <w:qFormat/>
    <w:uiPriority w:val="99"/>
    <w:pPr>
      <w:widowControl/>
      <w:spacing w:line="360" w:lineRule="auto"/>
      <w:ind w:firstLine="454" w:firstLineChars="0"/>
      <w:jc w:val="both"/>
      <w:textAlignment w:val="baseline"/>
    </w:pPr>
    <w:rPr>
      <w:rFonts w:ascii="Times New Roman"/>
      <w:color w:val="000000"/>
      <w:szCs w:val="20"/>
      <w:u w:color="000000"/>
    </w:rPr>
  </w:style>
  <w:style w:type="paragraph" w:customStyle="1" w:styleId="107">
    <w:name w:val="正文001"/>
    <w:basedOn w:val="1"/>
    <w:qFormat/>
    <w:uiPriority w:val="99"/>
    <w:pPr>
      <w:widowControl/>
      <w:spacing w:line="360" w:lineRule="auto"/>
      <w:ind w:firstLine="0" w:firstLineChars="0"/>
      <w:jc w:val="both"/>
      <w:textAlignment w:val="baseline"/>
    </w:pPr>
    <w:rPr>
      <w:rFonts w:ascii="Times New Roman"/>
      <w:color w:val="000000"/>
      <w:szCs w:val="20"/>
      <w:u w:color="000000"/>
    </w:rPr>
  </w:style>
  <w:style w:type="paragraph" w:customStyle="1" w:styleId="108">
    <w:name w:val="文章附标题"/>
    <w:basedOn w:val="1"/>
    <w:qFormat/>
    <w:uiPriority w:val="99"/>
    <w:pPr>
      <w:widowControl/>
      <w:spacing w:before="187" w:after="175" w:line="374" w:lineRule="atLeast"/>
      <w:ind w:firstLine="0" w:firstLineChars="0"/>
      <w:jc w:val="center"/>
      <w:textAlignment w:val="baseline"/>
    </w:pPr>
    <w:rPr>
      <w:rFonts w:ascii="Times New Roman"/>
      <w:color w:val="000000"/>
      <w:sz w:val="36"/>
      <w:szCs w:val="20"/>
      <w:u w:color="000000"/>
    </w:rPr>
  </w:style>
  <w:style w:type="paragraph" w:customStyle="1" w:styleId="109">
    <w:name w:val="小节标题"/>
    <w:basedOn w:val="1"/>
    <w:qFormat/>
    <w:uiPriority w:val="99"/>
    <w:pPr>
      <w:widowControl/>
      <w:spacing w:before="175" w:after="102" w:line="351" w:lineRule="atLeast"/>
      <w:ind w:firstLine="0" w:firstLineChars="0"/>
      <w:jc w:val="both"/>
      <w:textAlignment w:val="baseline"/>
    </w:pPr>
    <w:rPr>
      <w:rFonts w:ascii="Times New Roman" w:eastAsia="黑体"/>
      <w:color w:val="000000"/>
      <w:sz w:val="21"/>
      <w:szCs w:val="20"/>
      <w:u w:color="000000"/>
    </w:rPr>
  </w:style>
  <w:style w:type="paragraph" w:customStyle="1" w:styleId="110">
    <w:name w:val="Char Char Char Char"/>
    <w:basedOn w:val="1"/>
    <w:qFormat/>
    <w:uiPriority w:val="99"/>
    <w:pPr>
      <w:spacing w:line="240" w:lineRule="auto"/>
      <w:ind w:firstLine="0" w:firstLineChars="0"/>
      <w:jc w:val="both"/>
    </w:pPr>
    <w:rPr>
      <w:rFonts w:ascii="Times New Roman"/>
      <w:szCs w:val="20"/>
    </w:rPr>
  </w:style>
  <w:style w:type="paragraph" w:customStyle="1" w:styleId="111">
    <w:name w:val="Char Char Char Char1"/>
    <w:basedOn w:val="1"/>
    <w:qFormat/>
    <w:uiPriority w:val="0"/>
    <w:pPr>
      <w:spacing w:line="240" w:lineRule="auto"/>
      <w:ind w:firstLine="0" w:firstLineChars="0"/>
      <w:jc w:val="both"/>
    </w:pPr>
    <w:rPr>
      <w:rFonts w:ascii="Times New Roman"/>
      <w:szCs w:val="21"/>
    </w:rPr>
  </w:style>
  <w:style w:type="paragraph" w:customStyle="1" w:styleId="112">
    <w:name w:val="正文文本缩进 2 New"/>
    <w:basedOn w:val="1"/>
    <w:qFormat/>
    <w:uiPriority w:val="0"/>
    <w:pPr>
      <w:spacing w:line="240" w:lineRule="auto"/>
      <w:ind w:firstLine="540" w:firstLineChars="0"/>
      <w:jc w:val="both"/>
    </w:pPr>
    <w:rPr>
      <w:rFonts w:hAnsi="宋体"/>
      <w:kern w:val="2"/>
      <w:sz w:val="28"/>
      <w:szCs w:val="21"/>
    </w:rPr>
  </w:style>
  <w:style w:type="paragraph" w:customStyle="1" w:styleId="113">
    <w:name w:val="Char"/>
    <w:basedOn w:val="16"/>
    <w:qFormat/>
    <w:uiPriority w:val="0"/>
    <w:pPr>
      <w:widowControl/>
      <w:adjustRightInd/>
      <w:spacing w:line="360" w:lineRule="auto"/>
      <w:ind w:right="0" w:firstLine="200" w:firstLineChars="200"/>
      <w:textAlignment w:val="auto"/>
    </w:pPr>
    <w:rPr>
      <w:rFonts w:ascii="Times New Roman"/>
      <w:kern w:val="2"/>
      <w:szCs w:val="24"/>
    </w:rPr>
  </w:style>
  <w:style w:type="paragraph" w:customStyle="1" w:styleId="114">
    <w:name w:val="TOC 标题1"/>
    <w:basedOn w:val="3"/>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rPr>
  </w:style>
  <w:style w:type="table" w:customStyle="1" w:styleId="115">
    <w:name w:val="表头及底线粗，内线细，无两侧边框"/>
    <w:basedOn w:val="44"/>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bottom w:val="single" w:color="auto" w:sz="14" w:space="0"/>
        </w:tcBorders>
      </w:tcPr>
    </w:tblStylePr>
  </w:style>
  <w:style w:type="paragraph" w:customStyle="1" w:styleId="116">
    <w:name w:val="0"/>
    <w:basedOn w:val="1"/>
    <w:qFormat/>
    <w:uiPriority w:val="0"/>
    <w:pPr>
      <w:widowControl/>
      <w:snapToGrid w:val="0"/>
      <w:spacing w:line="240" w:lineRule="auto"/>
      <w:ind w:firstLine="0" w:firstLineChars="0"/>
      <w:jc w:val="both"/>
    </w:pPr>
    <w:rPr>
      <w:rFonts w:ascii="Times New Roman"/>
      <w:sz w:val="20"/>
      <w:szCs w:val="20"/>
    </w:rPr>
  </w:style>
  <w:style w:type="paragraph" w:styleId="117">
    <w:name w:val="No Spacing"/>
    <w:qFormat/>
    <w:uiPriority w:val="1"/>
    <w:pPr>
      <w:widowControl w:val="0"/>
      <w:jc w:val="center"/>
    </w:pPr>
    <w:rPr>
      <w:rFonts w:ascii="Times New Roman" w:hAnsi="Times New Roman" w:eastAsia="宋体" w:cs="Times New Roman"/>
      <w:kern w:val="2"/>
      <w:sz w:val="21"/>
      <w:lang w:val="en-US" w:eastAsia="zh-CN" w:bidi="ar-SA"/>
    </w:rPr>
  </w:style>
  <w:style w:type="paragraph" w:customStyle="1" w:styleId="118">
    <w:name w:val="99-标书-正文"/>
    <w:qFormat/>
    <w:uiPriority w:val="0"/>
    <w:pPr>
      <w:spacing w:line="360" w:lineRule="auto"/>
      <w:ind w:firstLine="480" w:firstLineChars="200"/>
      <w:jc w:val="both"/>
    </w:pPr>
    <w:rPr>
      <w:rFonts w:ascii="宋体" w:hAnsi="宋体" w:eastAsiaTheme="minorEastAsia" w:cstheme="minorBidi"/>
      <w:color w:val="000000"/>
      <w:kern w:val="2"/>
      <w:sz w:val="24"/>
      <w:szCs w:val="21"/>
      <w:lang w:val="en-US" w:eastAsia="zh-CN" w:bidi="ar-SA"/>
    </w:rPr>
  </w:style>
  <w:style w:type="character" w:customStyle="1" w:styleId="119">
    <w:name w:val="font21"/>
    <w:basedOn w:val="46"/>
    <w:qFormat/>
    <w:uiPriority w:val="0"/>
    <w:rPr>
      <w:rFonts w:hint="default" w:ascii="仿宋_GB2312" w:eastAsia="仿宋_GB2312" w:cs="仿宋_GB2312"/>
      <w:b/>
      <w:bCs/>
      <w:color w:val="000000"/>
      <w:sz w:val="21"/>
      <w:szCs w:val="21"/>
      <w:u w:val="none"/>
    </w:rPr>
  </w:style>
  <w:style w:type="character" w:customStyle="1" w:styleId="120">
    <w:name w:val="font161"/>
    <w:basedOn w:val="46"/>
    <w:qFormat/>
    <w:uiPriority w:val="0"/>
    <w:rPr>
      <w:rFonts w:hint="eastAsia" w:ascii="宋体" w:hAnsi="宋体" w:eastAsia="宋体" w:cs="宋体"/>
      <w:color w:val="000000"/>
      <w:sz w:val="22"/>
      <w:szCs w:val="22"/>
      <w:u w:val="none"/>
      <w:vertAlign w:val="superscript"/>
    </w:rPr>
  </w:style>
  <w:style w:type="paragraph" w:customStyle="1" w:styleId="121">
    <w:name w:val="标题 33"/>
    <w:basedOn w:val="1"/>
    <w:qFormat/>
    <w:uiPriority w:val="1"/>
    <w:pPr>
      <w:autoSpaceDE w:val="0"/>
      <w:autoSpaceDN w:val="0"/>
      <w:spacing w:line="240" w:lineRule="auto"/>
      <w:ind w:left="1286" w:firstLine="0" w:firstLineChars="0"/>
      <w:outlineLvl w:val="3"/>
    </w:pPr>
    <w:rPr>
      <w:rFonts w:hAnsi="宋体" w:cs="宋体"/>
      <w:b/>
      <w:bCs/>
      <w:szCs w:val="24"/>
    </w:rPr>
  </w:style>
  <w:style w:type="character" w:customStyle="1" w:styleId="122">
    <w:name w:val="标题 2 字符1"/>
    <w:qFormat/>
    <w:uiPriority w:val="0"/>
    <w:rPr>
      <w:rFonts w:ascii="Arial" w:hAnsi="Arial" w:eastAsia="宋体"/>
      <w:b/>
      <w:bCs/>
      <w:spacing w:val="10"/>
      <w:sz w:val="24"/>
      <w:szCs w:val="32"/>
    </w:rPr>
  </w:style>
  <w:style w:type="character" w:customStyle="1" w:styleId="123">
    <w:name w:val="fontstyle01"/>
    <w:basedOn w:val="46"/>
    <w:qFormat/>
    <w:uiPriority w:val="0"/>
    <w:rPr>
      <w:rFonts w:hint="eastAsia" w:ascii="宋体" w:hAnsi="宋体" w:eastAsia="宋体"/>
      <w:color w:val="000000"/>
      <w:sz w:val="24"/>
      <w:szCs w:val="24"/>
    </w:rPr>
  </w:style>
  <w:style w:type="character" w:customStyle="1" w:styleId="124">
    <w:name w:val="列出段落 字符"/>
    <w:link w:val="59"/>
    <w:qFormat/>
    <w:uiPriority w:val="34"/>
    <w:rPr>
      <w:rFonts w:ascii="Calibri" w:hAnsi="Calibri"/>
      <w:sz w:val="21"/>
      <w:szCs w:val="21"/>
    </w:rPr>
  </w:style>
  <w:style w:type="paragraph" w:customStyle="1" w:styleId="125">
    <w:name w:val="标题 42"/>
    <w:basedOn w:val="1"/>
    <w:qFormat/>
    <w:uiPriority w:val="1"/>
    <w:pPr>
      <w:outlineLvl w:val="4"/>
    </w:pPr>
    <w:rPr>
      <w:rFonts w:hAnsi="宋体"/>
      <w:sz w:val="28"/>
      <w:szCs w:val="28"/>
    </w:rPr>
  </w:style>
  <w:style w:type="paragraph" w:customStyle="1" w:styleId="126">
    <w:name w:val="标题 82"/>
    <w:basedOn w:val="1"/>
    <w:qFormat/>
    <w:uiPriority w:val="1"/>
    <w:pPr>
      <w:autoSpaceDE w:val="0"/>
      <w:autoSpaceDN w:val="0"/>
      <w:adjustRightInd w:val="0"/>
      <w:spacing w:line="240" w:lineRule="auto"/>
      <w:ind w:left="840" w:firstLine="0" w:firstLineChars="0"/>
      <w:outlineLvl w:val="7"/>
    </w:pPr>
    <w:rPr>
      <w:rFonts w:cs="宋体"/>
      <w:b/>
      <w:bCs/>
      <w:szCs w:val="24"/>
    </w:rPr>
  </w:style>
  <w:style w:type="character" w:customStyle="1" w:styleId="127">
    <w:name w:val="font51"/>
    <w:basedOn w:val="4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0AAED-C40F-488E-9A5A-8EEED01CF82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66</Pages>
  <Words>28045</Words>
  <Characters>30275</Characters>
  <Lines>282</Lines>
  <Paragraphs>79</Paragraphs>
  <TotalTime>1087</TotalTime>
  <ScaleCrop>false</ScaleCrop>
  <LinksUpToDate>false</LinksUpToDate>
  <CharactersWithSpaces>30636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2022-09-26T11:46:00Z</dcterms:created>
  <dc:creator>《兰州新区化工园区控制性详细规划》项目</dc:creator>
  <cp:lastModifiedBy>马颖</cp:lastModifiedBy>
  <dcterms:modified xsi:type="dcterms:W3CDTF">2023-02-08T06:11:24Z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231E2F32AF484951BC5AEE9409063632</vt:lpwstr>
  </property>
</Properties>
</file>