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361" w:firstLineChars="100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TE-5500Plus 一体化便携水质重金属检测系统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TE-5500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Plus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一体化便携水质重金属检测系统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可以实现水质中重金属多项目的批量检测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  <w:t>六价铬、总铬、铜、锌、镍、铁、锰、锑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，智能化程度高，操作简单、方便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. 采用高强度防水手提安装箱一体化设计，2个自动比色皿结构，数字化集成系统，彩色液晶触摸屏，进口光源，水质专用光纤检测系统，内置高容量锂电池.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5272405" cy="5272405"/>
            <wp:effectExtent l="0" t="0" r="4445" b="4445"/>
            <wp:docPr id="1" name="图片 1" descr="基木鱼750x750图-55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基木鱼750x750图-5500plu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704"/>
        </w:tabs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光学系统：光纤分光系统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检测方式：固定式比色皿检测结构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光源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进口冷光源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(可达10万小时以上)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显示： 7寸彩色液晶触摸屏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5..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准确度： 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≤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±5%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波长范围：340- 900nm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重复性：  ≤±2%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8.检测系统：水质应用检测系统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9.检测项目：测定六价铬、总铬、铜、锌、镍、铁、锰、锑等多项指标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自动校准：仪器具有自动校准功能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电池：内置大容量锂电池40000mAh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12.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存储：可存储100万组数据，可自由调用查看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13.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预存曲线：预存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480条标准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曲线，并可修改和添加曲线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14.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打印方式：标配内置热敏打印机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15.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数据传输：配备USB接口和串口传输功能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616DD"/>
    <w:multiLevelType w:val="singleLevel"/>
    <w:tmpl w:val="BD7616DD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E1A03A"/>
    <w:multiLevelType w:val="singleLevel"/>
    <w:tmpl w:val="3FE1A0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  <w:docVar w:name="KSO_WPS_MARK_KEY" w:val="0b41de3a-8b42-4dca-9313-ee87cb1a7b36"/>
  </w:docVars>
  <w:rsids>
    <w:rsidRoot w:val="00000000"/>
    <w:rsid w:val="001435EF"/>
    <w:rsid w:val="01620A7A"/>
    <w:rsid w:val="0243470B"/>
    <w:rsid w:val="06021ED4"/>
    <w:rsid w:val="075A6509"/>
    <w:rsid w:val="09776297"/>
    <w:rsid w:val="09831937"/>
    <w:rsid w:val="0B1D4BE5"/>
    <w:rsid w:val="0F4129DD"/>
    <w:rsid w:val="11E433D9"/>
    <w:rsid w:val="14ED1FA1"/>
    <w:rsid w:val="16C57CE8"/>
    <w:rsid w:val="195C76F5"/>
    <w:rsid w:val="19F848C0"/>
    <w:rsid w:val="1D216E79"/>
    <w:rsid w:val="1DF14D8F"/>
    <w:rsid w:val="1EF94CBD"/>
    <w:rsid w:val="227930C6"/>
    <w:rsid w:val="2443357E"/>
    <w:rsid w:val="25B93E37"/>
    <w:rsid w:val="26CF6613"/>
    <w:rsid w:val="28D04FEF"/>
    <w:rsid w:val="29157360"/>
    <w:rsid w:val="29961D73"/>
    <w:rsid w:val="2BF34B36"/>
    <w:rsid w:val="2F9718B2"/>
    <w:rsid w:val="30873D71"/>
    <w:rsid w:val="32BA7ADF"/>
    <w:rsid w:val="35216C96"/>
    <w:rsid w:val="35664B50"/>
    <w:rsid w:val="3845754E"/>
    <w:rsid w:val="38B536CE"/>
    <w:rsid w:val="3BD46E3A"/>
    <w:rsid w:val="408919CA"/>
    <w:rsid w:val="40E05D11"/>
    <w:rsid w:val="433E78CA"/>
    <w:rsid w:val="46AD415F"/>
    <w:rsid w:val="494B1642"/>
    <w:rsid w:val="4E1C1D9A"/>
    <w:rsid w:val="4F765966"/>
    <w:rsid w:val="51574B0E"/>
    <w:rsid w:val="517E08F4"/>
    <w:rsid w:val="53144EE2"/>
    <w:rsid w:val="54764AC4"/>
    <w:rsid w:val="56EE639F"/>
    <w:rsid w:val="5CE55898"/>
    <w:rsid w:val="5F241788"/>
    <w:rsid w:val="5FAD7930"/>
    <w:rsid w:val="636B6CB9"/>
    <w:rsid w:val="643C2B45"/>
    <w:rsid w:val="6A5769B5"/>
    <w:rsid w:val="6A5B0FA2"/>
    <w:rsid w:val="6C5A6229"/>
    <w:rsid w:val="6CDB5DC2"/>
    <w:rsid w:val="6D94010C"/>
    <w:rsid w:val="6F0649FE"/>
    <w:rsid w:val="6F2F210F"/>
    <w:rsid w:val="703674CE"/>
    <w:rsid w:val="708F26EA"/>
    <w:rsid w:val="71AD2DDC"/>
    <w:rsid w:val="75077A6A"/>
    <w:rsid w:val="75DC4056"/>
    <w:rsid w:val="7A88632A"/>
    <w:rsid w:val="7B4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575</Characters>
  <Lines>0</Lines>
  <Paragraphs>0</Paragraphs>
  <TotalTime>44</TotalTime>
  <ScaleCrop>false</ScaleCrop>
  <LinksUpToDate>false</LinksUpToDate>
  <CharactersWithSpaces>584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2023-01-16T07:59:30Z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4AA06DC45D7544EEBD54A4BE3E6271AB</vt:lpwstr>
  </property>
</Properties>
</file>