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Theme="majorEastAsia" w:hAnsiTheme="majorEastAsia" w:eastAsiaTheme="majorEastAsia" w:cstheme="majorEastAsia"/>
          <w:b/>
          <w:bCs/>
          <w:sz w:val="36"/>
          <w:szCs w:val="36"/>
          <w:lang w:val="en-US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     便携式水质检测仪TE-3000</w:t>
      </w:r>
    </w:p>
    <w:p>
      <w:pPr>
        <w:tabs>
          <w:tab w:val="left" w:pos="1704"/>
        </w:tabs>
        <w:jc w:val="left"/>
      </w:pPr>
      <w:r>
        <w:rPr>
          <w:rFonts w:hint="eastAsia"/>
        </w:rPr>
        <w:tab/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 w:val="0"/>
          <w:bCs w:val="0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▷产品简介：</w:t>
      </w:r>
      <w:r>
        <w:rPr>
          <w:rFonts w:hint="eastAsia" w:ascii="微软雅黑" w:hAnsi="微软雅黑" w:eastAsia="微软雅黑" w:cs="微软雅黑"/>
          <w:b/>
          <w:bCs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便携式水质检测仪TE-3000</w:t>
      </w:r>
      <w:r>
        <w:rPr>
          <w:rFonts w:hint="eastAsia" w:ascii="微软雅黑" w:hAnsi="微软雅黑" w:eastAsia="微软雅黑" w:cs="微软雅黑"/>
          <w:b w:val="0"/>
          <w:bCs w:val="0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采用专用预制检测试剂，操作简单、快速、智能，内置专用水质检测系统，测量浓度直读.</w:t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 w:val="0"/>
          <w:bCs w:val="0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inline distT="0" distB="0" distL="114300" distR="114300">
            <wp:extent cx="5269230" cy="5269230"/>
            <wp:effectExtent l="0" t="0" r="7620" b="7620"/>
            <wp:docPr id="1" name="图片 1" descr="3000G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000G - 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26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▷适用范围：</w:t>
      </w:r>
      <w:r>
        <w:rPr>
          <w:rFonts w:hint="eastAsia" w:ascii="微软雅黑" w:hAnsi="微软雅黑" w:eastAsia="微软雅黑" w:cs="微软雅黑"/>
        </w:rPr>
        <w:t>适用于生活污水、工业废水、地下水、中水、地表水中</w:t>
      </w:r>
      <w:r>
        <w:rPr>
          <w:rFonts w:hint="eastAsia" w:ascii="微软雅黑" w:hAnsi="微软雅黑" w:eastAsia="微软雅黑" w:cs="微软雅黑"/>
          <w:lang w:val="en-US" w:eastAsia="zh-CN"/>
        </w:rPr>
        <w:t>多种水质污染物</w:t>
      </w:r>
      <w:r>
        <w:rPr>
          <w:rFonts w:hint="eastAsia" w:ascii="微软雅黑" w:hAnsi="微软雅黑" w:eastAsia="微软雅黑" w:cs="微软雅黑"/>
        </w:rPr>
        <w:t>的检测.运用于水质检测实验室、市政、污水处理厂、环境监测站及教育科研高校、电厂、疾控中心、造纸电镀、水产养殖和生物药业、石化、煤炭、冶金、纺织、制药、食品等行业.</w:t>
      </w:r>
    </w:p>
    <w:p>
      <w:pP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00B0F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▷技术参数：</w:t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</w:rPr>
        <w:t>1.显示：5寸彩色液晶触摸屏</w:t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</w:rPr>
        <w:t>2.检测方式：比色管检测（预制试剂）</w:t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</w:rPr>
        <w:t>3.测量项目：COD的测量范围：5- 10000mg/L、氨氮的测量范围：0.01-1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</w:rPr>
        <w:t>0mg/L（分段）、总磷的测量范围：0.01-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</w:rPr>
        <w:t>100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</w:rPr>
        <w:t>mg/L（分段）、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</w:rPr>
        <w:t>总氮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</w:rPr>
        <w:t>的测量范围：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</w:rPr>
        <w:t xml:space="preserve">0.01-100 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</w:rPr>
        <w:t>mg/L（分段）</w:t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</w:rPr>
        <w:t>4.光学系统：光纤检测系统</w:t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</w:rPr>
        <w:t>5.准确度：≤±5%</w:t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</w:rPr>
        <w:t>6.波长范围：340-900nm</w:t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</w:rPr>
        <w:t>7.波长准确度：±1nm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</w:rPr>
        <w:t xml:space="preserve"> </w:t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</w:rPr>
        <w:t>8.重复性：≤±2%</w:t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</w:rPr>
        <w:t>9.电池：内部放置锂电池</w:t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</w:rPr>
        <w:t>10.存储：可存储100万组数据，可自由调用查看</w:t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</w:rPr>
        <w:t>11.消解：标配消解器</w:t>
      </w:r>
    </w:p>
    <w:p>
      <w:pPr>
        <w:tabs>
          <w:tab w:val="left" w:pos="1704"/>
        </w:tabs>
        <w:jc w:val="left"/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</w:rPr>
        <w:t>12.预存曲线：预存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</w:rPr>
        <w:t>180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</w:rPr>
        <w:t>条曲线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</w:rPr>
        <w:t>可供用户进行选择、校准，修改等操作</w:t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</w:rPr>
        <w:t>13.自动校准：仪器具有自动校准功能</w:t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</w:rPr>
        <w:t>14.打印方式：标配内置热敏打印机</w:t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</w:rPr>
        <w:t>15：数据传输：配备USB接口和串口传输功能</w:t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</w:rPr>
        <w:t>16光源：进口冷光源（可达10万小时以上）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eastAsiaTheme="minorEastAsia"/>
        <w:lang w:eastAsia="zh-CN"/>
      </w:rPr>
      <w:drawing>
        <wp:inline distT="0" distB="0" distL="114300" distR="114300">
          <wp:extent cx="5269865" cy="498475"/>
          <wp:effectExtent l="0" t="0" r="6985" b="15875"/>
          <wp:docPr id="2" name="图片 2" descr="ef662cea58dd94e7d72a6fcea0d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ef662cea58dd94e7d72a6fcea0d278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9865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MzNhYTcwNjhmOGNlMGI3N2FhYjY1OWQ4MjIxMTYifQ=="/>
  </w:docVars>
  <w:rsids>
    <w:rsidRoot w:val="002B365C"/>
    <w:rsid w:val="002B365C"/>
    <w:rsid w:val="00FC6F13"/>
    <w:rsid w:val="020A6411"/>
    <w:rsid w:val="04F32EC3"/>
    <w:rsid w:val="05C9170E"/>
    <w:rsid w:val="063E1BF3"/>
    <w:rsid w:val="083D6059"/>
    <w:rsid w:val="086C27BF"/>
    <w:rsid w:val="0A40053E"/>
    <w:rsid w:val="0A7B0E6C"/>
    <w:rsid w:val="0DEF6628"/>
    <w:rsid w:val="14747E6B"/>
    <w:rsid w:val="147862DC"/>
    <w:rsid w:val="14B55685"/>
    <w:rsid w:val="15001CD4"/>
    <w:rsid w:val="15C44BEC"/>
    <w:rsid w:val="165A06D1"/>
    <w:rsid w:val="16B042BE"/>
    <w:rsid w:val="1C1179C0"/>
    <w:rsid w:val="1EE462C3"/>
    <w:rsid w:val="20DF2376"/>
    <w:rsid w:val="23B92E97"/>
    <w:rsid w:val="272B066E"/>
    <w:rsid w:val="2A712E26"/>
    <w:rsid w:val="2E8A55CD"/>
    <w:rsid w:val="2FF336FA"/>
    <w:rsid w:val="30ED37EB"/>
    <w:rsid w:val="31A33CBC"/>
    <w:rsid w:val="33060269"/>
    <w:rsid w:val="33492A62"/>
    <w:rsid w:val="34872BD3"/>
    <w:rsid w:val="37BD7A71"/>
    <w:rsid w:val="46874E57"/>
    <w:rsid w:val="49405701"/>
    <w:rsid w:val="4B9D279E"/>
    <w:rsid w:val="4D984E54"/>
    <w:rsid w:val="4DA72AC4"/>
    <w:rsid w:val="50540241"/>
    <w:rsid w:val="507118B2"/>
    <w:rsid w:val="50970241"/>
    <w:rsid w:val="52BB2220"/>
    <w:rsid w:val="539E6DEA"/>
    <w:rsid w:val="55CC1021"/>
    <w:rsid w:val="64CE44C0"/>
    <w:rsid w:val="667722CB"/>
    <w:rsid w:val="66B33B46"/>
    <w:rsid w:val="6A9B56BA"/>
    <w:rsid w:val="6B007973"/>
    <w:rsid w:val="6B515D3C"/>
    <w:rsid w:val="73DD4830"/>
    <w:rsid w:val="74547834"/>
    <w:rsid w:val="764F2F65"/>
    <w:rsid w:val="786A1924"/>
    <w:rsid w:val="7C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459</Words>
  <Characters>554</Characters>
  <Lines>4</Lines>
  <Paragraphs>1</Paragraphs>
  <TotalTime>30</TotalTime>
  <ScaleCrop>false</ScaleCrop>
  <LinksUpToDate>false</LinksUpToDate>
  <CharactersWithSpaces>568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WIN10</dc:creator>
  <cp:lastModifiedBy>雪琪</cp:lastModifiedBy>
  <dcterms:modified xsi:type="dcterms:W3CDTF">2022-12-05T08:10:26Z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1C579B4D33C040F19118ECE3387F2403</vt:lpwstr>
  </property>
</Properties>
</file>