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FKC-1</w:t>
      </w:r>
      <w:r>
        <w:t>浮游细菌采样器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ind w:firstLine="1792" w:firstLineChars="350"/>
        <w:rPr>
          <w:rFonts w:ascii="Arial" w:hAnsi="Arial" w:eastAsia="宋体" w:cs="Arial"/>
          <w:b/>
          <w:color w:val="666666"/>
          <w:spacing w:val="15"/>
          <w:sz w:val="48"/>
          <w:szCs w:val="48"/>
          <w:shd w:val="clear" w:color="auto" w:fill="FFFFFF"/>
        </w:rPr>
      </w:pPr>
      <w:r>
        <w:rPr>
          <w:rFonts w:hint="eastAsia" w:ascii="Arial" w:hAnsi="Arial" w:eastAsia="宋体" w:cs="Arial"/>
          <w:b/>
          <w:color w:val="666666"/>
          <w:spacing w:val="15"/>
          <w:sz w:val="48"/>
          <w:szCs w:val="48"/>
          <w:shd w:val="clear" w:color="auto" w:fill="FFFFFF"/>
        </w:rPr>
        <w:drawing>
          <wp:inline distT="0" distB="0" distL="114300" distR="114300">
            <wp:extent cx="2901315" cy="3869055"/>
            <wp:effectExtent l="0" t="0" r="0" b="0"/>
            <wp:docPr id="1" name="图片 1" descr="微信图片_2020010414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10414215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80"/>
        <w:jc w:val="left"/>
        <w:outlineLvl w:val="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Times New Roman"/>
          <w:b/>
          <w:bCs/>
          <w:snapToGrid w:val="0"/>
          <w:color w:val="000000"/>
          <w:kern w:val="28"/>
          <w:szCs w:val="21"/>
        </w:rPr>
        <w:t>一概述：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Tahoma" w:hAnsi="Tahoma" w:eastAsia="Tahoma" w:cs="Tahom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FKC</w:t>
      </w: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1</w:t>
      </w: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型浮游细菌采样器，</w:t>
      </w:r>
      <w:r>
        <w:rPr>
          <w:rFonts w:hint="eastAsia" w:ascii="Calibri" w:hAnsi="Calibri" w:eastAsia="宋体" w:cs="Calibri"/>
          <w:color w:val="000000"/>
          <w:sz w:val="21"/>
          <w:szCs w:val="21"/>
          <w:shd w:val="clear" w:color="auto" w:fill="FFFFFF"/>
        </w:rPr>
        <w:t>严格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浮游细菌采样器，产品</w:t>
      </w: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按照我国新版GMP规范要求，并参照国外同类产品进行设计制造。它具有下列特点：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Tahoma" w:hAnsi="Tahoma" w:eastAsia="Tahoma" w:cs="Tahoma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·采集口为397目，直径φ０.７mm微孔，减少了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细</w:t>
      </w: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菌重叠，降低了微生物计数错误。</w:t>
      </w:r>
      <w:r>
        <w:rPr>
          <w:rFonts w:ascii="Tahoma" w:hAnsi="Tahoma" w:eastAsia="Tahoma" w:cs="Tahom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·可编程，采样量从1-6000L任意设定。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ind w:left="-27"/>
        <w:rPr>
          <w:rFonts w:ascii="Tahoma" w:hAnsi="Tahoma" w:eastAsia="Tahoma" w:cs="Tahoma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·采样流量大，减少采集时间。</w:t>
      </w:r>
      <w:r>
        <w:rPr>
          <w:rFonts w:ascii="Tahoma" w:hAnsi="Tahoma" w:eastAsia="Tahoma" w:cs="Tahom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·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彩色液晶屏</w:t>
      </w: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显示采样量，采样时间等参数。</w:t>
      </w:r>
      <w:r>
        <w:rPr>
          <w:rFonts w:ascii="Tahoma" w:hAnsi="Tahoma" w:eastAsia="Tahoma" w:cs="Tahom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·采样量，采样时间等参数按页储存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ind w:left="-27"/>
        <w:rPr>
          <w:rFonts w:ascii="Tahoma" w:hAnsi="Tahoma" w:eastAsia="Tahoma" w:cs="Tahoma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·可储存1000组数据。并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有</w:t>
      </w: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USB端口连接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ind w:left="-27"/>
        <w:rPr>
          <w:rFonts w:ascii="Tahoma" w:hAnsi="Tahoma" w:eastAsia="Tahoma" w:cs="Tahoma"/>
          <w:color w:val="000000"/>
          <w:sz w:val="21"/>
          <w:szCs w:val="21"/>
        </w:rPr>
      </w:pPr>
      <w:r>
        <w:rPr>
          <w:rFonts w:ascii="Times New Roman" w:hAnsi="Times New Roman" w:eastAsia="Tahoma"/>
          <w:color w:val="000000"/>
          <w:sz w:val="21"/>
          <w:szCs w:val="21"/>
          <w:shd w:val="clear" w:color="auto" w:fill="FFFFFF"/>
        </w:rPr>
        <w:t>·自主研发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采集芯片</w:t>
      </w:r>
      <w:r>
        <w:rPr>
          <w:rFonts w:ascii="Times New Roman" w:hAnsi="Times New Roman" w:eastAsia="Tahoma"/>
          <w:color w:val="000000"/>
          <w:sz w:val="21"/>
          <w:szCs w:val="21"/>
          <w:shd w:val="clear" w:color="auto" w:fill="FFFFFF"/>
        </w:rPr>
        <w:t>，采样流量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更</w:t>
      </w:r>
      <w:r>
        <w:rPr>
          <w:rFonts w:ascii="Times New Roman" w:hAnsi="Times New Roman" w:eastAsia="Tahoma"/>
          <w:color w:val="000000"/>
          <w:sz w:val="21"/>
          <w:szCs w:val="21"/>
          <w:shd w:val="clear" w:color="auto" w:fill="FFFFFF"/>
        </w:rPr>
        <w:t>稳定。</w:t>
      </w:r>
      <w:r>
        <w:rPr>
          <w:rFonts w:ascii="Tahoma" w:hAnsi="Tahoma" w:eastAsia="Tahoma" w:cs="Tahom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ascii="Times New Roman" w:hAnsi="Times New Roman" w:eastAsia="Tahoma"/>
          <w:color w:val="000000"/>
          <w:sz w:val="21"/>
          <w:szCs w:val="21"/>
          <w:shd w:val="clear" w:color="auto" w:fill="FFFFFF"/>
        </w:rPr>
        <w:t>·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更换培养皿简便，拿下采集口即可更换培养皿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ind w:left="-27"/>
        <w:rPr>
          <w:rFonts w:ascii="Tahoma" w:hAnsi="Tahoma" w:eastAsia="Tahoma" w:cs="Tahoma"/>
          <w:color w:val="000000"/>
          <w:sz w:val="21"/>
          <w:szCs w:val="21"/>
        </w:rPr>
      </w:pPr>
      <w:r>
        <w:rPr>
          <w:rFonts w:ascii="Times New Roman" w:hAnsi="Times New Roman" w:eastAsia="Tahoma"/>
          <w:color w:val="000000"/>
          <w:sz w:val="21"/>
          <w:szCs w:val="21"/>
          <w:shd w:val="clear" w:color="auto" w:fill="FFFFFF"/>
        </w:rPr>
        <w:t>（使用标准通用培养皿φ90×15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）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ind w:left="-27"/>
        <w:rPr>
          <w:rFonts w:ascii="Tahoma" w:hAnsi="Tahoma" w:eastAsia="Tahoma" w:cs="Tahoma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shd w:val="clear" w:color="auto" w:fill="FFFFFF"/>
        </w:rPr>
        <w:t> </w:t>
      </w:r>
    </w:p>
    <w:p>
      <w:pPr>
        <w:widowControl/>
        <w:spacing w:after="180"/>
        <w:jc w:val="left"/>
        <w:outlineLvl w:val="0"/>
        <w:rPr>
          <w:rFonts w:ascii="宋体" w:hAnsi="宋体" w:cs="Times New Roman"/>
          <w:b/>
          <w:bCs/>
          <w:snapToGrid w:val="0"/>
          <w:color w:val="000000"/>
          <w:kern w:val="28"/>
          <w:szCs w:val="21"/>
        </w:rPr>
      </w:pPr>
      <w:r>
        <w:rPr>
          <w:rFonts w:ascii="宋体" w:hAnsi="宋体" w:cs="Times New Roman"/>
          <w:b/>
          <w:bCs/>
          <w:snapToGrid w:val="0"/>
          <w:color w:val="000000"/>
          <w:kern w:val="28"/>
          <w:szCs w:val="21"/>
        </w:rPr>
        <w:t>二、技术指标：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1.  采样头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为阳极氧化铝制作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，适用于大部分消毒方式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2.  采样流量：100L/min±5%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 xml:space="preserve">3.   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采样周期调节范围：1-6000L(可调)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4.   撞击速率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：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10.8m/s（安德森撞击等级第五级原理）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 xml:space="preserve">5.   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电池使用时间：8小时以上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 xml:space="preserve">6.   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外形尺寸：1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30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*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130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*1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60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mm (W*D*H)重量：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1.8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Kg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7.   执行标准：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ISO 14698-1/2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，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GB/T 16293-2010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 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315" w:lineRule="atLeast"/>
        <w:rPr>
          <w:rFonts w:ascii="宋体" w:hAnsi="宋体"/>
          <w:b/>
          <w:bCs/>
          <w:snapToGrid w:val="0"/>
          <w:color w:val="000000"/>
          <w:kern w:val="28"/>
          <w:sz w:val="21"/>
          <w:szCs w:val="21"/>
        </w:rPr>
      </w:pPr>
      <w:r>
        <w:rPr>
          <w:rFonts w:ascii="宋体" w:hAnsi="宋体"/>
          <w:b/>
          <w:bCs/>
          <w:snapToGrid w:val="0"/>
          <w:color w:val="000000"/>
          <w:kern w:val="28"/>
          <w:sz w:val="21"/>
          <w:szCs w:val="21"/>
        </w:rPr>
        <w:t>使用条件：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/>
          <w:b/>
          <w:bCs/>
          <w:snapToGrid w:val="0"/>
          <w:color w:val="000000"/>
          <w:kern w:val="28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．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正常大气压环境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．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温度30℃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±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5相对湿度75%R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H±10%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．</w:t>
      </w:r>
      <w:r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  <w:t>电源AC220VDC14.8V</w:t>
      </w:r>
    </w:p>
    <w:p>
      <w:pPr>
        <w:pStyle w:val="6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681" w:firstLineChars="700"/>
      <w:rPr>
        <w:rFonts w:hint="eastAsia" w:ascii="微软雅黑" w:hAnsi="微软雅黑" w:eastAsia="微软雅黑"/>
        <w:b/>
        <w:color w:val="FF0000"/>
        <w:sz w:val="24"/>
      </w:rPr>
    </w:pPr>
    <w:bookmarkStart w:id="0" w:name="_GoBack"/>
    <w:bookmarkEnd w:id="0"/>
    <w:r>
      <w:rPr>
        <w:rFonts w:hint="eastAsia" w:ascii="微软雅黑" w:hAnsi="微软雅黑" w:eastAsia="微软雅黑"/>
        <w:b/>
        <w:color w:val="FF0000"/>
        <w:sz w:val="24"/>
        <w:lang w:val="en-US" w:eastAsia="zh-CN"/>
      </w:rPr>
      <w:t>山东欧莱博仪器有限公司</w:t>
    </w:r>
    <w:r>
      <w:rPr>
        <w:rFonts w:hint="eastAsia" w:ascii="微软雅黑" w:hAnsi="微软雅黑" w:eastAsia="微软雅黑"/>
        <w:b/>
        <w:color w:val="FF0000"/>
        <w:sz w:val="24"/>
      </w:rPr>
      <w:t xml:space="preserve">  欧莱博 OLABO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63B767"/>
    <w:multiLevelType w:val="singleLevel"/>
    <w:tmpl w:val="D963B7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9192C"/>
    <w:rsid w:val="006F7D0C"/>
    <w:rsid w:val="00827B8D"/>
    <w:rsid w:val="009F17A4"/>
    <w:rsid w:val="00B64C1A"/>
    <w:rsid w:val="00D4798A"/>
    <w:rsid w:val="20C9192C"/>
    <w:rsid w:val="219B0E09"/>
    <w:rsid w:val="21F15F9C"/>
    <w:rsid w:val="35641CF8"/>
    <w:rsid w:val="36B0614C"/>
    <w:rsid w:val="39A059D6"/>
    <w:rsid w:val="3BA4500E"/>
    <w:rsid w:val="48551F13"/>
    <w:rsid w:val="6065799D"/>
    <w:rsid w:val="66540E88"/>
    <w:rsid w:val="6D534901"/>
    <w:rsid w:val="73FB42B1"/>
    <w:rsid w:val="7541676E"/>
    <w:rsid w:val="77401595"/>
    <w:rsid w:val="7CA1455E"/>
    <w:rsid w:val="7D5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476</Characters>
  <Lines>3</Lines>
  <Paragraphs>1</Paragraphs>
  <TotalTime>70</TotalTime>
  <ScaleCrop>false</ScaleCrop>
  <LinksUpToDate>false</LinksUpToDate>
  <CharactersWithSpaces>558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2016-07-01T15:33:00Z</dcterms:created>
  <dc:creator>Administrator</dc:creator>
  <cp:lastModifiedBy>博科集团来宝商城 -薛晓芬</cp:lastModifiedBy>
  <cp:lastPrinted>2018-06-30T09:35:00Z</cp:lastPrinted>
  <dcterms:modified xsi:type="dcterms:W3CDTF">2021-06-22T03:02:34Z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61A4D52BFD67436185B86BA24CB8A3F0</vt:lpwstr>
  </property>
</Properties>
</file>