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技术参数</w:t>
      </w:r>
    </w:p>
    <w:tbl>
      <w:tblPr>
        <w:tblStyle w:val="4"/>
        <w:tblW w:w="8388" w:type="dxa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型号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BJPX-DH2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样本容量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温度控制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PID数字温控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控温范围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室温</w:t>
            </w:r>
            <w:r>
              <w:rPr>
                <w:rFonts w:ascii="宋体" w:hAnsi="宋体"/>
                <w:sz w:val="24"/>
              </w:rPr>
              <w:t>+5</w:t>
            </w:r>
            <w:r>
              <w:rPr>
                <w:rFonts w:ascii="宋体" w:hAnsi="宋体"/>
                <w:sz w:val="24"/>
              </w:rPr>
              <w:sym w:font="Symbol" w:char="00B0"/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24"/>
              </w:rPr>
              <w:t xml:space="preserve"> 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sym w:font="Symbol" w:char="00B0"/>
            </w:r>
            <w:r>
              <w:rPr>
                <w:rFonts w:ascii="宋体" w:hAnsi="宋体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控温精度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≤ ± 0.5 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温度均匀性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 ± 0.5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显示精度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定时范围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～9999分钟（小时）</w:t>
            </w:r>
            <w:r>
              <w:rPr>
                <w:rFonts w:hint="eastAsia" w:ascii="宋体" w:hAnsi="宋体"/>
                <w:sz w:val="24"/>
                <w:lang w:eastAsia="zh-CN"/>
              </w:rPr>
              <w:t>或连续运行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升温时间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≤10分钟 （室温升温到80℃）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电压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/频率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（仅可选择一种电压，订货时请说明）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220VAC±10%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尺寸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>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净重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6.5</w:t>
            </w:r>
            <w:r>
              <w:rPr>
                <w:rFonts w:hint="eastAsia" w:ascii="宋体" w:hAnsi="宋体"/>
                <w:sz w:val="24"/>
              </w:rPr>
              <w:t>kg</w:t>
            </w:r>
          </w:p>
        </w:tc>
      </w:tr>
    </w:tbl>
    <w:p>
      <w:pPr>
        <w:bidi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产品特点：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>采用高品质开关电源，整机长期运行稳定可靠。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双层的加热系统，保证恒温培养的稳定性。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Cs/>
          <w:sz w:val="18"/>
          <w:szCs w:val="18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粉末涂层钢质外壳，坚固耐用；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温度采用智能模糊PID控制，与传统的PID控制方式相比具有更小的温度超调、更快的稳定时间、更好的控温精度等优点。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温度的测量值和设定值可选择最小分辨率为0.1℃或1℃。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具有预约运行功能，PT100型仪表具有华氏度和摄氏度切换功能。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定时功能可选择（无、恒温定时、运行计时），计时方向可选择正计时或倒计时，定时单位可选择（分钟、小时），定时结束后有蜂鸣器鸣叫提示（提示时间可设定）。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有温度自整定功能，有2个区间PID控制，有3段温度斜率修正。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具有手自动锁屏功能，可选择密码解锁。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有温度传感器开路、短路声光（蜂鸣器）报警提示，控制器自动断开加热输出。</w:t>
      </w:r>
      <w:bookmarkStart w:id="3" w:name="_GoBack"/>
      <w:bookmarkEnd w:id="3"/>
    </w:p>
    <w:p>
      <w:pPr>
        <w:widowControl w:val="0"/>
        <w:numPr>
          <w:numId w:val="0"/>
        </w:numPr>
        <w:tabs>
          <w:tab w:val="left" w:pos="900"/>
        </w:tabs>
        <w:spacing w:line="360" w:lineRule="auto"/>
        <w:jc w:val="both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ascii="新宋体" w:hAnsi="新宋体" w:eastAsia="新宋体" w:cs="新宋体"/>
          <w:sz w:val="44"/>
          <w:szCs w:val="44"/>
          <w:vertAlign w:val="baseline"/>
          <w:lang w:val="en-US" w:eastAsia="zh-CN"/>
        </w:rPr>
      </w:pPr>
      <w:bookmarkStart w:id="0" w:name="_Toc24340_WPSOffice_Level1"/>
      <w:r>
        <w:rPr>
          <w:rFonts w:hint="eastAsia" w:ascii="新宋体" w:hAnsi="新宋体" w:eastAsia="新宋体" w:cs="新宋体"/>
          <w:sz w:val="44"/>
          <w:szCs w:val="44"/>
          <w:lang w:val="en-US" w:eastAsia="zh-CN"/>
        </w:rPr>
        <w:t>装箱清单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426"/>
        <w:gridCol w:w="1177"/>
        <w:gridCol w:w="246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微孔板孵育器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主机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本机说明书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产品保修卡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产品合格证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本装箱单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10A保险管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2只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电源线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配件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1条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bookmarkStart w:id="1" w:name="_Toc11325_WPSOffice_Level1"/>
      <w:bookmarkStart w:id="2" w:name="_Toc28262_WPSOffice_Level1"/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本单所列物品与箱内所装实物相符</w:t>
      </w:r>
      <w:bookmarkEnd w:id="1"/>
      <w:bookmarkEnd w:id="2"/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592"/>
    <w:multiLevelType w:val="multilevel"/>
    <w:tmpl w:val="58FF0592"/>
    <w:lvl w:ilvl="0" w:tentative="0">
      <w:start w:val="1"/>
      <w:numFmt w:val="bullet"/>
      <w:lvlText w:val="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7E4C"/>
    <w:rsid w:val="2B6243A1"/>
    <w:rsid w:val="2B6C403D"/>
    <w:rsid w:val="2E304791"/>
    <w:rsid w:val="38C9290C"/>
    <w:rsid w:val="3996257A"/>
    <w:rsid w:val="3C3A6588"/>
    <w:rsid w:val="40F66136"/>
    <w:rsid w:val="47FB48B3"/>
    <w:rsid w:val="48F649D4"/>
    <w:rsid w:val="4BB97C6B"/>
    <w:rsid w:val="529D4009"/>
    <w:rsid w:val="5310279C"/>
    <w:rsid w:val="57A8098C"/>
    <w:rsid w:val="5F37567A"/>
    <w:rsid w:val="714E3AD0"/>
    <w:rsid w:val="7B6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Mr.6426</cp:lastModifiedBy>
  <dcterms:modified xsi:type="dcterms:W3CDTF">2021-01-23T03:51:44Z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