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861820" cy="2105660"/>
            <wp:effectExtent l="0" t="0" r="5080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firstLine="480" w:firstLineChars="200"/>
        <w:textAlignment w:val="auto"/>
      </w:pPr>
      <w:r>
        <w:rPr>
          <w:rFonts w:hint="eastAsia"/>
          <w:b w:val="0"/>
          <w:bCs w:val="0"/>
          <w:kern w:val="2"/>
          <w:sz w:val="24"/>
          <w:szCs w:val="24"/>
          <w:lang w:val="en-US" w:eastAsia="zh-CN" w:bidi="ar-SA"/>
        </w:rPr>
        <w:t>适用于大气PM2.5/PM10监测、源解析、超低排放监测等项目的样品精确称量，整个称量过程严格符合HJ 618-2011、HJ 656-2013和HJ 836-2017等标准要求，是大气及污染源采样样品称重环节的核心设备。还可检测材料在给定温湿度环境下的性能：耐热、耐寒、耐干、耐湿等。适合电子、电器、通讯、仪表、车辆、塑胶制品、金属、食品、化学、建材、医疗、航天等行业污染检测之用。</w:t>
      </w:r>
    </w:p>
    <w:p/>
    <w:p>
      <w:pPr>
        <w:jc w:val="right"/>
      </w:pPr>
      <w:r>
        <w:drawing>
          <wp:inline distT="0" distB="0" distL="114300" distR="114300">
            <wp:extent cx="1885950" cy="1666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3528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  <w:r>
        <w:drawing>
          <wp:inline distT="0" distB="0" distL="114300" distR="114300">
            <wp:extent cx="4308475" cy="3289935"/>
            <wp:effectExtent l="0" t="0" r="1587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847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80" w:lineRule="auto"/>
        <w:ind w:firstLine="241" w:firstLineChars="100"/>
        <w:rPr>
          <w:rFonts w:hint="eastAsia"/>
          <w:b/>
          <w:bCs/>
          <w:szCs w:val="24"/>
        </w:rPr>
      </w:pPr>
      <w:r>
        <w:rPr>
          <w:rFonts w:hint="eastAsia"/>
          <w:b/>
          <w:bCs/>
          <w:szCs w:val="24"/>
        </w:rPr>
        <w:t>技术参数</w:t>
      </w:r>
    </w:p>
    <w:tbl>
      <w:tblPr>
        <w:tblStyle w:val="3"/>
        <w:tblW w:w="9563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8"/>
        <w:gridCol w:w="6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型号</w:t>
            </w:r>
          </w:p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技术指标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BJPX-HTW300(PC)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容积（L）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控温范围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5～60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温度分辨率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温度波动度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±0.5℃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温度均匀度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±1.0℃（@37℃）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控湿范围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40～90％RH（微电脑PID控制）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湿度波动度（25℃/50%RH）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±3～±5%RH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建议恒定工作环境（℃）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18～30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加湿方式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内置加湿系统（标配）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制冷剂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R134a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显示屏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7寸彩色液晶触摸屏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定时范围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1-5999min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AC220V/50HZ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输入功率（W)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700-1500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工作室尺寸W×D×H（mm)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650*480*970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外形尺寸（mm)W×D×H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850*767*1705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载物搁架（标配)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6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标配U盘数据储存、标配远程PC口</w:t>
            </w:r>
          </w:p>
        </w:tc>
      </w:tr>
    </w:tbl>
    <w:p>
      <w:pPr>
        <w:pStyle w:val="5"/>
        <w:rPr>
          <w:rFonts w:hint="eastAsia"/>
          <w:sz w:val="18"/>
          <w:szCs w:val="18"/>
          <w:lang w:eastAsia="zh-CN"/>
        </w:rPr>
      </w:pPr>
      <w:bookmarkStart w:id="0" w:name="_Toc413684383"/>
      <w:bookmarkStart w:id="1" w:name="_Toc413684321"/>
      <w:bookmarkStart w:id="2" w:name="_Toc413684202"/>
      <w:bookmarkStart w:id="3" w:name="_Toc405966714"/>
      <w:bookmarkStart w:id="4" w:name="_Toc379987087"/>
      <w:bookmarkStart w:id="5" w:name="_Toc379987067"/>
      <w:r>
        <w:rPr>
          <w:rFonts w:hint="eastAsia"/>
          <w:szCs w:val="24"/>
        </w:rPr>
        <w:t>注：</w:t>
      </w:r>
      <w:r>
        <w:rPr>
          <w:rFonts w:hint="eastAsia"/>
          <w:sz w:val="18"/>
          <w:szCs w:val="18"/>
        </w:rPr>
        <w:t xml:space="preserve">性能参数测试在空载条件下为：环境温度25℃，环境相对湿度50％RH 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</w:rPr>
        <w:t>不可用于长时间冷藏保存</w:t>
      </w:r>
      <w:bookmarkEnd w:id="0"/>
      <w:bookmarkEnd w:id="1"/>
      <w:bookmarkEnd w:id="2"/>
      <w:bookmarkEnd w:id="3"/>
      <w:bookmarkEnd w:id="4"/>
      <w:bookmarkEnd w:id="5"/>
      <w:r>
        <w:rPr>
          <w:rFonts w:hint="eastAsia"/>
          <w:sz w:val="18"/>
          <w:szCs w:val="18"/>
          <w:lang w:eastAsia="zh-CN"/>
        </w:rPr>
        <w:t>；</w:t>
      </w:r>
    </w:p>
    <w:p>
      <w:pPr>
        <w:pStyle w:val="5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本产品不建议用于人体来源样本的培养。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97A12"/>
    <w:rsid w:val="73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Mr.6426</cp:lastModifiedBy>
  <dcterms:modified xsi:type="dcterms:W3CDTF">2021-02-06T07:45:56Z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