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摊烘片一体机</w:t>
      </w:r>
    </w:p>
    <w:p>
      <w:pPr>
        <w:spacing w:line="360" w:lineRule="auto"/>
        <w:ind w:firstLine="420" w:firstLineChars="200"/>
        <w:outlineLvl w:val="2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生物组织摊烘一体机（以下简称摊烘一体机），是对人体或动植物标本的组织</w:t>
      </w:r>
      <w:r>
        <w:rPr>
          <w:rFonts w:hint="eastAsia" w:ascii="宋体" w:hAnsi="宋体" w:cs="宋体"/>
          <w:sz w:val="21"/>
          <w:szCs w:val="21"/>
          <w:lang w:eastAsia="zh-CN"/>
        </w:rPr>
        <w:t>切片进行漂片以及漂片后对组织进行烘片</w:t>
      </w:r>
      <w:r>
        <w:rPr>
          <w:rFonts w:hint="eastAsia" w:ascii="宋体" w:hAnsi="宋体" w:cs="宋体"/>
          <w:sz w:val="21"/>
          <w:szCs w:val="21"/>
        </w:rPr>
        <w:t>，以供后续作组织学诊断或研究的设备，是进行病理组织摊片烤片烘片的常用仪器。</w:t>
      </w:r>
    </w:p>
    <w:p>
      <w:pPr>
        <w:spacing w:line="360" w:lineRule="auto"/>
        <w:ind w:firstLine="420" w:firstLineChars="200"/>
        <w:outlineLvl w:val="2"/>
        <w:rPr>
          <w:rFonts w:ascii="宋体" w:hAnsi="宋体" w:cs="宋体"/>
          <w:sz w:val="21"/>
          <w:szCs w:val="21"/>
        </w:rPr>
      </w:pPr>
      <w:r>
        <w:rPr>
          <w:rFonts w:hint="eastAsia"/>
          <w:sz w:val="21"/>
          <w:szCs w:val="21"/>
        </w:rPr>
        <w:t>摊烘一体机</w:t>
      </w:r>
      <w:r>
        <w:rPr>
          <w:rFonts w:hint="eastAsia" w:ascii="宋体" w:hAnsi="宋体" w:cs="宋体"/>
          <w:sz w:val="21"/>
          <w:szCs w:val="21"/>
        </w:rPr>
        <w:t>是一款符合人体工程学设计的嵌入式系统的生物组织摊烘一体机，专供熟悉组织嵌入式技术和实验室设备、且经过适当培训的专业人员在实验室使用。</w:t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007235" cy="1506220"/>
            <wp:effectExtent l="0" t="0" r="12065" b="17780"/>
            <wp:docPr id="3" name="图片 3" descr="d5da7593208635a5a1380887b9a9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5da7593208635a5a1380887b9a96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1988185" cy="1490980"/>
            <wp:effectExtent l="0" t="0" r="12065" b="13970"/>
            <wp:docPr id="4" name="图片 4" descr="bb27d6e31ab85bc20da63d5f951cd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b27d6e31ab85bc20da63d5f951cd4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/>
        </w:rPr>
        <w:t>产品</w:t>
      </w:r>
      <w:r>
        <w:t>特点：</w:t>
      </w:r>
      <w:r>
        <w:rPr>
          <w:rFonts w:hint="eastAsia"/>
        </w:rPr>
        <w:t>集</w:t>
      </w:r>
      <w:r>
        <w:t>摊、烘片</w:t>
      </w:r>
      <w:r>
        <w:rPr>
          <w:rFonts w:hint="eastAsia"/>
        </w:rPr>
        <w:t>于</w:t>
      </w:r>
      <w:r>
        <w:t>一体，结构紧凑、造型新颖、操作简便</w:t>
      </w:r>
    </w:p>
    <w:p>
      <w:pPr>
        <w:jc w:val="left"/>
      </w:pPr>
      <w:r>
        <w:t xml:space="preserve">          </w:t>
      </w:r>
      <w:r>
        <w:rPr>
          <w:rFonts w:hint="eastAsia"/>
        </w:rPr>
        <w:t>高亮度LCD显示</w:t>
      </w:r>
      <w:r>
        <w:t>屏，实时显示摊片、烘片温度，简单明了</w:t>
      </w:r>
    </w:p>
    <w:p>
      <w:pPr>
        <w:jc w:val="left"/>
      </w:pPr>
      <w:r>
        <w:t xml:space="preserve">          </w:t>
      </w:r>
      <w:r>
        <w:rPr>
          <w:rFonts w:hint="eastAsia"/>
        </w:rPr>
        <w:t>高</w:t>
      </w:r>
      <w:r>
        <w:t>灵敏温控</w:t>
      </w:r>
      <w:r>
        <w:rPr>
          <w:rFonts w:hint="eastAsia"/>
        </w:rPr>
        <w:t>集成</w:t>
      </w:r>
      <w:r>
        <w:t>单元，精度高，性能可靠。</w:t>
      </w:r>
    </w:p>
    <w:p>
      <w:pPr>
        <w:jc w:val="left"/>
      </w:pPr>
      <w:r>
        <w:t xml:space="preserve">          </w:t>
      </w:r>
      <w:r>
        <w:rPr>
          <w:rFonts w:hint="eastAsia"/>
        </w:rPr>
        <w:t>具有</w:t>
      </w:r>
      <w:r>
        <w:t>超温报警功能</w:t>
      </w:r>
    </w:p>
    <w:p>
      <w:pPr>
        <w:jc w:val="left"/>
      </w:pPr>
      <w:r>
        <w:rPr>
          <w:rFonts w:hint="eastAsia"/>
        </w:rPr>
        <w:t xml:space="preserve">          采用</w:t>
      </w:r>
      <w:r>
        <w:t>新型发热</w:t>
      </w:r>
      <w:r>
        <w:rPr>
          <w:rFonts w:hint="eastAsia"/>
        </w:rPr>
        <w:t>软件</w:t>
      </w:r>
      <w:r>
        <w:t>，加热快、受热均匀、热惯性小、节能可靠。</w:t>
      </w:r>
    </w:p>
    <w:p>
      <w:pPr>
        <w:jc w:val="left"/>
      </w:pPr>
      <w:r>
        <w:t xml:space="preserve">          </w:t>
      </w:r>
      <w:r>
        <w:rPr>
          <w:rFonts w:hint="eastAsia"/>
        </w:rPr>
        <w:t>具有</w:t>
      </w:r>
      <w:r>
        <w:t>记忆功能，运行后自动保留设置温度。</w:t>
      </w:r>
    </w:p>
    <w:p>
      <w:pPr>
        <w:jc w:val="left"/>
      </w:pPr>
      <w:r>
        <w:rPr>
          <w:rFonts w:hint="eastAsia"/>
        </w:rPr>
        <w:t xml:space="preserve">          百叶式</w:t>
      </w:r>
      <w:r>
        <w:t>烘片台面，易放易取，烘片效果</w:t>
      </w:r>
      <w:r>
        <w:rPr>
          <w:rFonts w:hint="eastAsia"/>
        </w:rPr>
        <w:t>更佳</w:t>
      </w:r>
    </w:p>
    <w:p>
      <w:pPr>
        <w:jc w:val="left"/>
      </w:pPr>
      <w:r>
        <w:t xml:space="preserve">          </w:t>
      </w:r>
      <w:r>
        <w:rPr>
          <w:rFonts w:hint="eastAsia"/>
        </w:rPr>
        <w:t>工作</w:t>
      </w:r>
      <w:r>
        <w:t>台面喷涂</w:t>
      </w:r>
      <w:r>
        <w:rPr>
          <w:rFonts w:hint="eastAsia"/>
        </w:rPr>
        <w:t>处理</w:t>
      </w:r>
      <w:r>
        <w:t>，耐腐蚀。</w:t>
      </w:r>
    </w:p>
    <w:p>
      <w:pPr>
        <w:jc w:val="left"/>
      </w:pPr>
      <w:r>
        <w:rPr>
          <w:rFonts w:hint="eastAsia"/>
        </w:rPr>
        <w:t>技术</w:t>
      </w:r>
      <w:r>
        <w:t>参数：</w:t>
      </w:r>
    </w:p>
    <w:tbl>
      <w:tblPr>
        <w:tblStyle w:val="16"/>
        <w:tblW w:w="6654" w:type="dxa"/>
        <w:tblInd w:w="12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4"/>
        <w:gridCol w:w="2133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4" w:type="dxa"/>
            <w:tcBorders>
              <w:tl2br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  <w:sz w:val="13"/>
                <w:szCs w:val="13"/>
              </w:rPr>
              <w:t xml:space="preserve">参数  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sz w:val="13"/>
                <w:szCs w:val="13"/>
              </w:rPr>
              <w:t>型号</w:t>
            </w:r>
          </w:p>
        </w:tc>
        <w:tc>
          <w:tcPr>
            <w:tcW w:w="2133" w:type="dxa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BTH-I 型</w:t>
            </w:r>
            <w:r>
              <w:rPr>
                <w:sz w:val="13"/>
                <w:szCs w:val="13"/>
              </w:rPr>
              <w:t>摊</w:t>
            </w:r>
            <w:r>
              <w:rPr>
                <w:rFonts w:hint="eastAsia"/>
                <w:sz w:val="13"/>
                <w:szCs w:val="13"/>
              </w:rPr>
              <w:t>烘片</w:t>
            </w:r>
            <w:r>
              <w:rPr>
                <w:sz w:val="13"/>
                <w:szCs w:val="13"/>
              </w:rPr>
              <w:t>一体机</w:t>
            </w:r>
          </w:p>
        </w:tc>
        <w:tc>
          <w:tcPr>
            <w:tcW w:w="2207" w:type="dxa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BTH-Ⅱ 型</w:t>
            </w:r>
            <w:r>
              <w:rPr>
                <w:sz w:val="13"/>
                <w:szCs w:val="13"/>
              </w:rPr>
              <w:t>摊</w:t>
            </w:r>
            <w:r>
              <w:rPr>
                <w:rFonts w:hint="eastAsia"/>
                <w:sz w:val="13"/>
                <w:szCs w:val="13"/>
              </w:rPr>
              <w:t>烘片</w:t>
            </w:r>
            <w:r>
              <w:rPr>
                <w:sz w:val="13"/>
                <w:szCs w:val="13"/>
              </w:rPr>
              <w:t>一体机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4" w:type="dxa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摊</w:t>
            </w:r>
            <w:r>
              <w:rPr>
                <w:sz w:val="13"/>
                <w:szCs w:val="13"/>
              </w:rPr>
              <w:t>烘片一体机尺寸</w:t>
            </w:r>
          </w:p>
        </w:tc>
        <w:tc>
          <w:tcPr>
            <w:tcW w:w="2133" w:type="dxa"/>
          </w:tcPr>
          <w:p>
            <w:pPr>
              <w:jc w:val="center"/>
              <w:rPr>
                <w:rFonts w:hint="eastAsia" w:eastAsia="宋体"/>
                <w:sz w:val="13"/>
                <w:szCs w:val="13"/>
                <w:lang w:val="en-US" w:eastAsia="zh-CN"/>
              </w:rPr>
            </w:pPr>
            <w:bookmarkStart w:id="0" w:name="_GoBack"/>
            <w:r>
              <w:rPr>
                <w:rFonts w:hint="eastAsia"/>
                <w:sz w:val="13"/>
                <w:szCs w:val="13"/>
                <w:lang w:val="en-US" w:eastAsia="zh-CN"/>
              </w:rPr>
              <w:t>695×400×</w:t>
            </w:r>
            <w:r>
              <w:rPr>
                <w:rFonts w:hint="eastAsia"/>
                <w:sz w:val="13"/>
                <w:szCs w:val="13"/>
              </w:rPr>
              <w:t>2</w:t>
            </w:r>
            <w:r>
              <w:rPr>
                <w:rFonts w:hint="eastAsia"/>
                <w:sz w:val="13"/>
                <w:szCs w:val="13"/>
                <w:lang w:val="en-US" w:eastAsia="zh-CN"/>
              </w:rPr>
              <w:t>1</w:t>
            </w:r>
            <w:r>
              <w:rPr>
                <w:rFonts w:hint="eastAsia"/>
                <w:sz w:val="13"/>
                <w:szCs w:val="13"/>
              </w:rPr>
              <w:t>0</w:t>
            </w:r>
            <w:r>
              <w:rPr>
                <w:rFonts w:hint="eastAsia"/>
                <w:sz w:val="13"/>
                <w:szCs w:val="13"/>
                <w:lang w:val="en-US" w:eastAsia="zh-CN"/>
              </w:rPr>
              <w:t>（</w:t>
            </w:r>
            <w:r>
              <w:rPr>
                <w:rFonts w:hint="eastAsia"/>
                <w:sz w:val="13"/>
                <w:szCs w:val="13"/>
              </w:rPr>
              <w:t>mm</w:t>
            </w:r>
            <w:r>
              <w:rPr>
                <w:rFonts w:hint="eastAsia"/>
                <w:sz w:val="13"/>
                <w:szCs w:val="13"/>
                <w:lang w:val="en-US" w:eastAsia="zh-CN"/>
              </w:rPr>
              <w:t>）</w:t>
            </w:r>
            <w:bookmarkEnd w:id="0"/>
          </w:p>
        </w:tc>
        <w:tc>
          <w:tcPr>
            <w:tcW w:w="2207" w:type="dxa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  <w:lang w:val="en-US" w:eastAsia="zh-CN"/>
              </w:rPr>
              <w:t>530×430×145（</w:t>
            </w:r>
            <w:r>
              <w:rPr>
                <w:rFonts w:hint="eastAsia"/>
                <w:sz w:val="13"/>
                <w:szCs w:val="13"/>
              </w:rPr>
              <w:t>mm</w:t>
            </w:r>
            <w:r>
              <w:rPr>
                <w:rFonts w:hint="eastAsia"/>
                <w:sz w:val="13"/>
                <w:szCs w:val="13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4" w:type="dxa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摊片</w:t>
            </w:r>
            <w:r>
              <w:rPr>
                <w:sz w:val="13"/>
                <w:szCs w:val="13"/>
              </w:rPr>
              <w:t>盒尺寸</w:t>
            </w:r>
          </w:p>
        </w:tc>
        <w:tc>
          <w:tcPr>
            <w:tcW w:w="4340" w:type="dxa"/>
            <w:gridSpan w:val="2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  <w:lang w:val="en-US" w:eastAsia="zh-CN"/>
              </w:rPr>
              <w:t>304×207×</w:t>
            </w:r>
            <w:r>
              <w:rPr>
                <w:rFonts w:hint="eastAsia"/>
                <w:sz w:val="13"/>
                <w:szCs w:val="13"/>
              </w:rPr>
              <w:t>5</w:t>
            </w:r>
            <w:r>
              <w:rPr>
                <w:rFonts w:hint="eastAsia"/>
                <w:sz w:val="13"/>
                <w:szCs w:val="13"/>
                <w:lang w:val="en-US" w:eastAsia="zh-CN"/>
              </w:rPr>
              <w:t>2（</w:t>
            </w:r>
            <w:r>
              <w:rPr>
                <w:rFonts w:hint="eastAsia"/>
                <w:sz w:val="13"/>
                <w:szCs w:val="13"/>
              </w:rPr>
              <w:t>mm</w:t>
            </w:r>
            <w:r>
              <w:rPr>
                <w:rFonts w:hint="eastAsia"/>
                <w:sz w:val="13"/>
                <w:szCs w:val="13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4" w:type="dxa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烘片</w:t>
            </w:r>
            <w:r>
              <w:rPr>
                <w:sz w:val="13"/>
                <w:szCs w:val="13"/>
              </w:rPr>
              <w:t>盒尺寸</w:t>
            </w:r>
          </w:p>
        </w:tc>
        <w:tc>
          <w:tcPr>
            <w:tcW w:w="4340" w:type="dxa"/>
            <w:gridSpan w:val="2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  <w:lang w:val="en-US" w:eastAsia="zh-CN"/>
              </w:rPr>
              <w:t>344×260（</w:t>
            </w:r>
            <w:r>
              <w:rPr>
                <w:rFonts w:hint="eastAsia"/>
                <w:sz w:val="13"/>
                <w:szCs w:val="13"/>
              </w:rPr>
              <w:t>mm</w:t>
            </w:r>
            <w:r>
              <w:rPr>
                <w:rFonts w:hint="eastAsia"/>
                <w:sz w:val="13"/>
                <w:szCs w:val="13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4" w:type="dxa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温度</w:t>
            </w:r>
            <w:r>
              <w:rPr>
                <w:sz w:val="13"/>
                <w:szCs w:val="13"/>
              </w:rPr>
              <w:t>设置范围</w:t>
            </w:r>
          </w:p>
        </w:tc>
        <w:tc>
          <w:tcPr>
            <w:tcW w:w="4340" w:type="dxa"/>
            <w:gridSpan w:val="2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室温～90℃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4" w:type="dxa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恒温</w:t>
            </w:r>
            <w:r>
              <w:rPr>
                <w:sz w:val="13"/>
                <w:szCs w:val="13"/>
              </w:rPr>
              <w:t>控制范围</w:t>
            </w:r>
          </w:p>
        </w:tc>
        <w:tc>
          <w:tcPr>
            <w:tcW w:w="4340" w:type="dxa"/>
            <w:gridSpan w:val="2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±2℃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4" w:type="dxa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超温</w:t>
            </w:r>
            <w:r>
              <w:rPr>
                <w:sz w:val="13"/>
                <w:szCs w:val="13"/>
              </w:rPr>
              <w:t>报警范围</w:t>
            </w:r>
          </w:p>
        </w:tc>
        <w:tc>
          <w:tcPr>
            <w:tcW w:w="4340" w:type="dxa"/>
            <w:gridSpan w:val="2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（1～5）℃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4" w:type="dxa"/>
          </w:tcPr>
          <w:p>
            <w:pPr>
              <w:spacing w:line="480" w:lineRule="auto"/>
              <w:jc w:val="center"/>
              <w:rPr>
                <w:rFonts w:hint="eastAsia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电源</w:t>
            </w:r>
            <w:r>
              <w:rPr>
                <w:sz w:val="13"/>
                <w:szCs w:val="13"/>
              </w:rPr>
              <w:t>电压频率</w:t>
            </w:r>
          </w:p>
        </w:tc>
        <w:tc>
          <w:tcPr>
            <w:tcW w:w="4340" w:type="dxa"/>
            <w:gridSpan w:val="2"/>
          </w:tcPr>
          <w:p>
            <w:pPr>
              <w:ind w:firstLine="1040" w:firstLineChars="800"/>
              <w:jc w:val="both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AC 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rFonts w:hint="eastAsia"/>
                <w:sz w:val="13"/>
                <w:szCs w:val="13"/>
              </w:rPr>
              <w:t>(110±10</w:t>
            </w:r>
            <w:r>
              <w:rPr>
                <w:sz w:val="13"/>
                <w:szCs w:val="13"/>
              </w:rPr>
              <w:t>%</w:t>
            </w:r>
            <w:r>
              <w:rPr>
                <w:rFonts w:hint="eastAsia"/>
                <w:sz w:val="13"/>
                <w:szCs w:val="13"/>
              </w:rPr>
              <w:t>)</w:t>
            </w:r>
            <w:r>
              <w:rPr>
                <w:sz w:val="13"/>
                <w:szCs w:val="13"/>
              </w:rPr>
              <w:t xml:space="preserve">V   </w:t>
            </w:r>
            <w:r>
              <w:rPr>
                <w:rFonts w:hint="eastAsia"/>
                <w:sz w:val="13"/>
                <w:szCs w:val="13"/>
              </w:rPr>
              <w:t>(</w:t>
            </w:r>
            <w:r>
              <w:rPr>
                <w:rFonts w:hint="eastAsia"/>
                <w:sz w:val="13"/>
                <w:szCs w:val="13"/>
                <w:lang w:val="en-US" w:eastAsia="zh-CN"/>
              </w:rPr>
              <w:t>60</w:t>
            </w:r>
            <w:r>
              <w:rPr>
                <w:rFonts w:hint="eastAsia"/>
                <w:sz w:val="13"/>
                <w:szCs w:val="13"/>
              </w:rPr>
              <w:t>±10</w:t>
            </w:r>
            <w:r>
              <w:rPr>
                <w:sz w:val="13"/>
                <w:szCs w:val="13"/>
              </w:rPr>
              <w:t>%</w:t>
            </w:r>
            <w:r>
              <w:rPr>
                <w:rFonts w:hint="eastAsia"/>
                <w:sz w:val="13"/>
                <w:szCs w:val="13"/>
              </w:rPr>
              <w:t>)</w:t>
            </w:r>
            <w:r>
              <w:rPr>
                <w:sz w:val="13"/>
                <w:szCs w:val="13"/>
              </w:rPr>
              <w:t>HZ</w:t>
            </w:r>
          </w:p>
          <w:p>
            <w:pPr>
              <w:jc w:val="center"/>
              <w:rPr>
                <w:rFonts w:hint="eastAsia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AC 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rFonts w:hint="eastAsia"/>
                <w:sz w:val="13"/>
                <w:szCs w:val="13"/>
              </w:rPr>
              <w:t>(</w:t>
            </w:r>
            <w:r>
              <w:rPr>
                <w:sz w:val="13"/>
                <w:szCs w:val="13"/>
              </w:rPr>
              <w:t>22</w:t>
            </w:r>
            <w:r>
              <w:rPr>
                <w:rFonts w:hint="eastAsia"/>
                <w:sz w:val="13"/>
                <w:szCs w:val="13"/>
              </w:rPr>
              <w:t>0±10</w:t>
            </w:r>
            <w:r>
              <w:rPr>
                <w:sz w:val="13"/>
                <w:szCs w:val="13"/>
              </w:rPr>
              <w:t>%</w:t>
            </w:r>
            <w:r>
              <w:rPr>
                <w:rFonts w:hint="eastAsia"/>
                <w:sz w:val="13"/>
                <w:szCs w:val="13"/>
              </w:rPr>
              <w:t>)</w:t>
            </w:r>
            <w:r>
              <w:rPr>
                <w:sz w:val="13"/>
                <w:szCs w:val="13"/>
              </w:rPr>
              <w:t>V</w:t>
            </w:r>
            <w:r>
              <w:rPr>
                <w:rFonts w:hint="eastAsia"/>
                <w:sz w:val="13"/>
                <w:szCs w:val="13"/>
                <w:lang w:val="en-US" w:eastAsia="zh-CN"/>
              </w:rPr>
              <w:t xml:space="preserve">  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rFonts w:hint="eastAsia"/>
                <w:sz w:val="13"/>
                <w:szCs w:val="13"/>
              </w:rPr>
              <w:t>(</w:t>
            </w:r>
            <w:r>
              <w:rPr>
                <w:rFonts w:hint="eastAsia"/>
                <w:sz w:val="13"/>
                <w:szCs w:val="13"/>
                <w:lang w:val="en-US" w:eastAsia="zh-CN"/>
              </w:rPr>
              <w:t>50</w:t>
            </w:r>
            <w:r>
              <w:rPr>
                <w:rFonts w:hint="eastAsia"/>
                <w:sz w:val="13"/>
                <w:szCs w:val="13"/>
              </w:rPr>
              <w:t>±10</w:t>
            </w:r>
            <w:r>
              <w:rPr>
                <w:sz w:val="13"/>
                <w:szCs w:val="13"/>
              </w:rPr>
              <w:t>%</w:t>
            </w:r>
            <w:r>
              <w:rPr>
                <w:rFonts w:hint="eastAsia"/>
                <w:sz w:val="13"/>
                <w:szCs w:val="13"/>
              </w:rPr>
              <w:t>)</w:t>
            </w:r>
            <w:r>
              <w:rPr>
                <w:sz w:val="13"/>
                <w:szCs w:val="13"/>
              </w:rPr>
              <w:t>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4" w:type="dxa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功率</w:t>
            </w:r>
          </w:p>
        </w:tc>
        <w:tc>
          <w:tcPr>
            <w:tcW w:w="4340" w:type="dxa"/>
            <w:gridSpan w:val="2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≤</w:t>
            </w:r>
            <w:r>
              <w:rPr>
                <w:rFonts w:hint="eastAsia"/>
                <w:sz w:val="13"/>
                <w:szCs w:val="13"/>
                <w:lang w:val="en-US" w:eastAsia="zh-CN"/>
              </w:rPr>
              <w:t>6</w:t>
            </w:r>
            <w:r>
              <w:rPr>
                <w:rFonts w:hint="eastAsia"/>
                <w:sz w:val="13"/>
                <w:szCs w:val="13"/>
              </w:rPr>
              <w:t>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4" w:type="dxa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净</w:t>
            </w:r>
            <w:r>
              <w:rPr>
                <w:sz w:val="13"/>
                <w:szCs w:val="13"/>
              </w:rPr>
              <w:t>重量</w:t>
            </w:r>
          </w:p>
        </w:tc>
        <w:tc>
          <w:tcPr>
            <w:tcW w:w="2133" w:type="dxa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  <w:lang w:val="en-US" w:eastAsia="zh-CN"/>
              </w:rPr>
              <w:t>20</w:t>
            </w:r>
            <w:r>
              <w:rPr>
                <w:sz w:val="13"/>
                <w:szCs w:val="13"/>
              </w:rPr>
              <w:t>kg</w:t>
            </w:r>
          </w:p>
        </w:tc>
        <w:tc>
          <w:tcPr>
            <w:tcW w:w="2207" w:type="dxa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  <w:lang w:val="en-US" w:eastAsia="zh-CN"/>
              </w:rPr>
              <w:t>15</w:t>
            </w:r>
            <w:r>
              <w:rPr>
                <w:sz w:val="13"/>
                <w:szCs w:val="13"/>
              </w:rPr>
              <w:t>kg</w:t>
            </w:r>
          </w:p>
        </w:tc>
      </w:tr>
    </w:tbl>
    <w:p>
      <w:pPr>
        <w:jc w:val="left"/>
      </w:pPr>
    </w:p>
    <w:p>
      <w:pPr>
        <w:jc w:val="left"/>
      </w:pPr>
    </w:p>
    <w:p/>
    <w:sectPr>
      <w:pgSz w:w="11906" w:h="16838"/>
      <w:pgMar w:top="1417" w:right="1474" w:bottom="1417" w:left="1474" w:header="1077" w:footer="624" w:gutter="0"/>
      <w:cols w:space="0" w:num="1"/>
      <w:rtlGutter w:val="0"/>
      <w:docGrid w:type="lines" w:linePitch="33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99391C"/>
    <w:multiLevelType w:val="multilevel"/>
    <w:tmpl w:val="BE99391C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4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7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8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9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10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11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2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3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26E75"/>
    <w:rsid w:val="0BD74DCB"/>
    <w:rsid w:val="18ED2C7E"/>
    <w:rsid w:val="1BEE22D9"/>
    <w:rsid w:val="1D303C0B"/>
    <w:rsid w:val="258A3D9E"/>
    <w:rsid w:val="26D701DF"/>
    <w:rsid w:val="3A8A0EBB"/>
    <w:rsid w:val="3AF26E75"/>
    <w:rsid w:val="42AB7B72"/>
    <w:rsid w:val="47312397"/>
    <w:rsid w:val="4A562640"/>
    <w:rsid w:val="4E546794"/>
    <w:rsid w:val="525D3821"/>
    <w:rsid w:val="69414612"/>
    <w:rsid w:val="69B11B40"/>
    <w:rsid w:val="6CA413DA"/>
    <w:rsid w:val="724D2AA3"/>
    <w:rsid w:val="753773C2"/>
    <w:rsid w:val="762B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lang w:val="en-US" w:eastAsia="zh-CN" w:bidi="ar-SA"/>
    </w:rPr>
  </w:style>
  <w:style w:type="paragraph" w:styleId="2">
    <w:name w:val="heading 1"/>
    <w:basedOn w:val="3"/>
    <w:next w:val="3"/>
    <w:link w:val="19"/>
    <w:qFormat/>
    <w:uiPriority w:val="0"/>
    <w:pPr>
      <w:keepNext/>
      <w:numPr>
        <w:ilvl w:val="0"/>
        <w:numId w:val="1"/>
      </w:numPr>
      <w:tabs>
        <w:tab w:val="left" w:pos="0"/>
      </w:tabs>
      <w:ind w:left="432" w:hanging="432"/>
      <w:outlineLvl w:val="0"/>
    </w:pPr>
    <w:rPr>
      <w:rFonts w:ascii="Times New Roman" w:hAnsi="Times New Roman" w:eastAsia="黑体"/>
      <w:spacing w:val="24"/>
      <w:sz w:val="36"/>
    </w:rPr>
  </w:style>
  <w:style w:type="paragraph" w:styleId="4">
    <w:name w:val="heading 2"/>
    <w:basedOn w:val="5"/>
    <w:next w:val="6"/>
    <w:link w:val="18"/>
    <w:semiHidden/>
    <w:unhideWhenUsed/>
    <w:qFormat/>
    <w:uiPriority w:val="0"/>
    <w:pPr>
      <w:keepNext/>
      <w:keepLines/>
      <w:numPr>
        <w:ilvl w:val="1"/>
        <w:numId w:val="1"/>
      </w:numPr>
      <w:tabs>
        <w:tab w:val="left" w:pos="576"/>
      </w:tabs>
      <w:spacing w:before="20" w:after="20" w:line="240" w:lineRule="auto"/>
      <w:ind w:left="575" w:leftChars="0" w:hanging="575"/>
      <w:jc w:val="left"/>
      <w:outlineLvl w:val="1"/>
    </w:pPr>
    <w:rPr>
      <w:rFonts w:ascii="Arial" w:hAnsi="Arial"/>
      <w:b/>
      <w:szCs w:val="22"/>
    </w:rPr>
  </w:style>
  <w:style w:type="paragraph" w:styleId="7">
    <w:name w:val="heading 3"/>
    <w:basedOn w:val="1"/>
    <w:next w:val="1"/>
    <w:link w:val="20"/>
    <w:semiHidden/>
    <w:unhideWhenUsed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ind w:left="720" w:hanging="720"/>
      <w:outlineLvl w:val="2"/>
    </w:pPr>
    <w:rPr>
      <w:rFonts w:eastAsia="黑体"/>
      <w:b/>
      <w:bCs/>
      <w:sz w:val="28"/>
      <w:szCs w:val="32"/>
    </w:rPr>
  </w:style>
  <w:style w:type="paragraph" w:styleId="8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9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10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11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2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3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5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6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  <w:style w:type="paragraph" w:styleId="14">
    <w:name w:val="toc 3"/>
    <w:basedOn w:val="1"/>
    <w:next w:val="1"/>
    <w:qFormat/>
    <w:uiPriority w:val="0"/>
    <w:pPr>
      <w:ind w:left="840" w:leftChars="400"/>
    </w:pPr>
  </w:style>
  <w:style w:type="table" w:styleId="16">
    <w:name w:val="Table Grid"/>
    <w:basedOn w:val="1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标题 2 Char"/>
    <w:basedOn w:val="17"/>
    <w:link w:val="4"/>
    <w:qFormat/>
    <w:uiPriority w:val="0"/>
    <w:rPr>
      <w:rFonts w:ascii="Arial" w:hAnsi="Arial" w:eastAsia="宋体"/>
      <w:b/>
      <w:sz w:val="24"/>
      <w:szCs w:val="22"/>
    </w:rPr>
  </w:style>
  <w:style w:type="character" w:customStyle="1" w:styleId="19">
    <w:name w:val="标题 1 Char"/>
    <w:basedOn w:val="17"/>
    <w:link w:val="2"/>
    <w:qFormat/>
    <w:uiPriority w:val="0"/>
    <w:rPr>
      <w:rFonts w:ascii="Calibri" w:hAnsi="Calibri" w:eastAsia="宋体"/>
      <w:b/>
      <w:bCs/>
      <w:kern w:val="44"/>
      <w:sz w:val="24"/>
      <w:szCs w:val="44"/>
    </w:rPr>
  </w:style>
  <w:style w:type="character" w:customStyle="1" w:styleId="20">
    <w:name w:val="标题 3 Char"/>
    <w:basedOn w:val="17"/>
    <w:link w:val="7"/>
    <w:semiHidden/>
    <w:qFormat/>
    <w:uiPriority w:val="9"/>
    <w:rPr>
      <w:rFonts w:eastAsia="黑体"/>
      <w:b/>
      <w:bCs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2019-08-24T06:50:00Z</dcterms:created>
  <dc:creator>博科防护-王彦飞</dc:creator>
  <cp:lastModifiedBy>陈吉恒</cp:lastModifiedBy>
  <dcterms:modified xsi:type="dcterms:W3CDTF">2021-11-03T01:36:56Z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CB0B68BFD7F64A2C88E166B5768285A2</vt:lpwstr>
  </property>
</Properties>
</file>