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BK-32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01婴儿培养箱参数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11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技术参数/型号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BK-3201(高）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BK-3201(中）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氧浓度控制精度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±5%氧体积浓度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氧浓度控制范围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21%~60%（每次调整1%）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电源尺寸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AC220V/50HZ,1320VA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外形尺寸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950（长）×645（宽）×（1320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~</w:t>
            </w:r>
            <w:r>
              <w:rPr>
                <w:rFonts w:hint="eastAsia"/>
                <w:sz w:val="24"/>
              </w:rPr>
              <w:t>1520）（高）mm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温度控制模式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肤温模式；箱温模式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显示方式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液晶屏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升温时间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不大于30min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温度可变性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不大于0.5℃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温度均匀性（床垫水平位置）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不大于0.8℃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温度均匀性（床垫倾斜位置）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不大于1.0℃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箱温控制温度范围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25.0℃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~</w:t>
            </w:r>
            <w:r>
              <w:rPr>
                <w:rFonts w:hint="eastAsia"/>
                <w:sz w:val="24"/>
              </w:rPr>
              <w:t>37.0℃；37.1℃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~</w:t>
            </w:r>
            <w:r>
              <w:rPr>
                <w:rFonts w:hint="eastAsia"/>
                <w:sz w:val="24"/>
              </w:rPr>
              <w:t>39.0℃（跨越模式）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肤温控制温度范围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34.0℃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~</w:t>
            </w:r>
            <w:r>
              <w:rPr>
                <w:rFonts w:hint="eastAsia"/>
                <w:sz w:val="24"/>
              </w:rPr>
              <w:t>37.0℃；37.1℃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~</w:t>
            </w:r>
            <w:r>
              <w:rPr>
                <w:rFonts w:hint="eastAsia"/>
                <w:sz w:val="24"/>
              </w:rPr>
              <w:t>38.0℃（跨越模式）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湿度控制精度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湿度控制范围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CAH%RH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~</w:t>
            </w:r>
            <w:r>
              <w:rPr>
                <w:rFonts w:hint="eastAsia"/>
                <w:sz w:val="24"/>
              </w:rPr>
              <w:t>90%RH（每次调整1%）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皮肤温度传感器温度与控制温度之差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不大于0.7℃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平均培养箱温度与控制温度之差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不大于1.5℃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产品性能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具有箱温控制和肤温监测功能；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24h实时温度显示；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LED液晶显示，具有信息储存和查阅功能；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具有湿度显示和控制功能，氧浓度显示和控制功能；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24种安全和故障报警；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＞37℃温度设定功能，双层恒温罩；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嵌入式集成传感器盒，抽屉式和加热集成水箱；</w:t>
      </w:r>
    </w:p>
    <w:p>
      <w:pPr>
        <w:numPr>
          <w:ilvl w:val="0"/>
          <w:numId w:val="1"/>
        </w:numPr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婴儿床倾斜角度无级可调，具有整机高度调节功能.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89BEE"/>
    <w:multiLevelType w:val="singleLevel"/>
    <w:tmpl w:val="EF789B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A768B0"/>
    <w:rsid w:val="000254DE"/>
    <w:rsid w:val="001C2FA8"/>
    <w:rsid w:val="00451B08"/>
    <w:rsid w:val="00581397"/>
    <w:rsid w:val="005C35BD"/>
    <w:rsid w:val="005D6BB6"/>
    <w:rsid w:val="007D458E"/>
    <w:rsid w:val="00BF2422"/>
    <w:rsid w:val="00D406BC"/>
    <w:rsid w:val="00F970E2"/>
    <w:rsid w:val="01044EC0"/>
    <w:rsid w:val="69A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105</TotalTime>
  <ScaleCrop>false</ScaleCrop>
  <LinksUpToDate>false</LinksUpToDate>
  <CharactersWithSpaces>644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2022-02-15T07:45:00Z</dcterms:created>
  <dc:creator>WPS_1644114132</dc:creator>
  <cp:lastModifiedBy>wangshouzhong</cp:lastModifiedBy>
  <dcterms:modified xsi:type="dcterms:W3CDTF">2022-03-07T07:47:56Z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E3D02B11A4804554A61A67969B33B745</vt:lpwstr>
  </property>
</Properties>
</file>