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包埋机</w:t>
      </w:r>
    </w:p>
    <w:p>
      <w:pPr>
        <w:jc w:val="left"/>
        <w:rPr>
          <w:rFonts w:hint="eastAsia"/>
        </w:rPr>
      </w:pPr>
      <w:r>
        <w:rPr>
          <w:rFonts w:hint="eastAsia"/>
        </w:rPr>
        <w:t>生物组织包埋机，又称石蜡包埋机（以下简称包埋机），是对人体或动植物标本经脱水浸蜡后进行组织蜡块包埋，以供切片后作组织学诊断或研究的设备，是进行病理组织包埋的常用仪器。</w:t>
      </w:r>
    </w:p>
    <w:p>
      <w:pPr>
        <w:ind w:firstLine="400" w:firstLineChars="200"/>
        <w:jc w:val="left"/>
        <w:rPr>
          <w:rFonts w:hint="eastAsia"/>
        </w:rPr>
      </w:pPr>
      <w:r>
        <w:rPr>
          <w:rFonts w:hint="eastAsia"/>
        </w:rPr>
        <w:t>使用常规技术制作切片或超薄切片时，由于组织是柔软的，或局部的软硬不均，这样制作厚薄均匀的切片是困难的。所以有必要用一定物质浸透组织内部，整个组织一样硬化。包埋机可以先将熔化的石蜡注入包埋托内(模具)，而后用镊子将经过浸蜡的组织块从脱水盒中取出，放入包埋托中央，放在小冷台上，用镊子轻按组织块，以达到组织块平整，盖上脱水盒底，再加好石蜡，移至冷冻台上，待冷冻好后，卸下组织蜡块待切。</w:t>
      </w:r>
    </w:p>
    <w:p>
      <w:pPr>
        <w:ind w:firstLine="400" w:firstLineChars="200"/>
        <w:jc w:val="left"/>
      </w:pPr>
      <w:r>
        <w:rPr>
          <w:rFonts w:hint="eastAsia"/>
        </w:rPr>
        <w:t>型包埋机是一款符合人体工程学设计的嵌入式系统的生物组织包埋机，专供熟悉组织嵌入式技术和实验室设备、且经过适当培训的专业人员在实验室使用。</w:t>
      </w:r>
    </w:p>
    <w:p>
      <w:pPr>
        <w:jc w:val="center"/>
        <w:rPr>
          <w:rFonts w:hint="eastAsia" w:eastAsia="宋体"/>
          <w:lang w:eastAsia="zh-CN"/>
        </w:rPr>
      </w:pPr>
      <w:r>
        <w:rPr>
          <w:rFonts w:hint="eastAsia" w:eastAsia="宋体"/>
          <w:lang w:eastAsia="zh-CN"/>
        </w:rPr>
        <w:drawing>
          <wp:inline distT="0" distB="0" distL="114300" distR="114300">
            <wp:extent cx="1073785" cy="1432560"/>
            <wp:effectExtent l="0" t="0" r="12065" b="15240"/>
            <wp:docPr id="5" name="图片 5" descr="d8367b5144a9f4864d2bbafcd69a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8367b5144a9f4864d2bbafcd69a5ac"/>
                    <pic:cNvPicPr>
                      <a:picLocks noChangeAspect="1"/>
                    </pic:cNvPicPr>
                  </pic:nvPicPr>
                  <pic:blipFill>
                    <a:blip r:embed="rId4"/>
                    <a:stretch>
                      <a:fillRect/>
                    </a:stretch>
                  </pic:blipFill>
                  <pic:spPr>
                    <a:xfrm>
                      <a:off x="0" y="0"/>
                      <a:ext cx="1073785" cy="1432560"/>
                    </a:xfrm>
                    <a:prstGeom prst="rect">
                      <a:avLst/>
                    </a:prstGeom>
                  </pic:spPr>
                </pic:pic>
              </a:graphicData>
            </a:graphic>
          </wp:inline>
        </w:drawing>
      </w:r>
    </w:p>
    <w:p>
      <w:pPr>
        <w:jc w:val="left"/>
      </w:pPr>
      <w:r>
        <w:rPr>
          <w:rFonts w:hint="eastAsia"/>
        </w:rPr>
        <w:t>产品特点</w:t>
      </w:r>
      <w:r>
        <w:t>：全自动程序控制，可预设一周内任</w:t>
      </w:r>
      <w:r>
        <w:rPr>
          <w:rFonts w:hint="eastAsia"/>
        </w:rPr>
        <w:t>一</w:t>
      </w:r>
      <w:r>
        <w:t>天开机</w:t>
      </w:r>
    </w:p>
    <w:p>
      <w:pPr>
        <w:jc w:val="left"/>
      </w:pPr>
      <w:r>
        <w:t xml:space="preserve">          </w:t>
      </w:r>
      <w:r>
        <w:rPr>
          <w:rFonts w:hint="eastAsia"/>
        </w:rPr>
        <w:t>温度</w:t>
      </w:r>
      <w:r>
        <w:t>控制采用单片机微处理控制</w:t>
      </w:r>
      <w:r>
        <w:rPr>
          <w:rFonts w:hint="eastAsia"/>
        </w:rPr>
        <w:t>器</w:t>
      </w:r>
      <w:r>
        <w:t>，温度设置简单</w:t>
      </w:r>
    </w:p>
    <w:p>
      <w:pPr>
        <w:jc w:val="left"/>
      </w:pPr>
      <w:r>
        <w:rPr>
          <w:rFonts w:hint="eastAsia"/>
        </w:rPr>
        <w:t xml:space="preserve">          高亮度LCD显示</w:t>
      </w:r>
      <w:r>
        <w:t>屏，实时显示设备工作状态，简单明了</w:t>
      </w:r>
    </w:p>
    <w:p>
      <w:pPr>
        <w:jc w:val="left"/>
      </w:pPr>
      <w:r>
        <w:t xml:space="preserve">          </w:t>
      </w:r>
      <w:r>
        <w:rPr>
          <w:rFonts w:hint="eastAsia"/>
        </w:rPr>
        <w:t>国际</w:t>
      </w:r>
      <w:r>
        <w:t>先进的柔性加</w:t>
      </w:r>
      <w:r>
        <w:rPr>
          <w:rFonts w:hint="eastAsia"/>
        </w:rPr>
        <w:t>温</w:t>
      </w:r>
      <w:r>
        <w:t>理念，</w:t>
      </w:r>
      <w:r>
        <w:rPr>
          <w:rFonts w:hint="eastAsia"/>
        </w:rPr>
        <w:t>克服</w:t>
      </w:r>
      <w:r>
        <w:t>传统加热</w:t>
      </w:r>
      <w:r>
        <w:rPr>
          <w:rFonts w:hint="eastAsia"/>
        </w:rPr>
        <w:t>温差</w:t>
      </w:r>
      <w:r>
        <w:t>过大的缺点，加热快，精度高</w:t>
      </w:r>
    </w:p>
    <w:p>
      <w:pPr>
        <w:jc w:val="left"/>
      </w:pPr>
      <w:r>
        <w:t xml:space="preserve">          5</w:t>
      </w:r>
      <w:r>
        <w:rPr>
          <w:rFonts w:hint="eastAsia"/>
        </w:rPr>
        <w:t>路</w:t>
      </w:r>
      <w:r>
        <w:t>温度控制</w:t>
      </w:r>
      <w:r>
        <w:rPr>
          <w:rFonts w:hint="eastAsia"/>
        </w:rPr>
        <w:t>和</w:t>
      </w:r>
      <w:r>
        <w:t>多重过热</w:t>
      </w:r>
      <w:r>
        <w:rPr>
          <w:rFonts w:hint="eastAsia"/>
        </w:rPr>
        <w:t>保护</w:t>
      </w:r>
      <w:r>
        <w:t>装置，避免超温导致石蜡收缩大</w:t>
      </w:r>
      <w:r>
        <w:rPr>
          <w:rFonts w:hint="eastAsia"/>
        </w:rPr>
        <w:t>破</w:t>
      </w:r>
      <w:r>
        <w:t>坏</w:t>
      </w:r>
      <w:r>
        <w:rPr>
          <w:rFonts w:hint="eastAsia"/>
        </w:rPr>
        <w:t>组织</w:t>
      </w:r>
      <w:r>
        <w:t>样本</w:t>
      </w:r>
    </w:p>
    <w:p>
      <w:pPr>
        <w:jc w:val="left"/>
      </w:pPr>
      <w:r>
        <w:t xml:space="preserve">          </w:t>
      </w:r>
      <w:r>
        <w:rPr>
          <w:rFonts w:hint="eastAsia"/>
        </w:rPr>
        <w:t>具有</w:t>
      </w:r>
      <w:r>
        <w:t>记忆功能，自动保留设置温度</w:t>
      </w:r>
    </w:p>
    <w:p>
      <w:pPr>
        <w:jc w:val="left"/>
      </w:pPr>
      <w:r>
        <w:t xml:space="preserve">          </w:t>
      </w:r>
      <w:r>
        <w:rPr>
          <w:rFonts w:hint="eastAsia"/>
        </w:rPr>
        <w:t>采用</w:t>
      </w:r>
      <w:r>
        <w:t>新型的发热</w:t>
      </w:r>
      <w:r>
        <w:rPr>
          <w:rFonts w:hint="eastAsia"/>
        </w:rPr>
        <w:t>元件</w:t>
      </w:r>
      <w:r>
        <w:t>，</w:t>
      </w:r>
      <w:r>
        <w:rPr>
          <w:rFonts w:hint="eastAsia"/>
        </w:rPr>
        <w:t>加热快</w:t>
      </w:r>
      <w:r>
        <w:t xml:space="preserve">、受热均匀，节能可靠 </w:t>
      </w:r>
    </w:p>
    <w:p>
      <w:pPr>
        <w:jc w:val="left"/>
      </w:pPr>
      <w:r>
        <w:t xml:space="preserve">          </w:t>
      </w:r>
      <w:r>
        <w:rPr>
          <w:rFonts w:hint="eastAsia"/>
        </w:rPr>
        <w:t>高</w:t>
      </w:r>
      <w:r>
        <w:t>灵敏温控集成单元</w:t>
      </w:r>
      <w:r>
        <w:rPr>
          <w:rFonts w:hint="eastAsia"/>
        </w:rPr>
        <w:t>，</w:t>
      </w:r>
      <w:r>
        <w:t>精度高，性能可靠</w:t>
      </w:r>
    </w:p>
    <w:p>
      <w:pPr>
        <w:jc w:val="left"/>
      </w:pPr>
      <w:r>
        <w:rPr>
          <w:rFonts w:hint="eastAsia"/>
        </w:rPr>
        <w:t xml:space="preserve">          手动</w:t>
      </w:r>
      <w:r>
        <w:t>、</w:t>
      </w:r>
      <w:r>
        <w:rPr>
          <w:rFonts w:hint="eastAsia"/>
        </w:rPr>
        <w:t>脚踏</w:t>
      </w:r>
      <w:r>
        <w:t>双控制流蜡设计，包埋操作更方便</w:t>
      </w:r>
    </w:p>
    <w:p>
      <w:pPr>
        <w:jc w:val="left"/>
      </w:pPr>
      <w:r>
        <w:t xml:space="preserve">          </w:t>
      </w:r>
      <w:r>
        <w:rPr>
          <w:rFonts w:hint="eastAsia"/>
        </w:rPr>
        <w:t>蜡嘴</w:t>
      </w:r>
      <w:r>
        <w:t>流量可控，</w:t>
      </w:r>
      <w:r>
        <w:rPr>
          <w:rFonts w:hint="eastAsia"/>
        </w:rPr>
        <w:t>适合</w:t>
      </w:r>
      <w:r>
        <w:t>各种组织包埋处理</w:t>
      </w:r>
    </w:p>
    <w:p>
      <w:pPr>
        <w:jc w:val="left"/>
        <w:rPr>
          <w:rFonts w:hint="eastAsia"/>
        </w:rPr>
      </w:pPr>
      <w:r>
        <w:t xml:space="preserve">          </w:t>
      </w:r>
      <w:r>
        <w:rPr>
          <w:rFonts w:hint="eastAsia"/>
        </w:rPr>
        <w:t>超大</w:t>
      </w:r>
      <w:r>
        <w:t>实芯理化板作业台，耐磨抗腐蚀性</w:t>
      </w:r>
      <w:r>
        <w:rPr>
          <w:rFonts w:hint="eastAsia"/>
        </w:rPr>
        <w:t>强</w:t>
      </w:r>
      <w:r>
        <w:t>，石蜡清理方便</w:t>
      </w:r>
    </w:p>
    <w:p>
      <w:pPr>
        <w:jc w:val="left"/>
        <w:rPr>
          <w:rFonts w:hint="eastAsia" w:ascii="宋体" w:hAnsi="宋体" w:eastAsia="宋体" w:cs="宋体"/>
          <w:sz w:val="21"/>
          <w:szCs w:val="21"/>
        </w:rPr>
      </w:pPr>
      <w:r>
        <w:rPr>
          <w:rFonts w:hint="eastAsia" w:ascii="宋体" w:hAnsi="宋体" w:eastAsia="宋体" w:cs="宋体"/>
          <w:sz w:val="21"/>
          <w:szCs w:val="21"/>
        </w:rPr>
        <w:t>技术参数：</w:t>
      </w:r>
    </w:p>
    <w:tbl>
      <w:tblPr>
        <w:tblStyle w:val="15"/>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2320"/>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911" w:type="dxa"/>
            <w:gridSpan w:val="2"/>
            <w:tcBorders>
              <w:tl2br w:val="single" w:color="auto" w:sz="4" w:space="0"/>
            </w:tcBorders>
            <w:noWrap w:val="0"/>
            <w:vAlign w:val="center"/>
          </w:tcPr>
          <w:p>
            <w:pPr>
              <w:jc w:val="center"/>
              <w:rPr>
                <w:rFonts w:hint="eastAsia"/>
                <w:sz w:val="13"/>
                <w:szCs w:val="13"/>
                <w:lang w:val="en-US" w:eastAsia="zh-CN"/>
              </w:rPr>
            </w:pPr>
            <w:r>
              <w:rPr>
                <w:rFonts w:hint="eastAsia"/>
                <w:sz w:val="13"/>
                <w:szCs w:val="13"/>
                <w:lang w:val="en-US" w:eastAsia="zh-CN"/>
              </w:rPr>
              <w:t>型号</w:t>
            </w:r>
          </w:p>
          <w:p>
            <w:pPr>
              <w:jc w:val="center"/>
              <w:rPr>
                <w:rFonts w:hint="eastAsia"/>
                <w:sz w:val="13"/>
                <w:szCs w:val="13"/>
                <w:lang w:val="en-US" w:eastAsia="zh-CN"/>
              </w:rPr>
            </w:pPr>
            <w:r>
              <w:rPr>
                <w:rFonts w:hint="eastAsia"/>
                <w:sz w:val="13"/>
                <w:szCs w:val="13"/>
                <w:lang w:val="en-US" w:eastAsia="zh-CN"/>
              </w:rPr>
              <w:t>参数</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BK-TEⅠ型包埋机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医疗器械备案号</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鲁济械备20180054号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额定电压</w:t>
            </w:r>
          </w:p>
        </w:tc>
        <w:tc>
          <w:tcPr>
            <w:tcW w:w="4511" w:type="dxa"/>
            <w:noWrap w:val="0"/>
            <w:vAlign w:val="center"/>
          </w:tcPr>
          <w:p>
            <w:pPr>
              <w:jc w:val="center"/>
              <w:rPr>
                <w:rFonts w:hint="default"/>
                <w:sz w:val="13"/>
                <w:szCs w:val="13"/>
                <w:lang w:val="en-US" w:eastAsia="zh-CN"/>
              </w:rPr>
            </w:pPr>
            <w:r>
              <w:rPr>
                <w:rFonts w:hint="eastAsia"/>
                <w:sz w:val="13"/>
                <w:szCs w:val="13"/>
                <w:lang w:val="en-US" w:eastAsia="zh-CN"/>
              </w:rPr>
              <w:t>AC（220±10%）V    AC（110±10%）V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额定频率</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（50 ±10%）Hz    （60 ±10%）Hz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加热器温度设定范围</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加热器温度控制范围</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自动运行定时设定范围</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任意时间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外形尺寸</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550×525×420</w:t>
            </w:r>
            <w:r>
              <w:rPr>
                <w:rFonts w:hint="eastAsia"/>
                <w:sz w:val="13"/>
                <w:szCs w:val="13"/>
                <w:lang w:eastAsia="zh-CN"/>
              </w:rPr>
              <w:t>（</w:t>
            </w:r>
            <w:r>
              <w:rPr>
                <w:rFonts w:hint="eastAsia"/>
                <w:sz w:val="13"/>
                <w:szCs w:val="13"/>
              </w:rPr>
              <w:t>mm</w:t>
            </w:r>
            <w:r>
              <w:rPr>
                <w:rFonts w:hint="eastAsia"/>
                <w:sz w:val="13"/>
                <w:szCs w:val="1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591" w:type="dxa"/>
            <w:vMerge w:val="restart"/>
            <w:noWrap w:val="0"/>
            <w:vAlign w:val="center"/>
          </w:tcPr>
          <w:p>
            <w:pPr>
              <w:jc w:val="center"/>
              <w:rPr>
                <w:rFonts w:hint="eastAsia"/>
                <w:sz w:val="13"/>
                <w:szCs w:val="13"/>
                <w:lang w:val="en-US" w:eastAsia="zh-CN"/>
              </w:rPr>
            </w:pPr>
            <w:r>
              <w:rPr>
                <w:rFonts w:hint="eastAsia"/>
                <w:sz w:val="13"/>
                <w:szCs w:val="13"/>
                <w:lang w:val="en-US" w:eastAsia="zh-CN"/>
              </w:rPr>
              <w:t>工作区尺寸</w:t>
            </w:r>
          </w:p>
        </w:tc>
        <w:tc>
          <w:tcPr>
            <w:tcW w:w="2320" w:type="dxa"/>
            <w:noWrap w:val="0"/>
            <w:vAlign w:val="center"/>
          </w:tcPr>
          <w:p>
            <w:pPr>
              <w:jc w:val="center"/>
              <w:rPr>
                <w:rFonts w:hint="eastAsia"/>
                <w:sz w:val="13"/>
                <w:szCs w:val="13"/>
                <w:lang w:val="en-US" w:eastAsia="zh-CN"/>
              </w:rPr>
            </w:pPr>
            <w:r>
              <w:rPr>
                <w:rFonts w:hint="eastAsia"/>
                <w:sz w:val="13"/>
                <w:szCs w:val="13"/>
                <w:lang w:val="en-US" w:eastAsia="zh-CN"/>
              </w:rPr>
              <w:t>蜡缸容积</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350×145×67</w:t>
            </w:r>
            <w:r>
              <w:rPr>
                <w:rFonts w:hint="eastAsia"/>
                <w:sz w:val="13"/>
                <w:szCs w:val="13"/>
                <w:lang w:eastAsia="zh-CN"/>
              </w:rPr>
              <w:t>（</w:t>
            </w:r>
            <w:r>
              <w:rPr>
                <w:rFonts w:hint="eastAsia"/>
                <w:sz w:val="13"/>
                <w:szCs w:val="13"/>
              </w:rPr>
              <w:t>mm</w:t>
            </w:r>
            <w:r>
              <w:rPr>
                <w:rFonts w:hint="eastAsia"/>
                <w:sz w:val="13"/>
                <w:szCs w:val="1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591" w:type="dxa"/>
            <w:vMerge w:val="continue"/>
            <w:noWrap w:val="0"/>
            <w:vAlign w:val="center"/>
          </w:tcPr>
          <w:p>
            <w:pPr>
              <w:jc w:val="center"/>
              <w:rPr>
                <w:rFonts w:hint="eastAsia"/>
                <w:sz w:val="13"/>
                <w:szCs w:val="13"/>
                <w:lang w:val="en-US" w:eastAsia="zh-CN"/>
              </w:rPr>
            </w:pPr>
          </w:p>
        </w:tc>
        <w:tc>
          <w:tcPr>
            <w:tcW w:w="2320" w:type="dxa"/>
            <w:noWrap w:val="0"/>
            <w:vAlign w:val="center"/>
          </w:tcPr>
          <w:p>
            <w:pPr>
              <w:jc w:val="center"/>
              <w:rPr>
                <w:rFonts w:hint="eastAsia"/>
                <w:sz w:val="13"/>
                <w:szCs w:val="13"/>
                <w:lang w:val="en-US" w:eastAsia="zh-CN"/>
              </w:rPr>
            </w:pPr>
            <w:r>
              <w:rPr>
                <w:rFonts w:hint="eastAsia"/>
                <w:sz w:val="13"/>
                <w:szCs w:val="13"/>
                <w:lang w:val="en-US" w:eastAsia="zh-CN"/>
              </w:rPr>
              <w:t>保存盒容积</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201×106×59</w:t>
            </w:r>
            <w:r>
              <w:rPr>
                <w:rFonts w:hint="eastAsia"/>
                <w:sz w:val="13"/>
                <w:szCs w:val="13"/>
                <w:lang w:eastAsia="zh-CN"/>
              </w:rPr>
              <w:t>（</w:t>
            </w:r>
            <w:r>
              <w:rPr>
                <w:rFonts w:hint="eastAsia"/>
                <w:sz w:val="13"/>
                <w:szCs w:val="13"/>
              </w:rPr>
              <w:t>mm</w:t>
            </w:r>
            <w:r>
              <w:rPr>
                <w:rFonts w:hint="eastAsia"/>
                <w:sz w:val="13"/>
                <w:szCs w:val="13"/>
                <w:lang w:eastAsia="zh-CN"/>
              </w:rPr>
              <w:t>）</w:t>
            </w:r>
            <w:r>
              <w:rPr>
                <w:rFonts w:hint="eastAsia"/>
                <w:sz w:val="13"/>
                <w:szCs w:val="13"/>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591" w:type="dxa"/>
            <w:vMerge w:val="continue"/>
            <w:noWrap w:val="0"/>
            <w:vAlign w:val="center"/>
          </w:tcPr>
          <w:p>
            <w:pPr>
              <w:jc w:val="center"/>
              <w:rPr>
                <w:rFonts w:hint="eastAsia"/>
                <w:sz w:val="13"/>
                <w:szCs w:val="13"/>
                <w:lang w:val="en-US" w:eastAsia="zh-CN"/>
              </w:rPr>
            </w:pPr>
          </w:p>
        </w:tc>
        <w:tc>
          <w:tcPr>
            <w:tcW w:w="2320" w:type="dxa"/>
            <w:noWrap w:val="0"/>
            <w:vAlign w:val="center"/>
          </w:tcPr>
          <w:p>
            <w:pPr>
              <w:jc w:val="center"/>
              <w:rPr>
                <w:rFonts w:hint="eastAsia"/>
                <w:sz w:val="13"/>
                <w:szCs w:val="13"/>
                <w:lang w:val="en-US" w:eastAsia="zh-CN"/>
              </w:rPr>
            </w:pPr>
            <w:r>
              <w:rPr>
                <w:rFonts w:hint="eastAsia"/>
                <w:sz w:val="13"/>
                <w:szCs w:val="13"/>
                <w:lang w:val="en-US" w:eastAsia="zh-CN"/>
              </w:rPr>
              <w:t>包埋工作台面积</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180×120</w:t>
            </w:r>
            <w:r>
              <w:rPr>
                <w:rFonts w:hint="eastAsia"/>
                <w:sz w:val="13"/>
                <w:szCs w:val="13"/>
                <w:lang w:eastAsia="zh-CN"/>
              </w:rPr>
              <w:t>（</w:t>
            </w:r>
            <w:r>
              <w:rPr>
                <w:rFonts w:hint="eastAsia"/>
                <w:sz w:val="13"/>
                <w:szCs w:val="13"/>
              </w:rPr>
              <w:t>mm</w:t>
            </w:r>
            <w:r>
              <w:rPr>
                <w:rFonts w:hint="eastAsia"/>
                <w:sz w:val="13"/>
                <w:szCs w:val="13"/>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功率</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≤500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1" w:type="dxa"/>
            <w:gridSpan w:val="2"/>
            <w:noWrap w:val="0"/>
            <w:vAlign w:val="center"/>
          </w:tcPr>
          <w:p>
            <w:pPr>
              <w:jc w:val="center"/>
              <w:rPr>
                <w:rFonts w:hint="eastAsia"/>
                <w:sz w:val="13"/>
                <w:szCs w:val="13"/>
                <w:lang w:val="en-US" w:eastAsia="zh-CN"/>
              </w:rPr>
            </w:pPr>
            <w:r>
              <w:rPr>
                <w:rFonts w:hint="eastAsia"/>
                <w:sz w:val="13"/>
                <w:szCs w:val="13"/>
                <w:lang w:val="en-US" w:eastAsia="zh-CN"/>
              </w:rPr>
              <w:t>设备净重</w:t>
            </w:r>
          </w:p>
        </w:tc>
        <w:tc>
          <w:tcPr>
            <w:tcW w:w="4511" w:type="dxa"/>
            <w:noWrap w:val="0"/>
            <w:vAlign w:val="center"/>
          </w:tcPr>
          <w:p>
            <w:pPr>
              <w:jc w:val="center"/>
              <w:rPr>
                <w:rFonts w:hint="eastAsia"/>
                <w:sz w:val="13"/>
                <w:szCs w:val="13"/>
                <w:lang w:val="en-US" w:eastAsia="zh-CN"/>
              </w:rPr>
            </w:pPr>
            <w:r>
              <w:rPr>
                <w:rFonts w:hint="eastAsia"/>
                <w:sz w:val="13"/>
                <w:szCs w:val="13"/>
                <w:lang w:val="en-US" w:eastAsia="zh-CN"/>
              </w:rPr>
              <w:t>50kg</w:t>
            </w:r>
          </w:p>
        </w:tc>
      </w:tr>
    </w:tbl>
    <w:p/>
    <w:sectPr>
      <w:pgSz w:w="11906" w:h="16838"/>
      <w:pgMar w:top="1417" w:right="1474" w:bottom="1417" w:left="1474" w:header="1077" w:footer="624"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9391C"/>
    <w:multiLevelType w:val="multilevel"/>
    <w:tmpl w:val="BE99391C"/>
    <w:lvl w:ilvl="0" w:tentative="0">
      <w:start w:val="1"/>
      <w:numFmt w:val="decimal"/>
      <w:pStyle w:val="2"/>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44995"/>
    <w:rsid w:val="18ED2C7E"/>
    <w:rsid w:val="1B551003"/>
    <w:rsid w:val="258A3D9E"/>
    <w:rsid w:val="26D701DF"/>
    <w:rsid w:val="2EF44995"/>
    <w:rsid w:val="3A8A0EBB"/>
    <w:rsid w:val="3AC44497"/>
    <w:rsid w:val="42AB7B72"/>
    <w:rsid w:val="4A562640"/>
    <w:rsid w:val="4AAD7435"/>
    <w:rsid w:val="4B213D78"/>
    <w:rsid w:val="525D3821"/>
    <w:rsid w:val="69414612"/>
    <w:rsid w:val="69B11B40"/>
    <w:rsid w:val="6CA413DA"/>
    <w:rsid w:val="724D2AA3"/>
    <w:rsid w:val="753773C2"/>
    <w:rsid w:val="7CB5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paragraph" w:styleId="2">
    <w:name w:val="heading 1"/>
    <w:basedOn w:val="3"/>
    <w:next w:val="3"/>
    <w:link w:val="18"/>
    <w:qFormat/>
    <w:uiPriority w:val="0"/>
    <w:pPr>
      <w:keepNext/>
      <w:numPr>
        <w:ilvl w:val="0"/>
        <w:numId w:val="1"/>
      </w:numPr>
      <w:tabs>
        <w:tab w:val="left" w:pos="0"/>
      </w:tabs>
      <w:ind w:left="432" w:hanging="432"/>
      <w:outlineLvl w:val="0"/>
    </w:pPr>
    <w:rPr>
      <w:rFonts w:ascii="Times New Roman" w:hAnsi="Times New Roman" w:eastAsia="黑体"/>
      <w:spacing w:val="24"/>
      <w:sz w:val="36"/>
    </w:rPr>
  </w:style>
  <w:style w:type="paragraph" w:styleId="4">
    <w:name w:val="heading 2"/>
    <w:basedOn w:val="5"/>
    <w:next w:val="6"/>
    <w:link w:val="17"/>
    <w:semiHidden/>
    <w:unhideWhenUsed/>
    <w:qFormat/>
    <w:uiPriority w:val="0"/>
    <w:pPr>
      <w:keepNext/>
      <w:keepLines/>
      <w:numPr>
        <w:ilvl w:val="1"/>
        <w:numId w:val="1"/>
      </w:numPr>
      <w:tabs>
        <w:tab w:val="left" w:pos="576"/>
      </w:tabs>
      <w:spacing w:before="20" w:after="20" w:line="240" w:lineRule="auto"/>
      <w:ind w:left="575" w:leftChars="0" w:hanging="575"/>
      <w:jc w:val="left"/>
      <w:outlineLvl w:val="1"/>
    </w:pPr>
    <w:rPr>
      <w:rFonts w:ascii="Arial" w:hAnsi="Arial"/>
      <w:b/>
      <w:szCs w:val="22"/>
    </w:rPr>
  </w:style>
  <w:style w:type="paragraph" w:styleId="7">
    <w:name w:val="heading 3"/>
    <w:basedOn w:val="1"/>
    <w:next w:val="1"/>
    <w:link w:val="19"/>
    <w:semiHidden/>
    <w:unhideWhenUsed/>
    <w:qFormat/>
    <w:uiPriority w:val="0"/>
    <w:pPr>
      <w:keepNext/>
      <w:keepLines/>
      <w:numPr>
        <w:ilvl w:val="2"/>
        <w:numId w:val="1"/>
      </w:numPr>
      <w:spacing w:before="260" w:after="260" w:line="416" w:lineRule="auto"/>
      <w:ind w:left="720" w:hanging="720"/>
      <w:outlineLvl w:val="2"/>
    </w:pPr>
    <w:rPr>
      <w:rFonts w:eastAsia="黑体"/>
      <w:b/>
      <w:bCs/>
      <w:sz w:val="28"/>
      <w:szCs w:val="32"/>
    </w:rPr>
  </w:style>
  <w:style w:type="paragraph" w:styleId="8">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toa heading"/>
    <w:basedOn w:val="1"/>
    <w:next w:val="1"/>
    <w:qFormat/>
    <w:uiPriority w:val="0"/>
    <w:pPr>
      <w:spacing w:before="120" w:beforeLines="0" w:beforeAutospacing="0"/>
    </w:pPr>
    <w:rPr>
      <w:rFonts w:ascii="Arial" w:hAnsi="Arial"/>
      <w:sz w:val="24"/>
    </w:rPr>
  </w:style>
  <w:style w:type="paragraph" w:styleId="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4">
    <w:name w:val="toc 3"/>
    <w:basedOn w:val="1"/>
    <w:next w:val="1"/>
    <w:qFormat/>
    <w:uiPriority w:val="0"/>
    <w:pPr>
      <w:ind w:left="840" w:leftChars="400"/>
    </w:pPr>
  </w:style>
  <w:style w:type="character" w:customStyle="1" w:styleId="17">
    <w:name w:val="标题 2 Char"/>
    <w:basedOn w:val="16"/>
    <w:link w:val="4"/>
    <w:qFormat/>
    <w:uiPriority w:val="0"/>
    <w:rPr>
      <w:rFonts w:ascii="Arial" w:hAnsi="Arial" w:eastAsia="宋体"/>
      <w:b/>
      <w:sz w:val="24"/>
      <w:szCs w:val="22"/>
    </w:rPr>
  </w:style>
  <w:style w:type="character" w:customStyle="1" w:styleId="18">
    <w:name w:val="标题 1 Char"/>
    <w:basedOn w:val="16"/>
    <w:link w:val="2"/>
    <w:qFormat/>
    <w:uiPriority w:val="0"/>
    <w:rPr>
      <w:rFonts w:ascii="Calibri" w:hAnsi="Calibri" w:eastAsia="宋体"/>
      <w:b/>
      <w:bCs/>
      <w:kern w:val="44"/>
      <w:sz w:val="24"/>
      <w:szCs w:val="44"/>
    </w:rPr>
  </w:style>
  <w:style w:type="character" w:customStyle="1" w:styleId="19">
    <w:name w:val="标题 3 Char"/>
    <w:basedOn w:val="16"/>
    <w:link w:val="7"/>
    <w:semiHidden/>
    <w:qFormat/>
    <w:uiPriority w:val="9"/>
    <w:rPr>
      <w:rFonts w:eastAsia="黑体"/>
      <w:b/>
      <w:bCs/>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2019-08-24T06:52:00Z</dcterms:created>
  <dc:creator>博科防护-王彦飞</dc:creator>
  <cp:lastModifiedBy>陈吉恒</cp:lastModifiedBy>
  <dcterms:modified xsi:type="dcterms:W3CDTF">2021-11-03T01:31:33Z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CD29072108B9439FB06E527B6A03A7C8</vt:lpwstr>
  </property>
</Properties>
</file>