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jc w:val="center"/>
        <w:rPr>
          <w:color w:val="000000"/>
          <w:highlight w:val="none"/>
        </w:rPr>
      </w:pPr>
      <w:r>
        <w:rPr>
          <w:color w:val="000000"/>
          <w:highlight w:val="none"/>
        </w:rPr>
        <w:t>货物需求一览表、</w:t>
      </w:r>
      <w:bookmarkStart w:id="0" w:name="_GoBack"/>
      <w:bookmarkEnd w:id="0"/>
      <w:r>
        <w:rPr>
          <w:color w:val="000000"/>
          <w:highlight w:val="none"/>
        </w:rPr>
        <w:t>技术规格及要求</w:t>
      </w:r>
    </w:p>
    <w:p>
      <w:pPr>
        <w:jc w:val="center"/>
        <w:rPr>
          <w:rFonts w:hint="eastAsia"/>
          <w:b/>
          <w:bCs/>
          <w:sz w:val="30"/>
          <w:szCs w:val="30"/>
          <w:highlight w:val="none"/>
        </w:rPr>
      </w:pPr>
      <w:r>
        <w:rPr>
          <w:b/>
          <w:bCs/>
          <w:sz w:val="30"/>
          <w:szCs w:val="30"/>
          <w:highlight w:val="none"/>
        </w:rPr>
        <w:t>货物需求一览表</w:t>
      </w:r>
    </w:p>
    <w:p>
      <w:pPr>
        <w:jc w:val="center"/>
        <w:rPr>
          <w:rFonts w:hint="eastAsia"/>
          <w:b/>
          <w:bCs/>
          <w:sz w:val="30"/>
          <w:szCs w:val="30"/>
          <w:highlight w:val="none"/>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975"/>
        <w:gridCol w:w="1962"/>
        <w:gridCol w:w="1364"/>
        <w:gridCol w:w="1596"/>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079" w:type="dxa"/>
            <w:noWrap w:val="0"/>
            <w:vAlign w:val="center"/>
          </w:tcPr>
          <w:p>
            <w:pPr>
              <w:jc w:val="center"/>
              <w:rPr>
                <w:color w:val="000000"/>
                <w:sz w:val="24"/>
                <w:highlight w:val="none"/>
              </w:rPr>
            </w:pPr>
            <w:r>
              <w:rPr>
                <w:color w:val="000000"/>
                <w:sz w:val="24"/>
                <w:highlight w:val="none"/>
              </w:rPr>
              <w:t>序号</w:t>
            </w:r>
          </w:p>
        </w:tc>
        <w:tc>
          <w:tcPr>
            <w:tcW w:w="1975" w:type="dxa"/>
            <w:noWrap w:val="0"/>
            <w:vAlign w:val="center"/>
          </w:tcPr>
          <w:p>
            <w:pPr>
              <w:jc w:val="center"/>
              <w:rPr>
                <w:color w:val="000000"/>
                <w:sz w:val="24"/>
                <w:highlight w:val="none"/>
              </w:rPr>
            </w:pPr>
            <w:r>
              <w:rPr>
                <w:rFonts w:hint="eastAsia"/>
                <w:color w:val="000000"/>
                <w:sz w:val="24"/>
                <w:highlight w:val="none"/>
              </w:rPr>
              <w:t>产品</w:t>
            </w:r>
            <w:r>
              <w:rPr>
                <w:color w:val="000000"/>
                <w:sz w:val="24"/>
                <w:highlight w:val="none"/>
              </w:rPr>
              <w:t>名称</w:t>
            </w:r>
          </w:p>
        </w:tc>
        <w:tc>
          <w:tcPr>
            <w:tcW w:w="1962" w:type="dxa"/>
            <w:noWrap w:val="0"/>
            <w:vAlign w:val="center"/>
          </w:tcPr>
          <w:p>
            <w:pPr>
              <w:jc w:val="center"/>
              <w:rPr>
                <w:color w:val="000000"/>
                <w:sz w:val="24"/>
                <w:highlight w:val="none"/>
              </w:rPr>
            </w:pPr>
            <w:r>
              <w:rPr>
                <w:color w:val="000000"/>
                <w:sz w:val="24"/>
                <w:highlight w:val="none"/>
              </w:rPr>
              <w:t>规格型号及主要技术参数</w:t>
            </w:r>
          </w:p>
        </w:tc>
        <w:tc>
          <w:tcPr>
            <w:tcW w:w="1364" w:type="dxa"/>
            <w:noWrap w:val="0"/>
            <w:vAlign w:val="center"/>
          </w:tcPr>
          <w:p>
            <w:pPr>
              <w:jc w:val="center"/>
              <w:rPr>
                <w:color w:val="000000"/>
                <w:sz w:val="24"/>
                <w:highlight w:val="none"/>
              </w:rPr>
            </w:pPr>
            <w:r>
              <w:rPr>
                <w:color w:val="000000"/>
                <w:sz w:val="24"/>
                <w:highlight w:val="none"/>
              </w:rPr>
              <w:t>数 量</w:t>
            </w:r>
          </w:p>
        </w:tc>
        <w:tc>
          <w:tcPr>
            <w:tcW w:w="1596" w:type="dxa"/>
            <w:noWrap w:val="0"/>
            <w:vAlign w:val="center"/>
          </w:tcPr>
          <w:p>
            <w:pPr>
              <w:jc w:val="center"/>
              <w:rPr>
                <w:color w:val="000000"/>
                <w:sz w:val="24"/>
                <w:highlight w:val="none"/>
              </w:rPr>
            </w:pPr>
            <w:r>
              <w:rPr>
                <w:color w:val="000000"/>
                <w:sz w:val="24"/>
                <w:highlight w:val="none"/>
              </w:rPr>
              <w:t>交货时间与进度</w:t>
            </w:r>
          </w:p>
        </w:tc>
        <w:tc>
          <w:tcPr>
            <w:tcW w:w="1565" w:type="dxa"/>
            <w:noWrap w:val="0"/>
            <w:vAlign w:val="center"/>
          </w:tcPr>
          <w:p>
            <w:pPr>
              <w:jc w:val="center"/>
              <w:rPr>
                <w:color w:val="000000"/>
                <w:sz w:val="24"/>
                <w:highlight w:val="none"/>
              </w:rPr>
            </w:pPr>
            <w:r>
              <w:rPr>
                <w:color w:val="000000"/>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079" w:type="dxa"/>
            <w:noWrap w:val="0"/>
            <w:vAlign w:val="center"/>
          </w:tcPr>
          <w:p>
            <w:pPr>
              <w:widowControl/>
              <w:jc w:val="center"/>
              <w:rPr>
                <w:rFonts w:cs="宋体"/>
                <w:kern w:val="0"/>
                <w:sz w:val="24"/>
                <w:highlight w:val="none"/>
              </w:rPr>
            </w:pPr>
            <w:r>
              <w:rPr>
                <w:rFonts w:cs="宋体"/>
                <w:kern w:val="0"/>
                <w:sz w:val="24"/>
                <w:highlight w:val="none"/>
              </w:rPr>
              <w:t>1</w:t>
            </w:r>
          </w:p>
        </w:tc>
        <w:tc>
          <w:tcPr>
            <w:tcW w:w="1975" w:type="dxa"/>
            <w:noWrap w:val="0"/>
            <w:vAlign w:val="center"/>
          </w:tcPr>
          <w:p>
            <w:pPr>
              <w:widowControl/>
              <w:jc w:val="center"/>
              <w:rPr>
                <w:rFonts w:hint="eastAsia" w:eastAsia="宋体" w:cs="宋体"/>
                <w:kern w:val="0"/>
                <w:sz w:val="24"/>
                <w:highlight w:val="none"/>
                <w:lang w:eastAsia="zh-CN"/>
              </w:rPr>
            </w:pPr>
            <w:r>
              <w:rPr>
                <w:rFonts w:hint="eastAsia" w:cs="宋体"/>
                <w:kern w:val="0"/>
                <w:sz w:val="24"/>
                <w:highlight w:val="none"/>
                <w:lang w:eastAsia="zh-CN"/>
              </w:rPr>
              <w:t>三重四极杆离子阱串联液质联用仪</w:t>
            </w:r>
          </w:p>
        </w:tc>
        <w:tc>
          <w:tcPr>
            <w:tcW w:w="1962" w:type="dxa"/>
            <w:noWrap w:val="0"/>
            <w:vAlign w:val="center"/>
          </w:tcPr>
          <w:p>
            <w:pPr>
              <w:jc w:val="center"/>
              <w:rPr>
                <w:rFonts w:hint="eastAsia"/>
                <w:b/>
                <w:bCs/>
                <w:sz w:val="30"/>
                <w:szCs w:val="30"/>
                <w:highlight w:val="none"/>
              </w:rPr>
            </w:pPr>
            <w:r>
              <w:rPr>
                <w:sz w:val="24"/>
                <w:highlight w:val="none"/>
              </w:rPr>
              <w:t>见</w:t>
            </w:r>
            <w:r>
              <w:rPr>
                <w:rFonts w:hint="eastAsia"/>
                <w:sz w:val="24"/>
                <w:highlight w:val="none"/>
              </w:rPr>
              <w:t>“第八章技术规格及要求”</w:t>
            </w:r>
          </w:p>
        </w:tc>
        <w:tc>
          <w:tcPr>
            <w:tcW w:w="1364" w:type="dxa"/>
            <w:noWrap w:val="0"/>
            <w:vAlign w:val="center"/>
          </w:tcPr>
          <w:p>
            <w:pPr>
              <w:widowControl/>
              <w:jc w:val="center"/>
              <w:rPr>
                <w:rFonts w:cs="宋体"/>
                <w:kern w:val="0"/>
                <w:sz w:val="24"/>
                <w:highlight w:val="none"/>
              </w:rPr>
            </w:pPr>
            <w:r>
              <w:rPr>
                <w:rFonts w:hint="eastAsia" w:ascii="宋体" w:hAnsi="宋体"/>
                <w:bCs/>
                <w:sz w:val="24"/>
                <w:highlight w:val="none"/>
                <w:lang w:val="en-US" w:eastAsia="zh-CN"/>
              </w:rPr>
              <w:t>1套</w:t>
            </w:r>
          </w:p>
        </w:tc>
        <w:tc>
          <w:tcPr>
            <w:tcW w:w="1596" w:type="dxa"/>
            <w:noWrap w:val="0"/>
            <w:vAlign w:val="center"/>
          </w:tcPr>
          <w:p>
            <w:pPr>
              <w:jc w:val="center"/>
              <w:rPr>
                <w:rFonts w:hint="eastAsia" w:eastAsia="宋体"/>
                <w:b/>
                <w:bCs/>
                <w:sz w:val="30"/>
                <w:szCs w:val="30"/>
                <w:highlight w:val="none"/>
                <w:lang w:val="en-US" w:eastAsia="zh-CN"/>
              </w:rPr>
            </w:pPr>
            <w:r>
              <w:rPr>
                <w:rFonts w:hint="eastAsia"/>
                <w:sz w:val="24"/>
                <w:highlight w:val="none"/>
              </w:rPr>
              <w:t>付款后3月内到货。</w:t>
            </w:r>
          </w:p>
        </w:tc>
        <w:tc>
          <w:tcPr>
            <w:tcW w:w="1565" w:type="dxa"/>
            <w:noWrap w:val="0"/>
            <w:vAlign w:val="center"/>
          </w:tcPr>
          <w:p>
            <w:pPr>
              <w:widowControl/>
              <w:snapToGrid w:val="0"/>
              <w:spacing w:before="156" w:beforeLines="50" w:line="360" w:lineRule="auto"/>
              <w:rPr>
                <w:rFonts w:hint="eastAsia" w:eastAsia="宋体"/>
                <w:b/>
                <w:bCs/>
                <w:sz w:val="30"/>
                <w:szCs w:val="30"/>
                <w:highlight w:val="none"/>
                <w:lang w:eastAsia="zh-CN"/>
              </w:rPr>
            </w:pPr>
            <w:r>
              <w:rPr>
                <w:rFonts w:hint="eastAsia"/>
                <w:sz w:val="24"/>
                <w:lang w:eastAsia="zh-CN"/>
              </w:rPr>
              <w:t>甲方指定地点</w:t>
            </w:r>
          </w:p>
        </w:tc>
      </w:tr>
    </w:tbl>
    <w:p>
      <w:pPr>
        <w:jc w:val="left"/>
        <w:rPr>
          <w:rFonts w:hint="eastAsia" w:ascii="方正书宋简体" w:hAnsi="宋体" w:eastAsia="方正书宋简体"/>
          <w:sz w:val="20"/>
          <w:szCs w:val="21"/>
        </w:rPr>
      </w:pPr>
    </w:p>
    <w:p>
      <w:pPr>
        <w:jc w:val="left"/>
        <w:rPr>
          <w:rFonts w:hint="eastAsia" w:ascii="宋体" w:hAnsi="宋体" w:cs="宋体"/>
          <w:sz w:val="24"/>
        </w:rPr>
      </w:pPr>
      <w:r>
        <w:rPr>
          <w:rFonts w:hint="eastAsia" w:ascii="宋体" w:hAnsi="宋体" w:cs="宋体"/>
          <w:b/>
          <w:bCs/>
          <w:color w:val="000000"/>
          <w:sz w:val="24"/>
        </w:rPr>
        <w:t>1.主要用途需求</w:t>
      </w:r>
      <w:r>
        <w:rPr>
          <w:rFonts w:hint="eastAsia" w:ascii="宋体" w:hAnsi="宋体" w:cs="宋体"/>
          <w:sz w:val="24"/>
        </w:rPr>
        <w:t>：主要应用于环境介质中新污染物（如工业化学品、农药、兽药、药品、化妆品、全氟化合物等）定量、定性分析。</w:t>
      </w:r>
    </w:p>
    <w:p>
      <w:pPr>
        <w:jc w:val="left"/>
        <w:rPr>
          <w:rFonts w:ascii="宋体" w:hAnsi="宋体" w:cs="宋体"/>
          <w:sz w:val="24"/>
        </w:rPr>
      </w:pPr>
    </w:p>
    <w:p>
      <w:pPr>
        <w:jc w:val="left"/>
        <w:rPr>
          <w:rFonts w:hint="eastAsia" w:ascii="宋体" w:hAnsi="宋体" w:cs="宋体"/>
          <w:sz w:val="24"/>
        </w:rPr>
      </w:pPr>
      <w:r>
        <w:rPr>
          <w:rFonts w:hint="eastAsia" w:ascii="宋体" w:hAnsi="宋体" w:cs="宋体"/>
          <w:b/>
          <w:bCs/>
          <w:sz w:val="24"/>
        </w:rPr>
        <w:t>2.工作条件</w:t>
      </w:r>
      <w:r>
        <w:rPr>
          <w:rFonts w:hint="eastAsia" w:ascii="宋体" w:hAnsi="宋体" w:cs="宋体"/>
          <w:sz w:val="24"/>
        </w:rPr>
        <w:tab/>
      </w:r>
      <w:r>
        <w:rPr>
          <w:rFonts w:hint="eastAsia" w:ascii="宋体" w:hAnsi="宋体" w:cs="宋体"/>
          <w:sz w:val="24"/>
        </w:rPr>
        <w:tab/>
      </w:r>
      <w:r>
        <w:rPr>
          <w:rFonts w:hint="eastAsia" w:ascii="宋体" w:hAnsi="宋体" w:cs="宋体"/>
          <w:sz w:val="24"/>
        </w:rPr>
        <w:t>工作电压：220V，50Hz</w:t>
      </w:r>
      <w:r>
        <w:rPr>
          <w:rFonts w:hint="eastAsia" w:ascii="宋体" w:hAnsi="宋体" w:cs="宋体"/>
          <w:sz w:val="24"/>
        </w:rPr>
        <w:tab/>
      </w:r>
      <w:r>
        <w:rPr>
          <w:rFonts w:hint="eastAsia" w:ascii="宋体" w:hAnsi="宋体" w:cs="宋体"/>
          <w:sz w:val="24"/>
        </w:rPr>
        <w:t>； 操作温度：15-30℃； 湿度：＜80 %。</w:t>
      </w:r>
    </w:p>
    <w:p>
      <w:pPr>
        <w:jc w:val="left"/>
        <w:rPr>
          <w:rFonts w:ascii="宋体" w:hAnsi="宋体" w:cs="宋体"/>
          <w:b/>
          <w:bCs/>
          <w:sz w:val="24"/>
        </w:rPr>
      </w:pPr>
    </w:p>
    <w:p>
      <w:pPr>
        <w:jc w:val="left"/>
        <w:rPr>
          <w:rFonts w:ascii="宋体" w:hAnsi="宋体" w:cs="宋体"/>
          <w:b/>
          <w:bCs/>
          <w:sz w:val="24"/>
        </w:rPr>
      </w:pPr>
      <w:r>
        <w:rPr>
          <w:rFonts w:hint="eastAsia" w:ascii="宋体" w:hAnsi="宋体" w:cs="宋体"/>
          <w:b/>
          <w:bCs/>
          <w:sz w:val="24"/>
        </w:rPr>
        <w:t>3.主要技术参数要求</w:t>
      </w:r>
    </w:p>
    <w:p>
      <w:pPr>
        <w:jc w:val="left"/>
        <w:rPr>
          <w:rFonts w:ascii="宋体" w:hAnsi="宋体" w:cs="宋体"/>
          <w:sz w:val="24"/>
        </w:rPr>
      </w:pPr>
      <w:r>
        <w:rPr>
          <w:rFonts w:hint="eastAsia" w:ascii="宋体" w:hAnsi="宋体" w:cs="宋体"/>
          <w:sz w:val="24"/>
        </w:rPr>
        <w:t>3.1 液相色谱仪技术参数要求</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3.1.1 输液单元</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3.1.1.1超高压二元梯度泵，配置溶剂选择阀，流动相四路切换。</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3.1.1.2 流速范围：0.001ml/min-5.000ml/min，递增率0.001ml/min</w:t>
      </w:r>
    </w:p>
    <w:p>
      <w:pPr>
        <w:jc w:val="left"/>
        <w:rPr>
          <w:rFonts w:ascii="宋体" w:hAnsi="宋体" w:cs="宋体"/>
          <w:sz w:val="24"/>
        </w:rPr>
      </w:pPr>
      <w:r>
        <w:rPr>
          <w:rFonts w:hint="eastAsia" w:ascii="宋体" w:hAnsi="宋体" w:cs="宋体"/>
          <w:sz w:val="24"/>
        </w:rPr>
        <w:t>★3.1.1.3 最大操作压力：不低于18000psi</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3.1.2 脱气机：在线真空脱气方式，五通道</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3.1.3 控温自动进样器</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3.1.3.1 进样量范围：1uL-20uL</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3.1.3.2 进样位数：无需扩展模块下，不低于100位</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3.1.3.3 进样器附带自动洗针功能，连续进样交叉污染率：＜0.003%</w:t>
      </w:r>
    </w:p>
    <w:p>
      <w:pPr>
        <w:jc w:val="left"/>
        <w:rPr>
          <w:rFonts w:ascii="宋体" w:hAnsi="宋体" w:cs="宋体"/>
          <w:sz w:val="24"/>
        </w:rPr>
      </w:pPr>
      <w:r>
        <w:rPr>
          <w:rFonts w:hint="eastAsia" w:ascii="宋体" w:hAnsi="宋体" w:cs="宋体"/>
          <w:sz w:val="24"/>
        </w:rPr>
        <w:t>3.1.3.4 进样器控温范围：4-40℃</w:t>
      </w:r>
      <w:r>
        <w:rPr>
          <w:rFonts w:hint="eastAsia" w:ascii="宋体" w:hAnsi="宋体" w:cs="宋体"/>
          <w:sz w:val="24"/>
        </w:rPr>
        <w:tab/>
      </w:r>
    </w:p>
    <w:p>
      <w:pPr>
        <w:jc w:val="left"/>
        <w:rPr>
          <w:rFonts w:ascii="宋体" w:hAnsi="宋体" w:cs="宋体"/>
          <w:sz w:val="24"/>
        </w:rPr>
      </w:pPr>
      <w:r>
        <w:rPr>
          <w:rFonts w:hint="eastAsia" w:ascii="宋体" w:hAnsi="宋体" w:cs="宋体"/>
          <w:sz w:val="24"/>
        </w:rPr>
        <w:t>3.1.4 柱温箱</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3.1.4.1 温控范围：室温+5-80℃</w:t>
      </w:r>
      <w:r>
        <w:rPr>
          <w:rFonts w:hint="eastAsia" w:ascii="宋体" w:hAnsi="宋体" w:cs="宋体"/>
          <w:sz w:val="24"/>
        </w:rPr>
        <w:tab/>
      </w:r>
    </w:p>
    <w:p>
      <w:pPr>
        <w:jc w:val="left"/>
        <w:rPr>
          <w:rFonts w:ascii="宋体" w:hAnsi="宋体" w:cs="宋体"/>
          <w:sz w:val="24"/>
        </w:rPr>
      </w:pPr>
      <w:r>
        <w:rPr>
          <w:rFonts w:hint="eastAsia" w:ascii="宋体" w:hAnsi="宋体" w:cs="宋体"/>
          <w:sz w:val="24"/>
        </w:rPr>
        <w:t>3.1.4.2 控温精度：±0.1℃</w:t>
      </w:r>
      <w:r>
        <w:rPr>
          <w:rFonts w:hint="eastAsia" w:ascii="宋体" w:hAnsi="宋体" w:cs="宋体"/>
          <w:sz w:val="24"/>
        </w:rPr>
        <w:tab/>
      </w:r>
    </w:p>
    <w:p>
      <w:pPr>
        <w:jc w:val="left"/>
        <w:rPr>
          <w:rFonts w:hint="eastAsia" w:ascii="宋体" w:hAnsi="宋体" w:cs="宋体"/>
          <w:sz w:val="24"/>
        </w:rPr>
      </w:pPr>
      <w:r>
        <w:rPr>
          <w:rFonts w:hint="eastAsia" w:ascii="宋体" w:hAnsi="宋体" w:cs="宋体"/>
          <w:sz w:val="24"/>
        </w:rPr>
        <w:t>3.2 质谱仪技术参数要求</w:t>
      </w:r>
      <w:r>
        <w:rPr>
          <w:rFonts w:hint="eastAsia" w:ascii="宋体" w:hAnsi="宋体" w:cs="宋体"/>
          <w:sz w:val="24"/>
        </w:rPr>
        <w:tab/>
      </w:r>
    </w:p>
    <w:p>
      <w:pPr>
        <w:jc w:val="left"/>
        <w:rPr>
          <w:rFonts w:ascii="宋体" w:hAnsi="宋体" w:cs="宋体"/>
          <w:sz w:val="24"/>
        </w:rPr>
      </w:pPr>
      <w:r>
        <w:rPr>
          <w:rFonts w:hint="eastAsia" w:ascii="宋体" w:hAnsi="宋体" w:cs="宋体"/>
          <w:sz w:val="24"/>
        </w:rPr>
        <w:t>★3</w:t>
      </w:r>
      <w:r>
        <w:rPr>
          <w:rFonts w:ascii="宋体" w:hAnsi="宋体" w:cs="宋体"/>
          <w:sz w:val="24"/>
        </w:rPr>
        <w:t xml:space="preserve">.2.1 </w:t>
      </w:r>
      <w:r>
        <w:rPr>
          <w:rFonts w:hint="eastAsia" w:ascii="宋体" w:hAnsi="宋体" w:cs="宋体"/>
          <w:sz w:val="24"/>
        </w:rPr>
        <w:t>要求所供应产品为三重四极杆复合离子阱质谱或三重四极杆质谱+线性离子阱质谱</w:t>
      </w:r>
    </w:p>
    <w:p>
      <w:pPr>
        <w:jc w:val="left"/>
        <w:rPr>
          <w:rFonts w:hint="eastAsia" w:ascii="宋体" w:hAnsi="宋体" w:cs="宋体"/>
          <w:sz w:val="24"/>
        </w:rPr>
      </w:pPr>
      <w:r>
        <w:rPr>
          <w:rFonts w:hint="eastAsia" w:ascii="宋体" w:hAnsi="宋体" w:cs="宋体"/>
          <w:sz w:val="24"/>
        </w:rPr>
        <w:t>3.2.</w:t>
      </w:r>
      <w:r>
        <w:rPr>
          <w:rFonts w:ascii="宋体" w:hAnsi="宋体" w:cs="宋体"/>
          <w:sz w:val="24"/>
        </w:rPr>
        <w:t>2</w:t>
      </w:r>
      <w:r>
        <w:rPr>
          <w:rFonts w:hint="eastAsia" w:ascii="宋体" w:hAnsi="宋体" w:cs="宋体"/>
          <w:sz w:val="24"/>
        </w:rPr>
        <w:t xml:space="preserve"> 离子源：要求独立的电喷雾离子源(ESI)、大气压化学电离源(APCI)。要求在无需放空质谱真空系统和插拔气路和电路情况下，插拔式可互换ESI及APCI喷针，实现ESI源及APCI源内快速更换，同时软件能自动识别ESI和APCI喷针 </w:t>
      </w:r>
    </w:p>
    <w:p>
      <w:pPr>
        <w:jc w:val="left"/>
        <w:rPr>
          <w:rFonts w:hint="eastAsia" w:ascii="宋体" w:hAnsi="宋体" w:cs="宋体"/>
          <w:sz w:val="24"/>
        </w:rPr>
      </w:pPr>
      <w:r>
        <w:rPr>
          <w:rFonts w:hint="eastAsia" w:ascii="宋体" w:hAnsi="宋体" w:cs="宋体"/>
          <w:sz w:val="24"/>
        </w:rPr>
        <w:t>★3.2.</w:t>
      </w:r>
      <w:r>
        <w:rPr>
          <w:rFonts w:ascii="宋体" w:hAnsi="宋体" w:cs="宋体"/>
          <w:sz w:val="24"/>
        </w:rPr>
        <w:t>2</w:t>
      </w:r>
      <w:r>
        <w:rPr>
          <w:rFonts w:hint="eastAsia" w:ascii="宋体" w:hAnsi="宋体" w:cs="宋体"/>
          <w:sz w:val="24"/>
        </w:rPr>
        <w:t>.</w:t>
      </w:r>
      <w:r>
        <w:rPr>
          <w:rFonts w:ascii="宋体" w:hAnsi="宋体" w:cs="宋体"/>
          <w:sz w:val="24"/>
        </w:rPr>
        <w:t>1</w:t>
      </w:r>
      <w:r>
        <w:rPr>
          <w:rFonts w:hint="eastAsia" w:ascii="宋体" w:hAnsi="宋体" w:cs="宋体"/>
          <w:sz w:val="24"/>
        </w:rPr>
        <w:t>为了防止样品热裂解、冷凝而导致的样品分解和堵塞，要求接口及离子传输采用锥孔接口方式，不使用金属毛细管、石英毛细管等管线等方式传输离子。同时无需放空和停机情况下可以清洗离子源</w:t>
      </w:r>
    </w:p>
    <w:p>
      <w:pPr>
        <w:jc w:val="left"/>
        <w:rPr>
          <w:rFonts w:hint="eastAsia" w:ascii="宋体" w:hAnsi="宋体" w:cs="宋体"/>
          <w:sz w:val="24"/>
        </w:rPr>
      </w:pPr>
      <w:r>
        <w:rPr>
          <w:rFonts w:hint="eastAsia" w:ascii="宋体" w:hAnsi="宋体" w:cs="宋体"/>
          <w:sz w:val="24"/>
        </w:rPr>
        <w:t>★3.2.</w:t>
      </w:r>
      <w:r>
        <w:rPr>
          <w:rFonts w:ascii="宋体" w:hAnsi="宋体" w:cs="宋体"/>
          <w:sz w:val="24"/>
        </w:rPr>
        <w:t>2</w:t>
      </w:r>
      <w:r>
        <w:rPr>
          <w:rFonts w:hint="eastAsia" w:ascii="宋体" w:hAnsi="宋体" w:cs="宋体"/>
          <w:sz w:val="24"/>
        </w:rPr>
        <w:t>.</w:t>
      </w:r>
      <w:r>
        <w:rPr>
          <w:rFonts w:ascii="宋体" w:hAnsi="宋体" w:cs="宋体"/>
          <w:sz w:val="24"/>
        </w:rPr>
        <w:t>2</w:t>
      </w:r>
      <w:r>
        <w:rPr>
          <w:rFonts w:hint="eastAsia" w:ascii="宋体" w:hAnsi="宋体" w:cs="宋体"/>
          <w:sz w:val="24"/>
        </w:rPr>
        <w:t xml:space="preserve"> ESI流速范围：在确保灵敏度不损失的前提下，无需分流，实现高流速流动相流速进样，流速范围在0</w:t>
      </w:r>
      <w:r>
        <w:rPr>
          <w:rFonts w:ascii="宋体" w:hAnsi="宋体" w:cs="宋体"/>
          <w:sz w:val="24"/>
        </w:rPr>
        <w:t xml:space="preserve">-2.8 </w:t>
      </w:r>
      <w:r>
        <w:rPr>
          <w:rFonts w:hint="eastAsia" w:ascii="宋体" w:hAnsi="宋体" w:cs="宋体"/>
          <w:sz w:val="24"/>
        </w:rPr>
        <w:t>ml/mim</w:t>
      </w:r>
    </w:p>
    <w:p>
      <w:pPr>
        <w:jc w:val="left"/>
        <w:rPr>
          <w:rFonts w:hint="eastAsia" w:ascii="宋体" w:hAnsi="宋体" w:cs="宋体"/>
          <w:sz w:val="24"/>
        </w:rPr>
      </w:pPr>
      <w:r>
        <w:rPr>
          <w:rFonts w:hint="eastAsia" w:ascii="宋体" w:hAnsi="宋体" w:cs="宋体"/>
          <w:sz w:val="24"/>
        </w:rPr>
        <w:t>★3.2.</w:t>
      </w:r>
      <w:r>
        <w:rPr>
          <w:rFonts w:ascii="宋体" w:hAnsi="宋体" w:cs="宋体"/>
          <w:sz w:val="24"/>
        </w:rPr>
        <w:t>2</w:t>
      </w:r>
      <w:r>
        <w:rPr>
          <w:rFonts w:hint="eastAsia" w:ascii="宋体" w:hAnsi="宋体" w:cs="宋体"/>
          <w:sz w:val="24"/>
        </w:rPr>
        <w:t>.</w:t>
      </w:r>
      <w:r>
        <w:rPr>
          <w:rFonts w:ascii="宋体" w:hAnsi="宋体" w:cs="宋体"/>
          <w:sz w:val="24"/>
        </w:rPr>
        <w:t>3</w:t>
      </w:r>
      <w:r>
        <w:rPr>
          <w:rFonts w:hint="eastAsia" w:ascii="宋体" w:hAnsi="宋体" w:cs="宋体"/>
          <w:sz w:val="24"/>
        </w:rPr>
        <w:t xml:space="preserve"> 离子源温度：离子源内两路加热雾化气，辅助加热气温度大于7</w:t>
      </w:r>
      <w:r>
        <w:rPr>
          <w:rFonts w:ascii="宋体" w:hAnsi="宋体" w:cs="宋体"/>
          <w:sz w:val="24"/>
        </w:rPr>
        <w:t>0</w:t>
      </w:r>
      <w:r>
        <w:rPr>
          <w:rFonts w:hint="eastAsia" w:ascii="宋体" w:hAnsi="宋体" w:cs="宋体"/>
          <w:sz w:val="24"/>
        </w:rPr>
        <w:t>0℃，该最大温度可以在软件界面下设置并运行</w:t>
      </w:r>
      <w:r>
        <w:rPr>
          <w:rFonts w:hint="eastAsia" w:ascii="宋体" w:hAnsi="宋体" w:cs="宋体"/>
          <w:sz w:val="24"/>
        </w:rPr>
        <w:tab/>
      </w:r>
      <w:r>
        <w:rPr>
          <w:rFonts w:hint="eastAsia" w:ascii="宋体" w:hAnsi="宋体" w:cs="宋体"/>
          <w:sz w:val="24"/>
        </w:rPr>
        <w:tab/>
      </w:r>
    </w:p>
    <w:p>
      <w:pPr>
        <w:jc w:val="left"/>
        <w:rPr>
          <w:rFonts w:hint="eastAsia" w:ascii="宋体" w:hAnsi="宋体" w:cs="宋体"/>
          <w:sz w:val="24"/>
        </w:rPr>
      </w:pPr>
      <w:r>
        <w:rPr>
          <w:rFonts w:hint="eastAsia" w:ascii="宋体" w:hAnsi="宋体" w:cs="宋体"/>
          <w:sz w:val="24"/>
        </w:rPr>
        <w:t>3.2.</w:t>
      </w:r>
      <w:r>
        <w:rPr>
          <w:rFonts w:ascii="宋体" w:hAnsi="宋体" w:cs="宋体"/>
          <w:sz w:val="24"/>
        </w:rPr>
        <w:t>2</w:t>
      </w:r>
      <w:r>
        <w:rPr>
          <w:rFonts w:hint="eastAsia" w:ascii="宋体" w:hAnsi="宋体" w:cs="宋体"/>
          <w:sz w:val="24"/>
        </w:rPr>
        <w:t>.</w:t>
      </w:r>
      <w:r>
        <w:rPr>
          <w:rFonts w:ascii="宋体" w:hAnsi="宋体" w:cs="宋体"/>
          <w:sz w:val="24"/>
        </w:rPr>
        <w:t>4</w:t>
      </w:r>
      <w:r>
        <w:rPr>
          <w:rFonts w:hint="eastAsia" w:ascii="宋体" w:hAnsi="宋体" w:cs="宋体"/>
          <w:sz w:val="24"/>
        </w:rPr>
        <w:t xml:space="preserve"> 离子源不同温度对灵敏度的影响：在其他条件不变的前提下，在300-750℃范围内，测定喹乙醇(MRM 264/143)随着离子源温度升高灵敏度升高的数据。至少提供三个温度点下的谱图数据，其中必须包含</w:t>
      </w:r>
      <w:r>
        <w:rPr>
          <w:rFonts w:ascii="宋体" w:hAnsi="宋体" w:cs="宋体"/>
          <w:sz w:val="24"/>
        </w:rPr>
        <w:t>6</w:t>
      </w:r>
      <w:r>
        <w:rPr>
          <w:rFonts w:hint="eastAsia" w:ascii="宋体" w:hAnsi="宋体" w:cs="宋体"/>
          <w:sz w:val="24"/>
        </w:rPr>
        <w:t>50℃温度点</w:t>
      </w:r>
    </w:p>
    <w:p>
      <w:pPr>
        <w:jc w:val="left"/>
        <w:rPr>
          <w:rFonts w:hint="eastAsia" w:ascii="宋体" w:hAnsi="宋体" w:cs="宋体"/>
          <w:sz w:val="24"/>
        </w:rPr>
      </w:pPr>
      <w:r>
        <w:rPr>
          <w:rFonts w:hint="eastAsia" w:ascii="宋体" w:hAnsi="宋体" w:cs="宋体"/>
          <w:sz w:val="24"/>
        </w:rPr>
        <w:t>★3.2.</w:t>
      </w:r>
      <w:r>
        <w:rPr>
          <w:rFonts w:ascii="宋体" w:hAnsi="宋体" w:cs="宋体"/>
          <w:sz w:val="24"/>
        </w:rPr>
        <w:t>2</w:t>
      </w:r>
      <w:r>
        <w:rPr>
          <w:rFonts w:hint="eastAsia" w:ascii="宋体" w:hAnsi="宋体" w:cs="宋体"/>
          <w:sz w:val="24"/>
        </w:rPr>
        <w:t>.</w:t>
      </w:r>
      <w:r>
        <w:rPr>
          <w:rFonts w:ascii="宋体" w:hAnsi="宋体" w:cs="宋体"/>
          <w:sz w:val="24"/>
        </w:rPr>
        <w:t>5</w:t>
      </w:r>
      <w:r>
        <w:rPr>
          <w:rFonts w:hint="eastAsia" w:ascii="宋体" w:hAnsi="宋体" w:cs="宋体"/>
          <w:sz w:val="24"/>
        </w:rPr>
        <w:t xml:space="preserve"> 离子源具有废气主动排放功能，以防止气体在密闭的离子源腔体中的回流，降低离子源的记忆效应和污染，降低机械泵的负荷延长机械泵泵油使用时间</w:t>
      </w:r>
    </w:p>
    <w:p>
      <w:pPr>
        <w:jc w:val="left"/>
        <w:rPr>
          <w:rFonts w:ascii="宋体" w:hAnsi="宋体" w:cs="宋体"/>
          <w:sz w:val="24"/>
        </w:rPr>
      </w:pPr>
      <w:r>
        <w:rPr>
          <w:rFonts w:hint="eastAsia" w:ascii="宋体" w:hAnsi="宋体" w:cs="宋体"/>
          <w:sz w:val="24"/>
        </w:rPr>
        <w:t>3.2.</w:t>
      </w:r>
      <w:r>
        <w:rPr>
          <w:rFonts w:ascii="宋体" w:hAnsi="宋体" w:cs="宋体"/>
          <w:sz w:val="24"/>
        </w:rPr>
        <w:t>3</w:t>
      </w:r>
      <w:r>
        <w:rPr>
          <w:rFonts w:hint="eastAsia" w:ascii="宋体" w:hAnsi="宋体" w:cs="宋体"/>
          <w:sz w:val="24"/>
        </w:rPr>
        <w:t xml:space="preserve"> Q</w:t>
      </w:r>
      <w:r>
        <w:rPr>
          <w:rFonts w:ascii="宋体" w:hAnsi="宋体" w:cs="宋体"/>
          <w:sz w:val="24"/>
        </w:rPr>
        <w:t>0</w:t>
      </w:r>
      <w:r>
        <w:rPr>
          <w:rFonts w:hint="eastAsia" w:ascii="宋体" w:hAnsi="宋体" w:cs="宋体"/>
          <w:sz w:val="24"/>
        </w:rPr>
        <w:t>部分：真空度不大于7.5mtorr</w:t>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4</w:t>
      </w:r>
      <w:r>
        <w:rPr>
          <w:rFonts w:hint="eastAsia" w:ascii="宋体" w:hAnsi="宋体" w:cs="宋体"/>
          <w:sz w:val="24"/>
        </w:rPr>
        <w:t>质量分析器：具备线性离子阱质谱仪和三重四极杆质谱仪的结构及全部扫描功能，一次进样同时获得MRM定量图谱及各组分二级和三级全扫描质谱图</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4</w:t>
      </w:r>
      <w:r>
        <w:rPr>
          <w:rFonts w:hint="eastAsia" w:ascii="宋体" w:hAnsi="宋体" w:cs="宋体"/>
          <w:sz w:val="24"/>
        </w:rPr>
        <w:t>.1 质量范围m/z：5-2300amu</w:t>
      </w:r>
    </w:p>
    <w:p>
      <w:pPr>
        <w:jc w:val="left"/>
        <w:rPr>
          <w:rFonts w:ascii="宋体" w:hAnsi="宋体" w:cs="宋体"/>
          <w:sz w:val="24"/>
        </w:rPr>
      </w:pPr>
      <w:r>
        <w:rPr>
          <w:rFonts w:hint="eastAsia" w:ascii="宋体" w:hAnsi="宋体" w:cs="宋体"/>
          <w:sz w:val="24"/>
        </w:rPr>
        <w:t>★3.2.</w:t>
      </w:r>
      <w:r>
        <w:rPr>
          <w:rFonts w:ascii="宋体" w:hAnsi="宋体" w:cs="宋体"/>
          <w:sz w:val="24"/>
        </w:rPr>
        <w:t>4</w:t>
      </w:r>
      <w:r>
        <w:rPr>
          <w:rFonts w:hint="eastAsia" w:ascii="宋体" w:hAnsi="宋体" w:cs="宋体"/>
          <w:sz w:val="24"/>
        </w:rPr>
        <w:t>.2 扫描速度：≥18000amu/sec</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4</w:t>
      </w:r>
      <w:r>
        <w:rPr>
          <w:rFonts w:hint="eastAsia" w:ascii="宋体" w:hAnsi="宋体" w:cs="宋体"/>
          <w:sz w:val="24"/>
        </w:rPr>
        <w:t>.</w:t>
      </w:r>
      <w:r>
        <w:rPr>
          <w:rFonts w:ascii="宋体" w:hAnsi="宋体" w:cs="宋体"/>
          <w:sz w:val="24"/>
        </w:rPr>
        <w:t>3</w:t>
      </w:r>
      <w:r>
        <w:rPr>
          <w:rFonts w:hint="eastAsia" w:ascii="宋体" w:hAnsi="宋体" w:cs="宋体"/>
          <w:sz w:val="24"/>
        </w:rPr>
        <w:t xml:space="preserve"> 分辨率：＞12000（@ m/z922时，扫描速度为50amu/s）</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4</w:t>
      </w:r>
      <w:r>
        <w:rPr>
          <w:rFonts w:hint="eastAsia" w:ascii="宋体" w:hAnsi="宋体" w:cs="宋体"/>
          <w:sz w:val="24"/>
        </w:rPr>
        <w:t>.4 碰撞室：＞9</w:t>
      </w:r>
      <w:r>
        <w:rPr>
          <w:rFonts w:ascii="宋体" w:hAnsi="宋体" w:cs="宋体"/>
          <w:sz w:val="24"/>
        </w:rPr>
        <w:t>0</w:t>
      </w:r>
      <w:r>
        <w:rPr>
          <w:rFonts w:hint="eastAsia" w:ascii="宋体" w:hAnsi="宋体" w:cs="宋体"/>
          <w:sz w:val="24"/>
        </w:rPr>
        <w:t>度的弯曲碰撞室，能最大化的去除中性粒子的干扰，且驻留时间（Dwell time）低至2ms时，灵敏度不损失</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4</w:t>
      </w:r>
      <w:r>
        <w:rPr>
          <w:rFonts w:hint="eastAsia" w:ascii="宋体" w:hAnsi="宋体" w:cs="宋体"/>
          <w:sz w:val="24"/>
        </w:rPr>
        <w:t>.5 正负离子极性切换速度：≤5ms</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5</w:t>
      </w:r>
      <w:r>
        <w:rPr>
          <w:rFonts w:hint="eastAsia" w:ascii="宋体" w:hAnsi="宋体" w:cs="宋体"/>
          <w:sz w:val="24"/>
        </w:rPr>
        <w:t xml:space="preserve"> 检测器：电子倍增器</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6</w:t>
      </w:r>
      <w:r>
        <w:rPr>
          <w:rFonts w:hint="eastAsia" w:ascii="宋体" w:hAnsi="宋体" w:cs="宋体"/>
          <w:sz w:val="24"/>
        </w:rPr>
        <w:t xml:space="preserve"> 气体要求：采用高纯氮气作为雾化气和碰撞气，无需使用氦气或氩气，以降低后期使用及维护成本</w:t>
      </w:r>
    </w:p>
    <w:p>
      <w:pPr>
        <w:jc w:val="left"/>
        <w:rPr>
          <w:rFonts w:ascii="宋体" w:hAnsi="宋体" w:cs="宋体"/>
          <w:sz w:val="24"/>
        </w:rPr>
      </w:pPr>
      <w:r>
        <w:rPr>
          <w:rFonts w:hint="eastAsia" w:ascii="宋体" w:hAnsi="宋体" w:cs="宋体"/>
          <w:sz w:val="24"/>
        </w:rPr>
        <w:t>3.2.</w:t>
      </w:r>
      <w:r>
        <w:rPr>
          <w:rFonts w:ascii="宋体" w:hAnsi="宋体" w:cs="宋体"/>
          <w:sz w:val="24"/>
        </w:rPr>
        <w:t>7</w:t>
      </w:r>
      <w:r>
        <w:rPr>
          <w:rFonts w:hint="eastAsia" w:ascii="宋体" w:hAnsi="宋体" w:cs="宋体"/>
          <w:sz w:val="24"/>
        </w:rPr>
        <w:t xml:space="preserve"> 灵敏度和重现性要求</w:t>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7</w:t>
      </w:r>
      <w:r>
        <w:rPr>
          <w:rFonts w:hint="eastAsia" w:ascii="宋体" w:hAnsi="宋体" w:cs="宋体"/>
          <w:sz w:val="24"/>
        </w:rPr>
        <w:t>.1 ESI+：实际柱上进样1pg利血平，流速0.8mL/min，信噪比≥50,0000:1(噪音长度不低于0.3min)。重现性实验：1pg利血平分别连续进样10次，峰面积CV小于3% （随标书提供谱图证明文件)</w:t>
      </w:r>
    </w:p>
    <w:p>
      <w:pPr>
        <w:jc w:val="left"/>
        <w:rPr>
          <w:rFonts w:ascii="宋体" w:hAnsi="宋体" w:cs="宋体"/>
          <w:sz w:val="24"/>
        </w:rPr>
      </w:pPr>
      <w:r>
        <w:rPr>
          <w:rFonts w:hint="eastAsia" w:ascii="宋体" w:hAnsi="宋体" w:cs="宋体"/>
          <w:sz w:val="24"/>
        </w:rPr>
        <w:t>3.2.</w:t>
      </w:r>
      <w:r>
        <w:rPr>
          <w:rFonts w:ascii="宋体" w:hAnsi="宋体" w:cs="宋体"/>
          <w:sz w:val="24"/>
        </w:rPr>
        <w:t>7</w:t>
      </w:r>
      <w:r>
        <w:rPr>
          <w:rFonts w:hint="eastAsia" w:ascii="宋体" w:hAnsi="宋体" w:cs="宋体"/>
          <w:sz w:val="24"/>
        </w:rPr>
        <w:t>.2 ESI-：实际柱上进样1pg氯霉素，流速0.8mL/min，信噪比≥50,0000:1(噪音长度不低于0.3min)。重现性实验：1pg氯霉素分别连续进样10次，峰面积CV小于3% （随标书提供谱图证明文件)</w:t>
      </w:r>
    </w:p>
    <w:p>
      <w:pPr>
        <w:jc w:val="left"/>
        <w:rPr>
          <w:rFonts w:ascii="宋体" w:hAnsi="宋体" w:cs="宋体"/>
          <w:sz w:val="24"/>
        </w:rPr>
      </w:pPr>
      <w:r>
        <w:rPr>
          <w:rFonts w:hint="eastAsia" w:ascii="宋体" w:hAnsi="宋体" w:cs="宋体"/>
          <w:sz w:val="24"/>
        </w:rPr>
        <w:t>3.2.</w:t>
      </w:r>
      <w:r>
        <w:rPr>
          <w:rFonts w:ascii="宋体" w:hAnsi="宋体" w:cs="宋体"/>
          <w:sz w:val="24"/>
        </w:rPr>
        <w:t>7</w:t>
      </w:r>
      <w:r>
        <w:rPr>
          <w:rFonts w:hint="eastAsia" w:ascii="宋体" w:hAnsi="宋体" w:cs="宋体"/>
          <w:sz w:val="24"/>
        </w:rPr>
        <w:t xml:space="preserve">.3 定量重现性：5ppb和50ppb胆固醇氧化物分别进样5次，RSD＜3% </w:t>
      </w:r>
    </w:p>
    <w:p>
      <w:pPr>
        <w:jc w:val="left"/>
        <w:rPr>
          <w:rFonts w:ascii="宋体" w:hAnsi="宋体" w:cs="宋体"/>
          <w:sz w:val="24"/>
        </w:rPr>
      </w:pPr>
      <w:r>
        <w:rPr>
          <w:rFonts w:hint="eastAsia" w:ascii="宋体" w:hAnsi="宋体" w:cs="宋体"/>
          <w:sz w:val="24"/>
        </w:rPr>
        <w:t>3.2.</w:t>
      </w:r>
      <w:r>
        <w:rPr>
          <w:rFonts w:ascii="宋体" w:hAnsi="宋体" w:cs="宋体"/>
          <w:sz w:val="24"/>
        </w:rPr>
        <w:t>7</w:t>
      </w:r>
      <w:r>
        <w:rPr>
          <w:rFonts w:hint="eastAsia" w:ascii="宋体" w:hAnsi="宋体" w:cs="宋体"/>
          <w:sz w:val="24"/>
        </w:rPr>
        <w:t>.4 正负切换和单一极性模式下检测，灵敏度不下降。提供氯霉素在正负切换和单一极性模式下检测灵敏度不下降的谱图文件</w:t>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7</w:t>
      </w:r>
      <w:r>
        <w:rPr>
          <w:rFonts w:hint="eastAsia" w:ascii="宋体" w:hAnsi="宋体" w:cs="宋体"/>
          <w:sz w:val="24"/>
        </w:rPr>
        <w:t>.5 实际定量分析，一般设置驻留时间(dwell time)为1ms，可满足一次进样＞1000对MRM分析（约15分钟）</w:t>
      </w:r>
    </w:p>
    <w:p>
      <w:pPr>
        <w:jc w:val="left"/>
        <w:rPr>
          <w:rFonts w:ascii="宋体" w:hAnsi="宋体" w:cs="宋体"/>
          <w:sz w:val="24"/>
        </w:rPr>
      </w:pPr>
      <w:r>
        <w:rPr>
          <w:rFonts w:hint="eastAsia" w:ascii="宋体" w:hAnsi="宋体" w:cs="宋体"/>
          <w:sz w:val="24"/>
        </w:rPr>
        <w:t>3.2.</w:t>
      </w:r>
      <w:r>
        <w:rPr>
          <w:rFonts w:ascii="宋体" w:hAnsi="宋体" w:cs="宋体"/>
          <w:sz w:val="24"/>
        </w:rPr>
        <w:t>8</w:t>
      </w:r>
      <w:r>
        <w:rPr>
          <w:rFonts w:hint="eastAsia" w:ascii="宋体" w:hAnsi="宋体" w:cs="宋体"/>
          <w:sz w:val="24"/>
        </w:rPr>
        <w:t xml:space="preserve"> 二级质谱定性能力要求</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8</w:t>
      </w:r>
      <w:r>
        <w:rPr>
          <w:rFonts w:hint="eastAsia" w:ascii="宋体" w:hAnsi="宋体" w:cs="宋体"/>
          <w:sz w:val="24"/>
        </w:rPr>
        <w:t xml:space="preserve">.1 </w:t>
      </w:r>
      <w:r>
        <w:rPr>
          <w:rFonts w:ascii="宋体" w:hAnsi="宋体" w:cs="宋体"/>
          <w:sz w:val="24"/>
        </w:rPr>
        <w:t xml:space="preserve"> </w:t>
      </w:r>
      <w:r>
        <w:rPr>
          <w:rFonts w:hint="eastAsia" w:ascii="宋体" w:hAnsi="宋体" w:cs="宋体"/>
          <w:sz w:val="24"/>
        </w:rPr>
        <w:t>定性 MS/MS 全扫描灵敏度：100fg 利血平， 范围150-650Da，扫描时间100ms，以m</w:t>
      </w:r>
      <w:r>
        <w:rPr>
          <w:rFonts w:ascii="宋体" w:hAnsi="宋体" w:cs="宋体"/>
          <w:sz w:val="24"/>
        </w:rPr>
        <w:t>/z</w:t>
      </w:r>
      <w:r>
        <w:rPr>
          <w:rFonts w:hint="eastAsia" w:ascii="宋体" w:hAnsi="宋体" w:cs="宋体"/>
          <w:sz w:val="24"/>
        </w:rPr>
        <w:t>=</w:t>
      </w:r>
      <w:r>
        <w:rPr>
          <w:rFonts w:ascii="宋体" w:hAnsi="宋体" w:cs="宋体"/>
          <w:sz w:val="24"/>
        </w:rPr>
        <w:t xml:space="preserve"> </w:t>
      </w:r>
      <w:r>
        <w:rPr>
          <w:rFonts w:hint="eastAsia" w:ascii="宋体" w:hAnsi="宋体" w:cs="宋体"/>
          <w:sz w:val="24"/>
        </w:rPr>
        <w:t>195碎片计算，S/N≥100:1，CV≤5%（n=6）（随标书提供谱图证明文件)</w:t>
      </w:r>
    </w:p>
    <w:p>
      <w:pPr>
        <w:jc w:val="left"/>
        <w:rPr>
          <w:rFonts w:ascii="宋体" w:hAnsi="宋体" w:cs="宋体"/>
          <w:sz w:val="24"/>
        </w:rPr>
      </w:pPr>
      <w:r>
        <w:rPr>
          <w:rFonts w:hint="eastAsia" w:ascii="宋体" w:hAnsi="宋体" w:cs="宋体"/>
          <w:sz w:val="24"/>
        </w:rPr>
        <w:t>3.2.</w:t>
      </w:r>
      <w:r>
        <w:rPr>
          <w:rFonts w:ascii="宋体" w:hAnsi="宋体" w:cs="宋体"/>
          <w:sz w:val="24"/>
        </w:rPr>
        <w:t>8</w:t>
      </w:r>
      <w:r>
        <w:rPr>
          <w:rFonts w:hint="eastAsia" w:ascii="宋体" w:hAnsi="宋体" w:cs="宋体"/>
          <w:sz w:val="24"/>
        </w:rPr>
        <w:t xml:space="preserve">.2 </w:t>
      </w:r>
      <w:r>
        <w:rPr>
          <w:rFonts w:ascii="宋体" w:hAnsi="宋体" w:cs="宋体"/>
          <w:sz w:val="24"/>
        </w:rPr>
        <w:t xml:space="preserve"> </w:t>
      </w:r>
      <w:r>
        <w:rPr>
          <w:rFonts w:hint="eastAsia" w:ascii="宋体" w:hAnsi="宋体" w:cs="宋体"/>
          <w:sz w:val="24"/>
        </w:rPr>
        <w:t>增强子离子扫描灵敏度：100 fg 柱上量克伦特罗在增强子离子扫描模式下，得到一定质 量数范围（m/z:50-1000）的二级全扫描谱图， 可以获得不少于4个大于10%相对丰度子离子，并能够准确的在谱库中检索，且匹配系数≥70%（随标书提供谱图证明文件)</w:t>
      </w:r>
    </w:p>
    <w:p>
      <w:pPr>
        <w:jc w:val="left"/>
        <w:rPr>
          <w:rFonts w:ascii="宋体" w:hAnsi="宋体" w:cs="宋体"/>
          <w:sz w:val="24"/>
        </w:rPr>
      </w:pPr>
      <w:r>
        <w:rPr>
          <w:rFonts w:hint="eastAsia" w:ascii="宋体" w:hAnsi="宋体" w:cs="宋体"/>
          <w:sz w:val="24"/>
        </w:rPr>
        <w:t>3.2.</w:t>
      </w:r>
      <w:r>
        <w:rPr>
          <w:rFonts w:ascii="宋体" w:hAnsi="宋体" w:cs="宋体"/>
          <w:sz w:val="24"/>
        </w:rPr>
        <w:t>8</w:t>
      </w:r>
      <w:r>
        <w:rPr>
          <w:rFonts w:hint="eastAsia" w:ascii="宋体" w:hAnsi="宋体" w:cs="宋体"/>
          <w:sz w:val="24"/>
        </w:rPr>
        <w:t xml:space="preserve">.3 </w:t>
      </w:r>
      <w:r>
        <w:rPr>
          <w:rFonts w:ascii="宋体" w:hAnsi="宋体" w:cs="宋体"/>
          <w:sz w:val="24"/>
        </w:rPr>
        <w:t xml:space="preserve"> </w:t>
      </w:r>
      <w:r>
        <w:rPr>
          <w:rFonts w:hint="eastAsia" w:ascii="宋体" w:hAnsi="宋体" w:cs="宋体"/>
          <w:sz w:val="24"/>
        </w:rPr>
        <w:t>5pg/ul克伦特罗在离子阱模式子离子扫描灵敏度与串联四极杆模式子离子扫描灵敏度</w:t>
      </w:r>
      <w:r>
        <w:rPr>
          <w:rFonts w:hint="eastAsia" w:ascii="宋体" w:hAnsi="宋体" w:cs="宋体"/>
          <w:color w:val="000000"/>
          <w:sz w:val="24"/>
        </w:rPr>
        <w:t>相比，响应值提高约300倍</w:t>
      </w:r>
    </w:p>
    <w:p>
      <w:pPr>
        <w:jc w:val="left"/>
        <w:rPr>
          <w:rFonts w:ascii="宋体" w:hAnsi="宋体" w:cs="宋体"/>
          <w:sz w:val="24"/>
        </w:rPr>
      </w:pPr>
      <w:r>
        <w:rPr>
          <w:rFonts w:hint="eastAsia" w:ascii="宋体" w:hAnsi="宋体" w:cs="宋体"/>
          <w:sz w:val="24"/>
        </w:rPr>
        <w:t>3.2.</w:t>
      </w:r>
      <w:r>
        <w:rPr>
          <w:rFonts w:ascii="宋体" w:hAnsi="宋体" w:cs="宋体"/>
          <w:sz w:val="24"/>
        </w:rPr>
        <w:t>8</w:t>
      </w:r>
      <w:r>
        <w:rPr>
          <w:rFonts w:hint="eastAsia" w:ascii="宋体" w:hAnsi="宋体" w:cs="宋体"/>
          <w:sz w:val="24"/>
        </w:rPr>
        <w:t xml:space="preserve">.4 </w:t>
      </w:r>
      <w:r>
        <w:rPr>
          <w:rFonts w:ascii="宋体" w:hAnsi="宋体" w:cs="宋体"/>
          <w:sz w:val="24"/>
        </w:rPr>
        <w:t xml:space="preserve"> </w:t>
      </w:r>
      <w:r>
        <w:rPr>
          <w:rFonts w:hint="eastAsia" w:ascii="宋体" w:hAnsi="宋体" w:cs="宋体"/>
          <w:sz w:val="24"/>
        </w:rPr>
        <w:t>电荷数判定：可以根据离子动能，实现在低分辨条件下，区分离子的电荷数（随标书提供谱图证明文件)</w:t>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9</w:t>
      </w:r>
      <w:r>
        <w:rPr>
          <w:rFonts w:hint="eastAsia" w:ascii="宋体" w:hAnsi="宋体" w:cs="宋体"/>
          <w:sz w:val="24"/>
        </w:rPr>
        <w:t xml:space="preserve"> 三级质谱定量能力要求</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9</w:t>
      </w:r>
      <w:r>
        <w:rPr>
          <w:rFonts w:hint="eastAsia" w:ascii="宋体" w:hAnsi="宋体" w:cs="宋体"/>
          <w:sz w:val="24"/>
        </w:rPr>
        <w:t xml:space="preserve">.1 </w:t>
      </w:r>
      <w:r>
        <w:rPr>
          <w:rFonts w:ascii="宋体" w:hAnsi="宋体" w:cs="宋体"/>
          <w:sz w:val="24"/>
        </w:rPr>
        <w:t xml:space="preserve"> </w:t>
      </w:r>
      <w:r>
        <w:rPr>
          <w:rFonts w:hint="eastAsia" w:ascii="宋体" w:hAnsi="宋体" w:cs="宋体"/>
          <w:sz w:val="24"/>
        </w:rPr>
        <w:t>多级定量灵敏度：1.0pg克伦特罗进样，经色谱柱分离保留，保留时间＞2min，取母离子277，子离子259，三级子离子203，质量色谱图不进行平滑处理，要求 S/N＞250:1，连续进样6针要求进样RSD＜17%（峰/峰比）</w:t>
      </w:r>
    </w:p>
    <w:p>
      <w:pPr>
        <w:jc w:val="left"/>
        <w:rPr>
          <w:rFonts w:ascii="宋体" w:hAnsi="宋体" w:cs="宋体"/>
          <w:sz w:val="24"/>
        </w:rPr>
      </w:pPr>
      <w:r>
        <w:rPr>
          <w:rFonts w:hint="eastAsia" w:ascii="宋体" w:hAnsi="宋体" w:cs="宋体"/>
          <w:sz w:val="24"/>
        </w:rPr>
        <w:t>3.2.</w:t>
      </w:r>
      <w:r>
        <w:rPr>
          <w:rFonts w:ascii="宋体" w:hAnsi="宋体" w:cs="宋体"/>
          <w:sz w:val="24"/>
        </w:rPr>
        <w:t>9</w:t>
      </w:r>
      <w:r>
        <w:rPr>
          <w:rFonts w:hint="eastAsia" w:ascii="宋体" w:hAnsi="宋体" w:cs="宋体"/>
          <w:sz w:val="24"/>
        </w:rPr>
        <w:t>.2 多级定量稳定性：高选择性三级负离子定量稳定性：1pg氯霉素， 经色谱柱分离保留，保留时间＞2min，取母离子321，子离子152，三级子离子121，连续进样 6 针要求进样 RSD＜17%</w:t>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10</w:t>
      </w:r>
      <w:r>
        <w:rPr>
          <w:rFonts w:hint="eastAsia" w:ascii="宋体" w:hAnsi="宋体" w:cs="宋体"/>
          <w:sz w:val="24"/>
        </w:rPr>
        <w:t xml:space="preserve"> 扫描模式要求</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10</w:t>
      </w:r>
      <w:r>
        <w:rPr>
          <w:rFonts w:hint="eastAsia" w:ascii="宋体" w:hAnsi="宋体" w:cs="宋体"/>
          <w:sz w:val="24"/>
        </w:rPr>
        <w:t xml:space="preserve">.1 具有增强全扫描；增强子离子扫描；母离子扫描；中性丢失扫描；增强多电荷扫描；多级串联质谱功能；选择离子扫描；选择反应监测扫描；多反应同时监测扫描等功能 </w:t>
      </w:r>
      <w:r>
        <w:rPr>
          <w:rFonts w:hint="eastAsia" w:ascii="宋体" w:hAnsi="宋体" w:cs="宋体"/>
          <w:color w:val="FF0000"/>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w:t>
      </w:r>
      <w:r>
        <w:rPr>
          <w:rFonts w:ascii="宋体" w:hAnsi="宋体" w:cs="宋体"/>
          <w:sz w:val="24"/>
        </w:rPr>
        <w:t>10</w:t>
      </w:r>
      <w:r>
        <w:rPr>
          <w:rFonts w:hint="eastAsia" w:ascii="宋体" w:hAnsi="宋体" w:cs="宋体"/>
          <w:sz w:val="24"/>
        </w:rPr>
        <w:t>.</w:t>
      </w:r>
      <w:r>
        <w:rPr>
          <w:rFonts w:ascii="宋体" w:hAnsi="宋体" w:cs="宋体"/>
          <w:sz w:val="24"/>
        </w:rPr>
        <w:t>2</w:t>
      </w:r>
      <w:r>
        <w:rPr>
          <w:rFonts w:hint="eastAsia" w:ascii="宋体" w:hAnsi="宋体" w:cs="宋体"/>
          <w:sz w:val="24"/>
        </w:rPr>
        <w:t xml:space="preserve"> 可以做三级质谱碎裂以获得化合物的结构确定，并同时能用MRM3定量以进一步消除复杂体系的相互干扰，在一次进样过程中同时完成多个化合物的定量筛选和结构确证，得到MRM扫描和二级离子的全扫描质谱图</w:t>
      </w:r>
    </w:p>
    <w:p>
      <w:pPr>
        <w:jc w:val="left"/>
        <w:rPr>
          <w:rFonts w:ascii="宋体" w:hAnsi="宋体" w:cs="宋体"/>
          <w:color w:val="000000"/>
          <w:sz w:val="24"/>
        </w:rPr>
      </w:pPr>
      <w:r>
        <w:rPr>
          <w:rFonts w:hint="eastAsia" w:ascii="宋体" w:hAnsi="宋体" w:cs="宋体"/>
          <w:color w:val="000000"/>
          <w:sz w:val="24"/>
        </w:rPr>
        <w:t>3.2.</w:t>
      </w:r>
      <w:r>
        <w:rPr>
          <w:rFonts w:ascii="宋体" w:hAnsi="宋体" w:cs="宋体"/>
          <w:color w:val="000000"/>
          <w:sz w:val="24"/>
        </w:rPr>
        <w:t>10</w:t>
      </w: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 xml:space="preserve"> 在数据采集过程中具有动态背景扣除功能，保证低含量化合物也能采集到有效的二级谱图</w:t>
      </w:r>
    </w:p>
    <w:p>
      <w:pPr>
        <w:jc w:val="left"/>
        <w:rPr>
          <w:rFonts w:ascii="宋体" w:hAnsi="宋体" w:cs="宋体"/>
          <w:sz w:val="24"/>
        </w:rPr>
      </w:pPr>
      <w:r>
        <w:rPr>
          <w:rFonts w:hint="eastAsia" w:ascii="宋体" w:hAnsi="宋体" w:cs="宋体"/>
          <w:sz w:val="24"/>
        </w:rPr>
        <w:t>3.2.1</w:t>
      </w:r>
      <w:r>
        <w:rPr>
          <w:rFonts w:ascii="宋体" w:hAnsi="宋体" w:cs="宋体"/>
          <w:sz w:val="24"/>
        </w:rPr>
        <w:t>1</w:t>
      </w:r>
      <w:r>
        <w:rPr>
          <w:rFonts w:hint="eastAsia" w:ascii="宋体" w:hAnsi="宋体" w:cs="宋体"/>
          <w:sz w:val="24"/>
        </w:rPr>
        <w:t xml:space="preserve"> 工作站及软件 </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3.2.1</w:t>
      </w:r>
      <w:r>
        <w:rPr>
          <w:rFonts w:ascii="宋体" w:hAnsi="宋体" w:cs="宋体"/>
          <w:sz w:val="24"/>
        </w:rPr>
        <w:t>1</w:t>
      </w:r>
      <w:r>
        <w:rPr>
          <w:rFonts w:hint="eastAsia" w:ascii="宋体" w:hAnsi="宋体" w:cs="宋体"/>
          <w:sz w:val="24"/>
        </w:rPr>
        <w:t>.1 能够实现仪器的功能配置、条件优化、数据采集、数据处理、快速定量。软件同时控制液相、质谱，确保系统待用</w:t>
      </w:r>
      <w:r>
        <w:rPr>
          <w:rFonts w:hint="eastAsia" w:ascii="宋体" w:hAnsi="宋体" w:cs="宋体"/>
          <w:sz w:val="24"/>
        </w:rPr>
        <w:tab/>
      </w:r>
      <w:r>
        <w:rPr>
          <w:rFonts w:hint="eastAsia" w:ascii="宋体" w:hAnsi="宋体" w:cs="宋体"/>
          <w:sz w:val="24"/>
        </w:rPr>
        <w:tab/>
      </w:r>
    </w:p>
    <w:p>
      <w:pPr>
        <w:jc w:val="left"/>
        <w:rPr>
          <w:rFonts w:ascii="宋体" w:hAnsi="宋体" w:cs="宋体"/>
          <w:sz w:val="24"/>
        </w:rPr>
      </w:pPr>
      <w:r>
        <w:rPr>
          <w:rFonts w:hint="eastAsia" w:ascii="宋体" w:hAnsi="宋体" w:cs="宋体"/>
          <w:sz w:val="24"/>
        </w:rPr>
        <w:t>3.2.1</w:t>
      </w:r>
      <w:r>
        <w:rPr>
          <w:rFonts w:ascii="宋体" w:hAnsi="宋体" w:cs="宋体"/>
          <w:sz w:val="24"/>
        </w:rPr>
        <w:t>1</w:t>
      </w:r>
      <w:r>
        <w:rPr>
          <w:rFonts w:hint="eastAsia" w:ascii="宋体" w:hAnsi="宋体" w:cs="宋体"/>
          <w:sz w:val="24"/>
        </w:rPr>
        <w:t>.2 能提供定量数据质量监测，以确定QC或空白样品是否落在用户指定的误差范围内。能决定样品是否被注入或是需要进行更详细的检查，确保实验室的资源得到最充分利用</w:t>
      </w:r>
      <w:r>
        <w:rPr>
          <w:rFonts w:hint="eastAsia" w:ascii="宋体" w:hAnsi="宋体" w:cs="宋体"/>
          <w:sz w:val="24"/>
        </w:rPr>
        <w:tab/>
      </w:r>
    </w:p>
    <w:p>
      <w:pPr>
        <w:jc w:val="left"/>
        <w:rPr>
          <w:rFonts w:ascii="宋体" w:hAnsi="宋体" w:cs="宋体"/>
          <w:sz w:val="24"/>
        </w:rPr>
      </w:pPr>
      <w:r>
        <w:rPr>
          <w:rFonts w:hint="eastAsia" w:ascii="宋体" w:hAnsi="宋体" w:cs="宋体"/>
          <w:sz w:val="24"/>
        </w:rPr>
        <w:t>3.2.1</w:t>
      </w:r>
      <w:r>
        <w:rPr>
          <w:rFonts w:ascii="宋体" w:hAnsi="宋体" w:cs="宋体"/>
          <w:sz w:val="24"/>
        </w:rPr>
        <w:t>1</w:t>
      </w:r>
      <w:r>
        <w:rPr>
          <w:rFonts w:hint="eastAsia" w:ascii="宋体" w:hAnsi="宋体" w:cs="宋体"/>
          <w:sz w:val="24"/>
        </w:rPr>
        <w:t>.3 配备高通量定量软件，可处理大批量样品，同时分析上百种甚至上千种化合物。要求能自动标识离子比率、异常值等。积分可靠，减少积分误差。智能的多化合物MRM方法设置，可根据每个MRM目标物的保留时间自动设置MRM窗口</w:t>
      </w:r>
    </w:p>
    <w:p>
      <w:pPr>
        <w:jc w:val="left"/>
        <w:rPr>
          <w:rFonts w:hint="eastAsia" w:ascii="宋体" w:hAnsi="宋体" w:cs="宋体"/>
          <w:sz w:val="24"/>
        </w:rPr>
      </w:pPr>
    </w:p>
    <w:p>
      <w:pPr>
        <w:jc w:val="left"/>
        <w:rPr>
          <w:rFonts w:ascii="宋体" w:hAnsi="宋体" w:cs="宋体"/>
          <w:b/>
          <w:bCs/>
          <w:sz w:val="24"/>
        </w:rPr>
      </w:pPr>
      <w:r>
        <w:rPr>
          <w:rFonts w:hint="eastAsia" w:ascii="宋体" w:hAnsi="宋体" w:cs="宋体"/>
          <w:b/>
          <w:bCs/>
          <w:sz w:val="24"/>
        </w:rPr>
        <w:t>4.供货配置要求</w:t>
      </w:r>
    </w:p>
    <w:p>
      <w:pPr>
        <w:jc w:val="left"/>
        <w:rPr>
          <w:rFonts w:ascii="宋体" w:hAnsi="宋体" w:cs="宋体"/>
          <w:sz w:val="24"/>
        </w:rPr>
      </w:pPr>
      <w:r>
        <w:rPr>
          <w:rFonts w:hint="eastAsia" w:ascii="宋体" w:hAnsi="宋体" w:cs="宋体"/>
          <w:sz w:val="24"/>
        </w:rPr>
        <w:t>4.1液相色谱仪1套（含超高压二元梯度泵、在线脱气机、大容量柱温箱、自动进样器、溶剂瓶及托盘，）</w:t>
      </w:r>
    </w:p>
    <w:p>
      <w:pPr>
        <w:jc w:val="left"/>
        <w:rPr>
          <w:rFonts w:ascii="宋体" w:hAnsi="宋体" w:cs="宋体"/>
          <w:sz w:val="24"/>
        </w:rPr>
      </w:pPr>
      <w:r>
        <w:rPr>
          <w:rFonts w:hint="eastAsia" w:ascii="宋体" w:hAnsi="宋体" w:cs="宋体"/>
          <w:sz w:val="24"/>
        </w:rPr>
        <w:t>4.2三重四极杆质谱仪1台</w:t>
      </w:r>
    </w:p>
    <w:p>
      <w:pPr>
        <w:jc w:val="left"/>
        <w:rPr>
          <w:rFonts w:ascii="宋体" w:hAnsi="宋体" w:cs="宋体"/>
          <w:sz w:val="24"/>
        </w:rPr>
      </w:pPr>
      <w:r>
        <w:rPr>
          <w:rFonts w:hint="eastAsia" w:ascii="宋体" w:hAnsi="宋体" w:cs="宋体"/>
          <w:sz w:val="24"/>
        </w:rPr>
        <w:t>4.3 ESI和APCI离子源1套</w:t>
      </w:r>
    </w:p>
    <w:p>
      <w:pPr>
        <w:jc w:val="left"/>
        <w:rPr>
          <w:rFonts w:ascii="宋体" w:hAnsi="宋体" w:cs="宋体"/>
          <w:sz w:val="24"/>
        </w:rPr>
      </w:pPr>
      <w:r>
        <w:rPr>
          <w:rFonts w:hint="eastAsia" w:ascii="宋体" w:hAnsi="宋体" w:cs="宋体"/>
          <w:sz w:val="24"/>
        </w:rPr>
        <w:t>4.4配套专用质谱数据处理工作站及打印机1套</w:t>
      </w:r>
    </w:p>
    <w:p>
      <w:pPr>
        <w:jc w:val="left"/>
        <w:rPr>
          <w:rFonts w:ascii="宋体" w:hAnsi="宋体" w:cs="宋体"/>
          <w:sz w:val="24"/>
        </w:rPr>
      </w:pPr>
      <w:r>
        <w:rPr>
          <w:rFonts w:hint="eastAsia" w:ascii="宋体" w:hAnsi="宋体" w:cs="宋体"/>
          <w:sz w:val="24"/>
        </w:rPr>
        <w:t>4.5高通量定量优化和数据处理软件</w:t>
      </w:r>
      <w:r>
        <w:rPr>
          <w:rFonts w:ascii="宋体" w:hAnsi="宋体" w:cs="宋体"/>
          <w:sz w:val="24"/>
        </w:rPr>
        <w:t>2</w:t>
      </w:r>
      <w:r>
        <w:rPr>
          <w:rFonts w:hint="eastAsia" w:ascii="宋体" w:hAnsi="宋体" w:cs="宋体"/>
          <w:sz w:val="24"/>
        </w:rPr>
        <w:t>套</w:t>
      </w:r>
    </w:p>
    <w:p>
      <w:pPr>
        <w:jc w:val="left"/>
        <w:rPr>
          <w:rFonts w:ascii="宋体" w:hAnsi="宋体" w:cs="宋体"/>
          <w:sz w:val="24"/>
        </w:rPr>
      </w:pPr>
      <w:r>
        <w:rPr>
          <w:rFonts w:hint="eastAsia" w:ascii="宋体" w:hAnsi="宋体" w:cs="宋体"/>
          <w:sz w:val="24"/>
        </w:rPr>
        <w:t>4.6溶剂选择阀1套</w:t>
      </w:r>
    </w:p>
    <w:p>
      <w:pPr>
        <w:jc w:val="left"/>
        <w:rPr>
          <w:rFonts w:ascii="宋体" w:hAnsi="宋体" w:cs="宋体"/>
          <w:sz w:val="24"/>
        </w:rPr>
      </w:pPr>
      <w:r>
        <w:rPr>
          <w:rFonts w:hint="eastAsia" w:ascii="宋体" w:hAnsi="宋体" w:cs="宋体"/>
          <w:sz w:val="24"/>
        </w:rPr>
        <w:t>4.7 氮气发生器一台（总流量＞40L/min）</w:t>
      </w:r>
    </w:p>
    <w:p>
      <w:pPr>
        <w:jc w:val="left"/>
        <w:rPr>
          <w:rFonts w:ascii="宋体" w:hAnsi="宋体" w:cs="宋体"/>
          <w:sz w:val="24"/>
        </w:rPr>
      </w:pPr>
      <w:r>
        <w:rPr>
          <w:rFonts w:hint="eastAsia" w:ascii="宋体" w:hAnsi="宋体" w:cs="宋体"/>
          <w:sz w:val="24"/>
        </w:rPr>
        <w:t>4.8不间断电源（</w:t>
      </w:r>
      <w:r>
        <w:rPr>
          <w:rFonts w:ascii="宋体" w:hAnsi="宋体" w:cs="宋体"/>
          <w:sz w:val="24"/>
        </w:rPr>
        <w:t>10</w:t>
      </w:r>
      <w:r>
        <w:rPr>
          <w:rFonts w:hint="eastAsia" w:ascii="宋体" w:hAnsi="宋体" w:cs="宋体"/>
          <w:sz w:val="24"/>
        </w:rPr>
        <w:t>KVA，</w:t>
      </w:r>
      <w:r>
        <w:rPr>
          <w:rFonts w:ascii="宋体" w:hAnsi="宋体" w:cs="宋体"/>
          <w:sz w:val="24"/>
        </w:rPr>
        <w:t>4</w:t>
      </w:r>
      <w:r>
        <w:rPr>
          <w:rFonts w:hint="eastAsia" w:ascii="宋体" w:hAnsi="宋体" w:cs="宋体"/>
          <w:sz w:val="24"/>
        </w:rPr>
        <w:t>h）1台</w:t>
      </w:r>
    </w:p>
    <w:p>
      <w:pPr>
        <w:jc w:val="left"/>
        <w:rPr>
          <w:rFonts w:ascii="宋体" w:hAnsi="宋体" w:cs="宋体"/>
          <w:sz w:val="24"/>
        </w:rPr>
      </w:pPr>
      <w:r>
        <w:rPr>
          <w:rFonts w:ascii="宋体" w:hAnsi="宋体" w:cs="宋体"/>
          <w:sz w:val="24"/>
        </w:rPr>
        <w:t>4.9</w:t>
      </w:r>
      <w:r>
        <w:rPr>
          <w:rFonts w:hint="eastAsia" w:ascii="宋体" w:hAnsi="宋体" w:cs="宋体"/>
          <w:sz w:val="24"/>
        </w:rPr>
        <w:t>备品备件：机械泵油2瓶； ESI和APCI喷针各五根；农药残留专用色谱柱孔径2.6um 1根；兽药残留专用色谱柱孔径2.6um 1根；C18专用色谱柱孔径1.7um或2.6um</w:t>
      </w:r>
      <w:r>
        <w:rPr>
          <w:rFonts w:ascii="宋体" w:hAnsi="宋体" w:cs="宋体"/>
          <w:sz w:val="24"/>
        </w:rPr>
        <w:t xml:space="preserve"> 2</w:t>
      </w:r>
      <w:r>
        <w:rPr>
          <w:rFonts w:hint="eastAsia" w:ascii="宋体" w:hAnsi="宋体" w:cs="宋体"/>
          <w:sz w:val="24"/>
        </w:rPr>
        <w:t>根；</w:t>
      </w:r>
    </w:p>
    <w:p>
      <w:pPr>
        <w:jc w:val="left"/>
        <w:rPr>
          <w:rFonts w:ascii="宋体" w:hAnsi="宋体" w:cs="宋体"/>
          <w:sz w:val="24"/>
        </w:rPr>
      </w:pPr>
      <w:r>
        <w:rPr>
          <w:rFonts w:hint="eastAsia" w:ascii="宋体" w:hAnsi="宋体" w:cs="宋体"/>
          <w:sz w:val="24"/>
        </w:rPr>
        <w:t>4</w:t>
      </w:r>
      <w:r>
        <w:rPr>
          <w:rFonts w:ascii="宋体" w:hAnsi="宋体" w:cs="宋体"/>
          <w:sz w:val="24"/>
        </w:rPr>
        <w:t xml:space="preserve">.10 </w:t>
      </w:r>
      <w:r>
        <w:rPr>
          <w:rFonts w:hint="eastAsia" w:ascii="宋体" w:hAnsi="宋体" w:cs="宋体"/>
          <w:sz w:val="24"/>
        </w:rPr>
        <w:t>提供仪器调试安装所需标准样品</w:t>
      </w:r>
    </w:p>
    <w:p>
      <w:pPr>
        <w:jc w:val="left"/>
        <w:rPr>
          <w:rFonts w:hint="eastAsia" w:ascii="宋体" w:hAnsi="宋体" w:cs="宋体"/>
          <w:color w:val="FF0000"/>
          <w:sz w:val="24"/>
        </w:rPr>
      </w:pPr>
    </w:p>
    <w:p>
      <w:pPr>
        <w:jc w:val="left"/>
        <w:rPr>
          <w:rFonts w:ascii="宋体" w:hAnsi="宋体" w:cs="宋体"/>
          <w:b/>
          <w:bCs/>
          <w:sz w:val="24"/>
        </w:rPr>
      </w:pPr>
      <w:r>
        <w:rPr>
          <w:rFonts w:ascii="宋体" w:hAnsi="宋体" w:cs="宋体"/>
          <w:b/>
          <w:bCs/>
          <w:sz w:val="24"/>
        </w:rPr>
        <w:t>5.</w:t>
      </w:r>
      <w:r>
        <w:rPr>
          <w:rFonts w:hint="eastAsia" w:ascii="宋体" w:hAnsi="宋体" w:cs="宋体"/>
          <w:b/>
          <w:bCs/>
          <w:sz w:val="24"/>
        </w:rPr>
        <w:t>售后服务与国内培训要求</w:t>
      </w:r>
    </w:p>
    <w:p>
      <w:pPr>
        <w:jc w:val="left"/>
        <w:rPr>
          <w:rFonts w:hint="eastAsia" w:ascii="宋体" w:hAnsi="宋体" w:cs="宋体"/>
          <w:color w:val="FF0000"/>
          <w:sz w:val="24"/>
        </w:rPr>
      </w:pPr>
      <w:r>
        <w:rPr>
          <w:rFonts w:ascii="宋体" w:hAnsi="宋体" w:cs="宋体"/>
          <w:sz w:val="24"/>
        </w:rPr>
        <w:t>5.1</w:t>
      </w:r>
      <w:r>
        <w:rPr>
          <w:rFonts w:hint="eastAsia" w:ascii="宋体" w:hAnsi="宋体" w:cs="宋体"/>
          <w:sz w:val="24"/>
        </w:rPr>
        <w:t>要求整机免费保修1年。整机提供至少1</w:t>
      </w:r>
      <w:r>
        <w:rPr>
          <w:rFonts w:ascii="宋体" w:hAnsi="宋体" w:cs="宋体"/>
          <w:sz w:val="24"/>
        </w:rPr>
        <w:t>0</w:t>
      </w:r>
      <w:r>
        <w:rPr>
          <w:rFonts w:hint="eastAsia" w:ascii="宋体" w:hAnsi="宋体" w:cs="宋体"/>
          <w:sz w:val="24"/>
        </w:rPr>
        <w:t>年维修维护和技术咨询服务。</w:t>
      </w:r>
    </w:p>
    <w:p>
      <w:pPr>
        <w:jc w:val="left"/>
        <w:rPr>
          <w:rFonts w:hint="eastAsia" w:ascii="宋体" w:hAnsi="宋体" w:cs="宋体"/>
          <w:sz w:val="24"/>
        </w:rPr>
      </w:pPr>
      <w:r>
        <w:rPr>
          <w:rFonts w:ascii="宋体" w:hAnsi="宋体" w:cs="宋体"/>
          <w:sz w:val="24"/>
        </w:rPr>
        <w:t>5.</w:t>
      </w:r>
      <w:r>
        <w:rPr>
          <w:rFonts w:hint="eastAsia" w:ascii="宋体" w:hAnsi="宋体" w:cs="宋体"/>
          <w:sz w:val="24"/>
        </w:rPr>
        <w:t>1</w:t>
      </w:r>
      <w:r>
        <w:rPr>
          <w:rFonts w:ascii="宋体" w:hAnsi="宋体" w:cs="宋体"/>
          <w:sz w:val="24"/>
        </w:rPr>
        <w:t xml:space="preserve"> </w:t>
      </w:r>
      <w:r>
        <w:rPr>
          <w:rFonts w:hint="eastAsia" w:ascii="宋体" w:hAnsi="宋体" w:cs="宋体"/>
          <w:sz w:val="24"/>
        </w:rPr>
        <w:t>故障处理：供应商对用户的服务要求应在24小时内响应；需要在现场进行维修的，应在2个工作日内到达仪器现场。</w:t>
      </w:r>
    </w:p>
    <w:p>
      <w:pPr>
        <w:jc w:val="left"/>
        <w:rPr>
          <w:rFonts w:ascii="宋体" w:hAnsi="宋体"/>
          <w:sz w:val="24"/>
        </w:rPr>
      </w:pPr>
      <w:r>
        <w:rPr>
          <w:rFonts w:ascii="宋体" w:hAnsi="宋体" w:cs="宋体"/>
          <w:sz w:val="24"/>
        </w:rPr>
        <w:t>5.</w:t>
      </w:r>
      <w:r>
        <w:rPr>
          <w:rFonts w:hint="eastAsia" w:ascii="宋体" w:hAnsi="宋体" w:cs="宋体"/>
          <w:sz w:val="24"/>
        </w:rPr>
        <w:t>2</w:t>
      </w:r>
      <w:r>
        <w:rPr>
          <w:rFonts w:ascii="宋体" w:hAnsi="宋体" w:cs="宋体"/>
          <w:sz w:val="24"/>
        </w:rPr>
        <w:t xml:space="preserve"> </w:t>
      </w:r>
      <w:r>
        <w:rPr>
          <w:rFonts w:hint="eastAsia" w:ascii="宋体" w:hAnsi="宋体" w:cs="宋体"/>
          <w:sz w:val="24"/>
        </w:rPr>
        <w:t>培训要求：供应商应在到货后1</w:t>
      </w:r>
      <w:r>
        <w:rPr>
          <w:rFonts w:ascii="宋体" w:hAnsi="宋体" w:cs="宋体"/>
          <w:sz w:val="24"/>
        </w:rPr>
        <w:t>5</w:t>
      </w:r>
      <w:r>
        <w:rPr>
          <w:rFonts w:hint="eastAsia" w:ascii="宋体" w:hAnsi="宋体" w:cs="宋体"/>
          <w:sz w:val="24"/>
        </w:rPr>
        <w:t>个工作日内完成仪器安装调试，并免费提供用户现场安装、调试及培训；装机现场培训时，的安装工程师在用户现场安装调试完毕后，进行现场讲解培训，保证用户掌握基本技能，可以正确操作使用仪器，指导分析1</w:t>
      </w:r>
      <w:r>
        <w:rPr>
          <w:rFonts w:ascii="宋体" w:hAnsi="宋体" w:cs="宋体"/>
          <w:sz w:val="24"/>
        </w:rPr>
        <w:t>0</w:t>
      </w:r>
      <w:r>
        <w:rPr>
          <w:rFonts w:hint="eastAsia" w:ascii="宋体" w:hAnsi="宋体" w:cs="宋体"/>
          <w:sz w:val="24"/>
        </w:rPr>
        <w:t>种以上PFOS及1</w:t>
      </w:r>
      <w:r>
        <w:rPr>
          <w:rFonts w:ascii="宋体" w:hAnsi="宋体" w:cs="宋体"/>
          <w:sz w:val="24"/>
        </w:rPr>
        <w:t>5</w:t>
      </w:r>
      <w:r>
        <w:rPr>
          <w:rFonts w:hint="eastAsia" w:ascii="宋体" w:hAnsi="宋体" w:cs="宋体"/>
          <w:sz w:val="24"/>
        </w:rPr>
        <w:t>种不同极性PPCP自来水加标样品（优化方法，建立标准曲线，定量分析结果）；提供</w:t>
      </w:r>
      <w:r>
        <w:rPr>
          <w:rFonts w:ascii="宋体" w:hAnsi="宋体"/>
          <w:sz w:val="24"/>
        </w:rPr>
        <w:t>北京/上海/成都培训中心培训名额2个。</w:t>
      </w:r>
    </w:p>
    <w:p>
      <w:pPr>
        <w:rPr>
          <w:rFonts w:hint="eastAsia" w:ascii="宋体" w:hAnsi="宋体" w:eastAsia="宋体" w:cs="宋体"/>
          <w:color w:val="auto"/>
        </w:rPr>
      </w:pPr>
    </w:p>
    <w:sectPr>
      <w:footerReference r:id="rId5" w:type="first"/>
      <w:footerReference r:id="rId3" w:type="default"/>
      <w:footerReference r:id="rId4" w:type="even"/>
      <w:pgSz w:w="11907" w:h="16840"/>
      <w:pgMar w:top="1134" w:right="1227" w:bottom="1174" w:left="1440" w:header="680" w:footer="567" w:gutter="0"/>
      <w:pgNumType w:fmt="decimalFullWidth" w:start="0"/>
      <w:cols w:space="425"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rPr>
        <w:rStyle w:val="26"/>
      </w:rPr>
    </w:pPr>
    <w:r>
      <w:rPr>
        <w:rStyle w:val="26"/>
      </w:rPr>
      <w:fldChar w:fldCharType="begin"/>
    </w:r>
    <w:r>
      <w:rPr>
        <w:rStyle w:val="26"/>
      </w:rPr>
      <w:instrText xml:space="preserve"> PAGE </w:instrText>
    </w:r>
    <w:r>
      <w:rPr>
        <w:rStyle w:val="26"/>
      </w:rPr>
      <w:fldChar w:fldCharType="separate"/>
    </w:r>
    <w:r>
      <w:rPr>
        <w:rStyle w:val="26"/>
        <w:rFonts w:hint="eastAsia"/>
      </w:rPr>
      <w:t>４</w:t>
    </w:r>
    <w:r>
      <w:rPr>
        <w:rStyle w:val="26"/>
      </w:rPr>
      <w:fldChar w:fldCharType="end"/>
    </w:r>
  </w:p>
  <w:p>
    <w:pPr>
      <w:pStyle w:val="15"/>
      <w:framePr w:wrap="around" w:vAnchor="text" w:hAnchor="margin" w:xAlign="center" w:y="1"/>
      <w:rPr>
        <w:rStyle w:val="26"/>
      </w:rPr>
    </w:pPr>
  </w:p>
  <w:p>
    <w:pPr>
      <w:pStyle w:val="15"/>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0</w:t>
    </w:r>
    <w:r>
      <w:rPr>
        <w:rStyle w:val="26"/>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VlYWFjZDM3OWU3Yjg2NDA1NjRjOTA0NmU0YTRmZDcifQ=="/>
  </w:docVars>
  <w:rsids>
    <w:rsidRoot w:val="4DB2378B"/>
    <w:rsid w:val="002846E0"/>
    <w:rsid w:val="00490A1C"/>
    <w:rsid w:val="00537C42"/>
    <w:rsid w:val="005D753E"/>
    <w:rsid w:val="00762038"/>
    <w:rsid w:val="00AB734C"/>
    <w:rsid w:val="08D11E87"/>
    <w:rsid w:val="0A2411EC"/>
    <w:rsid w:val="0BC447FC"/>
    <w:rsid w:val="0F6B65DB"/>
    <w:rsid w:val="12303A61"/>
    <w:rsid w:val="140235CE"/>
    <w:rsid w:val="16B37FE7"/>
    <w:rsid w:val="181D604B"/>
    <w:rsid w:val="266F2102"/>
    <w:rsid w:val="267D2424"/>
    <w:rsid w:val="27042EEA"/>
    <w:rsid w:val="27DC4A2B"/>
    <w:rsid w:val="28272A97"/>
    <w:rsid w:val="29A84893"/>
    <w:rsid w:val="2AF2177B"/>
    <w:rsid w:val="347D1F9C"/>
    <w:rsid w:val="36DB0D2D"/>
    <w:rsid w:val="380A0C3F"/>
    <w:rsid w:val="394005D1"/>
    <w:rsid w:val="3D871B9D"/>
    <w:rsid w:val="3E1C1F5A"/>
    <w:rsid w:val="42971023"/>
    <w:rsid w:val="432F4D6C"/>
    <w:rsid w:val="46AD0294"/>
    <w:rsid w:val="49C15782"/>
    <w:rsid w:val="4B3F3E35"/>
    <w:rsid w:val="4CD50A69"/>
    <w:rsid w:val="4DB2378B"/>
    <w:rsid w:val="515A7FAC"/>
    <w:rsid w:val="55A826A0"/>
    <w:rsid w:val="5CCA30BF"/>
    <w:rsid w:val="5DA25D37"/>
    <w:rsid w:val="60113AD8"/>
    <w:rsid w:val="60C86648"/>
    <w:rsid w:val="63780731"/>
    <w:rsid w:val="669E5B62"/>
    <w:rsid w:val="66D73B21"/>
    <w:rsid w:val="67272A3B"/>
    <w:rsid w:val="69600242"/>
    <w:rsid w:val="6AE00E9D"/>
    <w:rsid w:val="6B1F4650"/>
    <w:rsid w:val="6B2B41D2"/>
    <w:rsid w:val="6CD43966"/>
    <w:rsid w:val="6D535020"/>
    <w:rsid w:val="725A7B3D"/>
    <w:rsid w:val="772D3036"/>
    <w:rsid w:val="7958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2"/>
    <w:qFormat/>
    <w:uiPriority w:val="99"/>
    <w:pPr>
      <w:keepNext/>
      <w:keepLines/>
      <w:spacing w:before="340" w:after="330" w:line="578" w:lineRule="auto"/>
      <w:outlineLvl w:val="0"/>
    </w:pPr>
    <w:rPr>
      <w:rFonts w:ascii="等线" w:hAnsi="等线" w:eastAsia="等线"/>
      <w:b/>
      <w:bCs/>
      <w:kern w:val="44"/>
      <w:sz w:val="44"/>
      <w:szCs w:val="44"/>
    </w:rPr>
  </w:style>
  <w:style w:type="paragraph" w:styleId="4">
    <w:name w:val="heading 2"/>
    <w:basedOn w:val="1"/>
    <w:next w:val="1"/>
    <w:link w:val="35"/>
    <w:qFormat/>
    <w:uiPriority w:val="99"/>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qFormat/>
    <w:uiPriority w:val="0"/>
    <w:pPr>
      <w:tabs>
        <w:tab w:val="left" w:pos="851"/>
      </w:tabs>
      <w:autoSpaceDE w:val="0"/>
      <w:autoSpaceDN w:val="0"/>
      <w:adjustRightInd w:val="0"/>
      <w:snapToGrid w:val="0"/>
      <w:spacing w:line="360" w:lineRule="auto"/>
      <w:outlineLvl w:val="2"/>
    </w:pPr>
    <w:rPr>
      <w:rFonts w:ascii="宋体"/>
      <w:kern w:val="0"/>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annotation text"/>
    <w:basedOn w:val="1"/>
    <w:qFormat/>
    <w:uiPriority w:val="0"/>
    <w:pPr>
      <w:jc w:val="left"/>
    </w:pPr>
  </w:style>
  <w:style w:type="paragraph" w:styleId="7">
    <w:name w:val="Body Text"/>
    <w:basedOn w:val="1"/>
    <w:qFormat/>
    <w:uiPriority w:val="0"/>
    <w:pPr>
      <w:adjustRightInd w:val="0"/>
      <w:spacing w:line="360" w:lineRule="atLeast"/>
      <w:jc w:val="center"/>
      <w:textAlignment w:val="baseline"/>
    </w:pPr>
    <w:rPr>
      <w:kern w:val="0"/>
      <w:sz w:val="24"/>
    </w:rPr>
  </w:style>
  <w:style w:type="paragraph" w:styleId="8">
    <w:name w:val="Body Text Indent"/>
    <w:basedOn w:val="1"/>
    <w:link w:val="37"/>
    <w:qFormat/>
    <w:uiPriority w:val="99"/>
    <w:pPr>
      <w:spacing w:after="120"/>
      <w:ind w:left="420" w:leftChars="200"/>
    </w:pPr>
    <w:rPr>
      <w:rFonts w:ascii="Times New Roman" w:hAnsi="Times New Roman"/>
    </w:rPr>
  </w:style>
  <w:style w:type="paragraph" w:styleId="9">
    <w:name w:val="index 4"/>
    <w:basedOn w:val="1"/>
    <w:next w:val="1"/>
    <w:semiHidden/>
    <w:unhideWhenUsed/>
    <w:qFormat/>
    <w:uiPriority w:val="99"/>
    <w:pPr>
      <w:ind w:left="600" w:leftChars="600"/>
    </w:pPr>
  </w:style>
  <w:style w:type="paragraph" w:styleId="10">
    <w:name w:val="Plain Text"/>
    <w:basedOn w:val="1"/>
    <w:next w:val="11"/>
    <w:qFormat/>
    <w:uiPriority w:val="0"/>
    <w:rPr>
      <w:rFonts w:ascii="宋体" w:hAnsi="Courier New" w:cs="仿宋_GB2312"/>
      <w:szCs w:val="21"/>
    </w:rPr>
  </w:style>
  <w:style w:type="paragraph" w:styleId="11">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12">
    <w:name w:val="Date"/>
    <w:basedOn w:val="1"/>
    <w:next w:val="1"/>
    <w:qFormat/>
    <w:uiPriority w:val="0"/>
    <w:pPr>
      <w:ind w:left="100" w:leftChars="2500"/>
    </w:pPr>
    <w:rPr>
      <w:sz w:val="28"/>
    </w:rPr>
  </w:style>
  <w:style w:type="paragraph" w:styleId="13">
    <w:name w:val="Body Text Indent 2"/>
    <w:basedOn w:val="1"/>
    <w:unhideWhenUsed/>
    <w:qFormat/>
    <w:uiPriority w:val="99"/>
    <w:pPr>
      <w:ind w:left="105" w:firstLine="690"/>
    </w:pPr>
    <w:rPr>
      <w:kern w:val="0"/>
      <w:sz w:val="32"/>
      <w:szCs w:val="24"/>
    </w:rPr>
  </w:style>
  <w:style w:type="paragraph" w:styleId="14">
    <w:name w:val="Balloon Text"/>
    <w:basedOn w:val="1"/>
    <w:link w:val="40"/>
    <w:qFormat/>
    <w:uiPriority w:val="99"/>
    <w:rPr>
      <w:rFonts w:ascii="等线" w:hAnsi="等线" w:eastAsia="等线"/>
      <w:sz w:val="18"/>
      <w:szCs w:val="18"/>
    </w:rPr>
  </w:style>
  <w:style w:type="paragraph" w:styleId="15">
    <w:name w:val="footer"/>
    <w:basedOn w:val="1"/>
    <w:link w:val="31"/>
    <w:qFormat/>
    <w:uiPriority w:val="99"/>
    <w:pPr>
      <w:tabs>
        <w:tab w:val="center" w:pos="4153"/>
        <w:tab w:val="right" w:pos="8306"/>
      </w:tabs>
      <w:snapToGrid w:val="0"/>
      <w:jc w:val="left"/>
    </w:pPr>
    <w:rPr>
      <w:sz w:val="18"/>
      <w:szCs w:val="18"/>
    </w:rPr>
  </w:style>
  <w:style w:type="paragraph" w:styleId="16">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7">
    <w:name w:val="toc 4"/>
    <w:basedOn w:val="1"/>
    <w:next w:val="1"/>
    <w:qFormat/>
    <w:uiPriority w:val="39"/>
    <w:pPr>
      <w:ind w:left="1260" w:leftChars="600"/>
    </w:pPr>
    <w:rPr>
      <w:szCs w:val="20"/>
    </w:rPr>
  </w:style>
  <w:style w:type="paragraph" w:styleId="18">
    <w:name w:val="HTML Preformatted"/>
    <w:basedOn w:val="1"/>
    <w:link w:val="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0">
    <w:name w:val="Body Text First Indent"/>
    <w:basedOn w:val="1"/>
    <w:qFormat/>
    <w:uiPriority w:val="0"/>
    <w:pPr>
      <w:adjustRightInd/>
      <w:spacing w:after="120" w:line="400" w:lineRule="exact"/>
      <w:ind w:firstLine="420" w:firstLineChars="100"/>
      <w:jc w:val="both"/>
      <w:textAlignment w:val="auto"/>
    </w:pPr>
    <w:rPr>
      <w:rFonts w:ascii="宋体"/>
    </w:rPr>
  </w:style>
  <w:style w:type="paragraph" w:styleId="21">
    <w:name w:val="Body Text First Indent 2"/>
    <w:basedOn w:val="8"/>
    <w:next w:val="7"/>
    <w:qFormat/>
    <w:uiPriority w:val="0"/>
    <w:pPr>
      <w:ind w:firstLine="420"/>
    </w:pPr>
  </w:style>
  <w:style w:type="table" w:styleId="23">
    <w:name w:val="Table Grid"/>
    <w:basedOn w:val="22"/>
    <w:qFormat/>
    <w:uiPriority w:val="9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99"/>
    <w:rPr>
      <w:rFonts w:cs="Times New Roman"/>
      <w:b/>
      <w:bCs/>
    </w:rPr>
  </w:style>
  <w:style w:type="character" w:styleId="26">
    <w:name w:val="page number"/>
    <w:basedOn w:val="24"/>
    <w:qFormat/>
    <w:uiPriority w:val="0"/>
  </w:style>
  <w:style w:type="character" w:styleId="27">
    <w:name w:val="Hyperlink"/>
    <w:basedOn w:val="24"/>
    <w:qFormat/>
    <w:uiPriority w:val="99"/>
    <w:rPr>
      <w:rFonts w:cs="Times New Roman"/>
      <w:color w:val="000000"/>
      <w:sz w:val="18"/>
      <w:szCs w:val="18"/>
      <w:u w:val="none"/>
    </w:rPr>
  </w:style>
  <w:style w:type="paragraph" w:customStyle="1" w:styleId="28">
    <w:name w:val="表格文字"/>
    <w:basedOn w:val="1"/>
    <w:qFormat/>
    <w:uiPriority w:val="99"/>
    <w:pPr>
      <w:spacing w:before="25" w:after="25"/>
    </w:pPr>
    <w:rPr>
      <w:bCs/>
      <w:spacing w:val="10"/>
      <w:sz w:val="24"/>
      <w:szCs w:val="20"/>
    </w:rPr>
  </w:style>
  <w:style w:type="paragraph" w:customStyle="1" w:styleId="29">
    <w:name w:val="1正文1"/>
    <w:basedOn w:val="1"/>
    <w:qFormat/>
    <w:uiPriority w:val="0"/>
    <w:pPr>
      <w:widowControl/>
      <w:spacing w:line="360" w:lineRule="auto"/>
      <w:ind w:firstLine="200" w:firstLineChars="200"/>
      <w:jc w:val="left"/>
    </w:pPr>
    <w:rPr>
      <w:rFonts w:ascii="宋体" w:hAnsi="宋体" w:eastAsia="仿宋"/>
      <w:kern w:val="0"/>
      <w:sz w:val="28"/>
    </w:rPr>
  </w:style>
  <w:style w:type="character" w:customStyle="1" w:styleId="30">
    <w:name w:val="页眉 Char"/>
    <w:basedOn w:val="24"/>
    <w:link w:val="16"/>
    <w:qFormat/>
    <w:uiPriority w:val="99"/>
    <w:rPr>
      <w:rFonts w:ascii="Calibri" w:hAnsi="Calibri" w:eastAsia="宋体" w:cs="Times New Roman"/>
      <w:kern w:val="2"/>
      <w:sz w:val="18"/>
      <w:szCs w:val="18"/>
    </w:rPr>
  </w:style>
  <w:style w:type="character" w:customStyle="1" w:styleId="31">
    <w:name w:val="页脚 Char"/>
    <w:basedOn w:val="24"/>
    <w:link w:val="15"/>
    <w:qFormat/>
    <w:uiPriority w:val="99"/>
    <w:rPr>
      <w:rFonts w:ascii="Calibri" w:hAnsi="Calibri" w:eastAsia="宋体" w:cs="Times New Roman"/>
      <w:kern w:val="2"/>
      <w:sz w:val="18"/>
      <w:szCs w:val="18"/>
    </w:rPr>
  </w:style>
  <w:style w:type="paragraph" w:styleId="32">
    <w:name w:val="List Paragraph"/>
    <w:basedOn w:val="1"/>
    <w:next w:val="17"/>
    <w:qFormat/>
    <w:uiPriority w:val="99"/>
    <w:pPr>
      <w:ind w:firstLine="420" w:firstLineChars="200"/>
    </w:pPr>
    <w:rPr>
      <w:rFonts w:ascii="等线" w:hAnsi="等线" w:eastAsia="等线"/>
      <w:szCs w:val="22"/>
    </w:rPr>
  </w:style>
  <w:style w:type="paragraph" w:customStyle="1" w:styleId="33">
    <w:name w:val="11"/>
    <w:basedOn w:val="1"/>
    <w:qFormat/>
    <w:uiPriority w:val="99"/>
    <w:pPr>
      <w:widowControl/>
      <w:adjustRightInd w:val="0"/>
      <w:spacing w:line="360" w:lineRule="auto"/>
      <w:ind w:firstLine="420" w:firstLineChars="200"/>
      <w:jc w:val="left"/>
      <w:textAlignment w:val="baseline"/>
    </w:pPr>
    <w:rPr>
      <w:rFonts w:ascii="Arial" w:hAnsi="Arial" w:cs="宋体"/>
      <w:color w:val="000000"/>
      <w:kern w:val="0"/>
      <w:szCs w:val="20"/>
    </w:rPr>
  </w:style>
  <w:style w:type="paragraph" w:customStyle="1" w:styleId="34">
    <w:name w:val="on"/>
    <w:basedOn w:val="1"/>
    <w:qFormat/>
    <w:uiPriority w:val="99"/>
    <w:pPr>
      <w:widowControl/>
      <w:spacing w:before="100" w:beforeAutospacing="1" w:after="100" w:afterAutospacing="1"/>
      <w:jc w:val="left"/>
    </w:pPr>
    <w:rPr>
      <w:rFonts w:ascii="宋体" w:hAnsi="宋体" w:cs="宋体"/>
      <w:kern w:val="0"/>
      <w:sz w:val="24"/>
    </w:rPr>
  </w:style>
  <w:style w:type="character" w:customStyle="1" w:styleId="35">
    <w:name w:val="标题 2 Char"/>
    <w:basedOn w:val="24"/>
    <w:link w:val="4"/>
    <w:qFormat/>
    <w:uiPriority w:val="99"/>
    <w:rPr>
      <w:rFonts w:ascii="等线 Light" w:hAnsi="等线 Light" w:eastAsia="等线 Light" w:cs="Times New Roman"/>
      <w:b/>
      <w:bCs/>
      <w:kern w:val="2"/>
      <w:sz w:val="32"/>
      <w:szCs w:val="32"/>
    </w:rPr>
  </w:style>
  <w:style w:type="character" w:customStyle="1" w:styleId="36">
    <w:name w:val="标题 1 Char"/>
    <w:basedOn w:val="24"/>
    <w:link w:val="3"/>
    <w:qFormat/>
    <w:uiPriority w:val="99"/>
    <w:rPr>
      <w:rFonts w:ascii="等线" w:hAnsi="等线" w:eastAsia="等线" w:cs="Times New Roman"/>
      <w:b/>
      <w:bCs/>
      <w:kern w:val="44"/>
      <w:sz w:val="44"/>
      <w:szCs w:val="44"/>
    </w:rPr>
  </w:style>
  <w:style w:type="character" w:customStyle="1" w:styleId="37">
    <w:name w:val="正文文本缩进 Char"/>
    <w:basedOn w:val="24"/>
    <w:link w:val="8"/>
    <w:qFormat/>
    <w:uiPriority w:val="99"/>
    <w:rPr>
      <w:rFonts w:ascii="Times New Roman" w:hAnsi="Times New Roman" w:eastAsia="宋体" w:cs="Times New Roman"/>
      <w:kern w:val="2"/>
      <w:sz w:val="21"/>
      <w:szCs w:val="24"/>
    </w:rPr>
  </w:style>
  <w:style w:type="paragraph" w:customStyle="1" w:styleId="38">
    <w:name w:val="正文 1"/>
    <w:basedOn w:val="1"/>
    <w:qFormat/>
    <w:uiPriority w:val="99"/>
    <w:pPr>
      <w:widowControl/>
      <w:adjustRightInd w:val="0"/>
      <w:snapToGrid w:val="0"/>
      <w:spacing w:before="40" w:after="40" w:line="360" w:lineRule="auto"/>
      <w:ind w:left="1134"/>
      <w:jc w:val="left"/>
    </w:pPr>
    <w:rPr>
      <w:rFonts w:ascii="Times New Roman" w:hAnsi="Times New Roman"/>
      <w:szCs w:val="20"/>
    </w:rPr>
  </w:style>
  <w:style w:type="paragraph" w:customStyle="1" w:styleId="39">
    <w:name w:val="Table Paragraph"/>
    <w:basedOn w:val="1"/>
    <w:qFormat/>
    <w:uiPriority w:val="99"/>
    <w:pPr>
      <w:autoSpaceDE w:val="0"/>
      <w:autoSpaceDN w:val="0"/>
      <w:jc w:val="left"/>
    </w:pPr>
    <w:rPr>
      <w:rFonts w:ascii="宋体" w:hAnsi="宋体" w:cs="宋体"/>
      <w:kern w:val="0"/>
      <w:sz w:val="22"/>
      <w:szCs w:val="22"/>
      <w:lang w:eastAsia="en-US"/>
    </w:rPr>
  </w:style>
  <w:style w:type="character" w:customStyle="1" w:styleId="40">
    <w:name w:val="批注框文本 Char"/>
    <w:basedOn w:val="24"/>
    <w:link w:val="14"/>
    <w:qFormat/>
    <w:uiPriority w:val="99"/>
    <w:rPr>
      <w:rFonts w:ascii="等线" w:hAnsi="等线" w:eastAsia="等线" w:cs="Times New Roman"/>
      <w:kern w:val="2"/>
      <w:sz w:val="18"/>
      <w:szCs w:val="18"/>
    </w:rPr>
  </w:style>
  <w:style w:type="character" w:customStyle="1" w:styleId="41">
    <w:name w:val="HTML 预设格式 Char"/>
    <w:basedOn w:val="24"/>
    <w:link w:val="18"/>
    <w:qFormat/>
    <w:uiPriority w:val="99"/>
    <w:rPr>
      <w:rFonts w:eastAsia="宋体" w:cs="宋体"/>
      <w:sz w:val="24"/>
      <w:szCs w:val="24"/>
    </w:rPr>
  </w:style>
  <w:style w:type="character" w:customStyle="1" w:styleId="42">
    <w:name w:val="标题 1 字符"/>
    <w:link w:val="3"/>
    <w:qFormat/>
    <w:uiPriority w:val="9"/>
    <w:rPr>
      <w:rFonts w:ascii="Cambria" w:hAnsi="Cambria" w:eastAsia="宋体" w:cs="Times New Roman"/>
      <w:b/>
      <w:bCs/>
      <w:kern w:val="32"/>
      <w:sz w:val="32"/>
      <w:szCs w:val="32"/>
    </w:rPr>
  </w:style>
  <w:style w:type="paragraph" w:customStyle="1" w:styleId="43">
    <w:name w:val="彩色列表 - 强调文字颜色 11"/>
    <w:basedOn w:val="1"/>
    <w:qFormat/>
    <w:uiPriority w:val="0"/>
    <w:pPr>
      <w:widowControl/>
      <w:ind w:firstLine="420" w:firstLineChars="200"/>
      <w:jc w:val="left"/>
    </w:pPr>
    <w:rPr>
      <w:kern w:val="0"/>
      <w:sz w:val="24"/>
    </w:rPr>
  </w:style>
  <w:style w:type="character" w:customStyle="1" w:styleId="44">
    <w:name w:val="NormalCharacter"/>
    <w:semiHidden/>
    <w:qFormat/>
    <w:uiPriority w:val="0"/>
  </w:style>
  <w:style w:type="paragraph" w:customStyle="1" w:styleId="45">
    <w:name w:val="灯泡注释(打印无效)"/>
    <w:basedOn w:val="20"/>
    <w:qFormat/>
    <w:uiPriority w:val="0"/>
    <w:pPr>
      <w:snapToGrid w:val="0"/>
      <w:ind w:firstLine="0" w:firstLineChars="0"/>
    </w:pPr>
    <w:rPr>
      <w:i/>
      <w:vanish/>
      <w:color w:val="FF0000"/>
      <w:sz w:val="21"/>
      <w:szCs w:val="21"/>
    </w:rPr>
  </w:style>
  <w:style w:type="paragraph" w:customStyle="1" w:styleId="46">
    <w:name w:val="列出段落1"/>
    <w:basedOn w:val="1"/>
    <w:qFormat/>
    <w:uiPriority w:val="34"/>
    <w:pPr>
      <w:ind w:firstLine="420" w:firstLineChars="200"/>
    </w:pPr>
    <w:rPr>
      <w:szCs w:val="20"/>
    </w:rPr>
  </w:style>
  <w:style w:type="character" w:customStyle="1" w:styleId="47">
    <w:name w:val="fontstyle01"/>
    <w:qFormat/>
    <w:uiPriority w:val="0"/>
    <w:rPr>
      <w:rFonts w:hint="eastAsia" w:ascii="宋体" w:hAnsi="宋体" w:eastAsia="宋体"/>
      <w:color w:val="000000"/>
      <w:sz w:val="22"/>
      <w:szCs w:val="22"/>
    </w:rPr>
  </w:style>
  <w:style w:type="paragraph" w:customStyle="1" w:styleId="48">
    <w:name w:val="dd2"/>
    <w:basedOn w:val="1"/>
    <w:qFormat/>
    <w:uiPriority w:val="0"/>
    <w:pPr>
      <w:jc w:val="left"/>
    </w:pPr>
    <w:rPr>
      <w:rFonts w:ascii="Calibri" w:hAnsi="Calibri" w:eastAsia="宋体"/>
      <w:kern w:val="0"/>
    </w:rPr>
  </w:style>
  <w:style w:type="paragraph" w:customStyle="1" w:styleId="49">
    <w:name w:val="dd"/>
    <w:basedOn w:val="1"/>
    <w:qFormat/>
    <w:uiPriority w:val="0"/>
    <w:pPr>
      <w:jc w:val="left"/>
    </w:pPr>
    <w:rPr>
      <w:rFonts w:ascii="Calibri" w:hAnsi="Calibri" w:eastAsia="宋体"/>
      <w:kern w:val="0"/>
    </w:rPr>
  </w:style>
  <w:style w:type="paragraph" w:customStyle="1" w:styleId="50">
    <w:name w:val="列出段落3"/>
    <w:basedOn w:val="1"/>
    <w:unhideWhenUsed/>
    <w:qFormat/>
    <w:uiPriority w:val="0"/>
    <w:pPr>
      <w:spacing w:line="360" w:lineRule="auto"/>
      <w:ind w:firstLine="420" w:firstLineChars="200"/>
      <w:jc w:val="left"/>
    </w:pPr>
    <w:rPr>
      <w:rFonts w:ascii="Cambria" w:hAnsi="Cambria"/>
      <w:sz w:val="24"/>
    </w:rPr>
  </w:style>
  <w:style w:type="character" w:customStyle="1" w:styleId="51">
    <w:name w:val="font121"/>
    <w:basedOn w:val="24"/>
    <w:qFormat/>
    <w:uiPriority w:val="0"/>
    <w:rPr>
      <w:rFonts w:hint="eastAsia" w:ascii="宋体" w:hAnsi="宋体" w:eastAsia="宋体" w:cs="宋体"/>
      <w:b/>
      <w:color w:val="000000"/>
      <w:sz w:val="22"/>
      <w:szCs w:val="22"/>
      <w:u w:val="none"/>
    </w:rPr>
  </w:style>
  <w:style w:type="character" w:customStyle="1" w:styleId="52">
    <w:name w:val="font101"/>
    <w:basedOn w:val="24"/>
    <w:qFormat/>
    <w:uiPriority w:val="0"/>
    <w:rPr>
      <w:rFonts w:hint="eastAsia" w:ascii="宋体" w:hAnsi="宋体" w:eastAsia="宋体" w:cs="宋体"/>
      <w:color w:val="000000"/>
      <w:sz w:val="22"/>
      <w:szCs w:val="22"/>
      <w:u w:val="none"/>
    </w:rPr>
  </w:style>
  <w:style w:type="paragraph" w:customStyle="1" w:styleId="53">
    <w:name w:val="列出段落2"/>
    <w:basedOn w:val="1"/>
    <w:unhideWhenUsed/>
    <w:qFormat/>
    <w:uiPriority w:val="99"/>
    <w:pPr>
      <w:ind w:firstLine="420" w:firstLineChars="200"/>
    </w:pPr>
  </w:style>
  <w:style w:type="paragraph" w:styleId="5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55">
    <w:name w:val="font01"/>
    <w:basedOn w:val="24"/>
    <w:qFormat/>
    <w:uiPriority w:val="0"/>
    <w:rPr>
      <w:rFonts w:ascii="Calibri" w:hAnsi="Calibri" w:cs="Calibri"/>
      <w:color w:val="000000"/>
      <w:sz w:val="21"/>
      <w:szCs w:val="21"/>
      <w:u w:val="none"/>
    </w:rPr>
  </w:style>
  <w:style w:type="paragraph" w:customStyle="1" w:styleId="5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5</Pages>
  <Words>1688</Words>
  <Characters>1801</Characters>
  <Lines>103</Lines>
  <Paragraphs>29</Paragraphs>
  <TotalTime>0</TotalTime>
  <ScaleCrop>false</ScaleCrop>
  <LinksUpToDate>false</LinksUpToDate>
  <CharactersWithSpaces>1832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2018-07-06T01:05:00Z</dcterms:created>
  <dc:creator>尚进</dc:creator>
  <cp:lastModifiedBy>业务三部</cp:lastModifiedBy>
  <dcterms:modified xsi:type="dcterms:W3CDTF">2022-09-05T05:57:24Z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5B8A6CBB40D844499A69C55E150DC5D4</vt:lpwstr>
  </property>
</Properties>
</file>