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Cs/>
          <w:color w:val="auto"/>
          <w:szCs w:val="32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31115</wp:posOffset>
            </wp:positionV>
            <wp:extent cx="1628775" cy="600075"/>
            <wp:effectExtent l="0" t="0" r="1270" b="4445"/>
            <wp:wrapTight wrapText="bothSides">
              <wp:wrapPolygon>
                <wp:start x="-126" y="0"/>
                <wp:lineTo x="-126" y="21257"/>
                <wp:lineTo x="21600" y="21257"/>
                <wp:lineTo x="21600" y="0"/>
                <wp:lineTo x="-126" y="0"/>
              </wp:wrapPolygon>
            </wp:wrapTight>
            <wp:docPr id="1" name="图片 8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无标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 xml:space="preserve">                                           </w:t>
      </w:r>
    </w:p>
    <w:p>
      <w:pPr>
        <w:ind w:right="-281"/>
        <w:jc w:val="right"/>
        <w:rPr>
          <w:rFonts w:ascii="Bookman Old Style" w:hAnsi="Bookman Old Style"/>
          <w:b/>
          <w:color w:val="auto"/>
          <w:sz w:val="28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44"/>
          <w:szCs w:val="44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52"/>
          <w:szCs w:val="52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52"/>
          <w:szCs w:val="52"/>
          <w:highlight w:val="none"/>
        </w:rPr>
      </w:pPr>
      <w:r>
        <w:rPr>
          <w:rFonts w:hint="eastAsia"/>
          <w:b/>
          <w:color w:val="auto"/>
          <w:sz w:val="52"/>
          <w:szCs w:val="52"/>
          <w:highlight w:val="none"/>
        </w:rPr>
        <w:t>中国科学院化学研究所</w:t>
      </w:r>
    </w:p>
    <w:p>
      <w:pPr>
        <w:spacing w:after="312" w:afterLines="100"/>
        <w:jc w:val="center"/>
        <w:rPr>
          <w:b/>
          <w:color w:val="auto"/>
          <w:sz w:val="52"/>
          <w:szCs w:val="52"/>
          <w:highlight w:val="none"/>
        </w:rPr>
      </w:pPr>
      <w:r>
        <w:rPr>
          <w:rFonts w:hint="eastAsia"/>
          <w:b/>
          <w:color w:val="auto"/>
          <w:sz w:val="52"/>
          <w:szCs w:val="52"/>
          <w:highlight w:val="none"/>
          <w:u w:val="single"/>
        </w:rPr>
        <w:t>激光扫描共聚焦显微镜</w:t>
      </w:r>
      <w:r>
        <w:rPr>
          <w:rFonts w:hint="eastAsia"/>
          <w:b/>
          <w:color w:val="auto"/>
          <w:sz w:val="52"/>
          <w:szCs w:val="52"/>
          <w:highlight w:val="none"/>
        </w:rPr>
        <w:t>采购项目</w:t>
      </w:r>
      <w:bookmarkStart w:id="1" w:name="_GoBack"/>
      <w:bookmarkEnd w:id="1"/>
    </w:p>
    <w:p>
      <w:pPr>
        <w:spacing w:line="360" w:lineRule="auto"/>
        <w:jc w:val="center"/>
        <w:rPr>
          <w:b/>
          <w:color w:val="auto"/>
          <w:sz w:val="44"/>
          <w:highlight w:val="none"/>
        </w:rPr>
      </w:pPr>
    </w:p>
    <w:p>
      <w:pPr>
        <w:spacing w:line="360" w:lineRule="auto"/>
        <w:rPr>
          <w:b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招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标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文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件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第二册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（专用册）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spacing w:line="360" w:lineRule="auto"/>
        <w:ind w:firstLine="2168" w:firstLineChars="600"/>
        <w:rPr>
          <w:b/>
          <w:color w:val="auto"/>
          <w:sz w:val="32"/>
          <w:highlight w:val="none"/>
          <w:u w:val="singl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招标编号：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  <w:t>OITC-G220300317</w:t>
      </w:r>
    </w:p>
    <w:p>
      <w:pPr>
        <w:spacing w:line="360" w:lineRule="auto"/>
        <w:jc w:val="center"/>
        <w:rPr>
          <w:b/>
          <w:color w:val="auto"/>
          <w:sz w:val="32"/>
          <w:highlight w:val="none"/>
        </w:rPr>
      </w:pPr>
    </w:p>
    <w:p>
      <w:pPr>
        <w:spacing w:line="360" w:lineRule="auto"/>
        <w:jc w:val="center"/>
        <w:rPr>
          <w:b/>
          <w:color w:val="auto"/>
          <w:sz w:val="32"/>
          <w:highlight w:val="none"/>
        </w:rPr>
      </w:pPr>
    </w:p>
    <w:p>
      <w:pPr>
        <w:adjustRightInd w:val="0"/>
        <w:snapToGrid w:val="0"/>
        <w:spacing w:before="120"/>
        <w:jc w:val="center"/>
        <w:rPr>
          <w:rFonts w:ascii="宋体" w:hAnsi="宋体"/>
          <w:b/>
          <w:bCs/>
          <w:snapToGrid w:val="0"/>
          <w:color w:val="auto"/>
          <w:spacing w:val="20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napToGrid w:val="0"/>
          <w:color w:val="auto"/>
          <w:spacing w:val="20"/>
          <w:sz w:val="36"/>
          <w:szCs w:val="36"/>
          <w:highlight w:val="none"/>
        </w:rPr>
        <w:t>东方国际招标有限责任公司</w:t>
      </w: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</w:rPr>
        <w:t>中国 · 北京</w:t>
      </w: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</w:rPr>
        <w:t>2022年9月</w:t>
      </w: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  <w:bookmarkStart w:id="0" w:name="_Toc512937852"/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24"/>
          <w:highlight w:val="none"/>
        </w:rPr>
      </w:pPr>
    </w:p>
    <w:p>
      <w:pPr>
        <w:adjustRightInd w:val="0"/>
        <w:snapToGrid w:val="0"/>
        <w:spacing w:before="936" w:beforeLines="300"/>
        <w:jc w:val="center"/>
        <w:rPr>
          <w:rFonts w:ascii="黑体" w:eastAsia="黑体"/>
          <w:b/>
          <w:color w:val="auto"/>
          <w:kern w:val="44"/>
          <w:sz w:val="48"/>
          <w:szCs w:val="20"/>
          <w:highlight w:val="none"/>
        </w:rPr>
      </w:pPr>
      <w:r>
        <w:rPr>
          <w:rFonts w:hint="eastAsia" w:ascii="黑体" w:eastAsia="黑体"/>
          <w:b/>
          <w:color w:val="auto"/>
          <w:kern w:val="44"/>
          <w:sz w:val="48"/>
          <w:szCs w:val="20"/>
          <w:highlight w:val="none"/>
        </w:rPr>
        <w:t>第八部分  采购需求</w:t>
      </w:r>
      <w:r>
        <w:rPr>
          <w:rFonts w:ascii="黑体" w:eastAsia="黑体"/>
          <w:b/>
          <w:color w:val="auto"/>
          <w:kern w:val="44"/>
          <w:sz w:val="48"/>
          <w:szCs w:val="20"/>
          <w:highlight w:val="none"/>
        </w:rPr>
        <w:br w:type="page"/>
      </w:r>
    </w:p>
    <w:bookmarkEnd w:id="0"/>
    <w:p>
      <w:pPr>
        <w:numPr>
          <w:ilvl w:val="2"/>
          <w:numId w:val="1"/>
        </w:num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货物需求一览表</w:t>
      </w: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tbl>
      <w:tblPr>
        <w:tblStyle w:val="26"/>
        <w:tblW w:w="96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2640"/>
        <w:gridCol w:w="635"/>
        <w:gridCol w:w="1320"/>
        <w:gridCol w:w="1765"/>
        <w:gridCol w:w="2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包号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交货期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指定到货港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  <w:shd w:val="pct10" w:color="auto" w:fill="FFFFFF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Bookman Old Style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Bookman Old Style" w:hAnsi="Bookman Old Style"/>
                <w:color w:val="auto"/>
                <w:sz w:val="24"/>
                <w:highlight w:val="none"/>
              </w:rPr>
              <w:t>激光扫描共聚焦显微镜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1套</w:t>
            </w:r>
          </w:p>
        </w:tc>
        <w:tc>
          <w:tcPr>
            <w:tcW w:w="5605" w:type="dxa"/>
            <w:gridSpan w:val="3"/>
            <w:vAlign w:val="center"/>
          </w:tcPr>
          <w:p>
            <w:pPr>
              <w:jc w:val="center"/>
              <w:rPr>
                <w:rFonts w:ascii="宋体" w:hAnsi="Bookman Old Style"/>
                <w:color w:val="auto"/>
                <w:sz w:val="24"/>
                <w:highlight w:val="none"/>
              </w:rPr>
            </w:pPr>
            <w:r>
              <w:rPr>
                <w:rFonts w:hint="eastAsia" w:ascii="宋体" w:hAnsi="Bookman Old Style"/>
                <w:color w:val="auto"/>
                <w:sz w:val="24"/>
                <w:highlight w:val="none"/>
              </w:rPr>
              <w:t>详见具体技术规格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rPr>
          <w:rFonts w:ascii="Bookman Old Style" w:hAnsi="Bookman Old Style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注：投标人须对上述投标内容中完整的一包或几包进行投标，</w:t>
      </w:r>
      <w:r>
        <w:rPr>
          <w:rFonts w:hint="eastAsia" w:ascii="Bookman Old Style" w:hAnsi="Bookman Old Style"/>
          <w:color w:val="auto"/>
          <w:sz w:val="24"/>
          <w:highlight w:val="none"/>
        </w:rPr>
        <w:t>不完整的投标将视为非响应性投标予以拒绝。</w:t>
      </w: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ascii="宋体" w:hAnsi="宋体"/>
          <w:b/>
          <w:color w:val="auto"/>
          <w:sz w:val="30"/>
          <w:szCs w:val="30"/>
          <w:highlight w:val="none"/>
        </w:rPr>
        <w:br w:type="page"/>
      </w:r>
    </w:p>
    <w:p>
      <w:pPr>
        <w:numPr>
          <w:ilvl w:val="2"/>
          <w:numId w:val="1"/>
        </w:numPr>
        <w:tabs>
          <w:tab w:val="left" w:pos="720"/>
          <w:tab w:val="clear" w:pos="1560"/>
        </w:tabs>
        <w:adjustRightInd w:val="0"/>
        <w:snapToGrid w:val="0"/>
        <w:ind w:hanging="1560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总则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ascii="宋体" w:hAnsi="宋体"/>
          <w:b/>
          <w:color w:val="auto"/>
          <w:sz w:val="28"/>
          <w:highlight w:val="none"/>
        </w:rPr>
        <w:t>1</w:t>
      </w:r>
      <w:r>
        <w:rPr>
          <w:rFonts w:hint="eastAsia" w:ascii="宋体" w:hAnsi="宋体"/>
          <w:b/>
          <w:color w:val="auto"/>
          <w:sz w:val="28"/>
          <w:highlight w:val="none"/>
        </w:rPr>
        <w:t>、投标要求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 xml:space="preserve">1.1 </w:t>
      </w:r>
      <w:r>
        <w:rPr>
          <w:rFonts w:hint="eastAsia" w:ascii="宋体" w:hAnsi="宋体"/>
          <w:color w:val="auto"/>
          <w:sz w:val="24"/>
          <w:highlight w:val="none"/>
        </w:rPr>
        <w:t xml:space="preserve">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>
      <w:pPr>
        <w:spacing w:line="360" w:lineRule="auto"/>
        <w:ind w:left="554" w:hanging="554" w:hangingChars="231"/>
        <w:rPr>
          <w:rFonts w:asci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1.3  </w:t>
      </w:r>
      <w:r>
        <w:rPr>
          <w:rFonts w:hint="eastAsia"/>
          <w:color w:val="auto"/>
          <w:sz w:val="24"/>
          <w:highlight w:val="none"/>
        </w:rPr>
        <w:t>投标人提供的</w:t>
      </w:r>
      <w:r>
        <w:rPr>
          <w:rFonts w:hint="eastAsia" w:ascii="宋体"/>
          <w:color w:val="auto"/>
          <w:sz w:val="24"/>
          <w:highlight w:val="none"/>
        </w:rPr>
        <w:t>产品</w:t>
      </w:r>
      <w:r>
        <w:rPr>
          <w:rFonts w:hint="eastAsia"/>
          <w:color w:val="auto"/>
          <w:sz w:val="24"/>
          <w:highlight w:val="none"/>
        </w:rPr>
        <w:t>样本，必须是“原件”而非复印件，</w:t>
      </w:r>
      <w:r>
        <w:rPr>
          <w:rFonts w:hint="eastAsia" w:ascii="宋体"/>
          <w:color w:val="auto"/>
          <w:sz w:val="24"/>
          <w:highlight w:val="none"/>
        </w:rPr>
        <w:t>图表、简图、电路图以及印刷电路板图等都应</w:t>
      </w:r>
      <w:r>
        <w:rPr>
          <w:rFonts w:hint="eastAsia"/>
          <w:color w:val="auto"/>
          <w:sz w:val="24"/>
          <w:highlight w:val="none"/>
        </w:rPr>
        <w:t>清晰易读。买方有权</w:t>
      </w:r>
      <w:r>
        <w:rPr>
          <w:rFonts w:hint="eastAsia" w:ascii="宋体"/>
          <w:color w:val="auto"/>
          <w:sz w:val="24"/>
          <w:highlight w:val="none"/>
        </w:rPr>
        <w:t>不付任何附加费用</w:t>
      </w:r>
      <w:r>
        <w:rPr>
          <w:rFonts w:hint="eastAsia"/>
          <w:color w:val="auto"/>
          <w:sz w:val="24"/>
          <w:highlight w:val="none"/>
        </w:rPr>
        <w:t>复制这些资料</w:t>
      </w:r>
      <w:r>
        <w:rPr>
          <w:rFonts w:hint="eastAsia" w:ascii="宋体"/>
          <w:color w:val="auto"/>
          <w:sz w:val="24"/>
          <w:highlight w:val="none"/>
        </w:rPr>
        <w:t>以供参考。</w:t>
      </w:r>
    </w:p>
    <w:p>
      <w:pPr>
        <w:spacing w:line="360" w:lineRule="auto"/>
        <w:ind w:left="554" w:hanging="554" w:hangingChars="231"/>
        <w:rPr>
          <w:rFonts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1.4  投标人的投标产品应符合国家有关部门规定的相应技术、节能、安全和环保标准；如国家有关部门对投标人的投标产品有强制性规定或要求的，则投标人的投标产品必须符合相应规定或要求。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hint="eastAsia" w:ascii="宋体" w:hAnsi="宋体"/>
          <w:b/>
          <w:color w:val="auto"/>
          <w:sz w:val="28"/>
          <w:highlight w:val="none"/>
        </w:rPr>
        <w:t>2、评标标准</w:t>
      </w:r>
    </w:p>
    <w:p>
      <w:pPr>
        <w:spacing w:line="360" w:lineRule="auto"/>
        <w:ind w:left="554" w:hanging="554" w:hangingChars="231"/>
        <w:rPr>
          <w:rFonts w:asci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 xml:space="preserve">1  </w:t>
      </w:r>
      <w:r>
        <w:rPr>
          <w:rFonts w:hint="eastAsia"/>
          <w:color w:val="auto"/>
          <w:sz w:val="24"/>
          <w:highlight w:val="none"/>
        </w:rPr>
        <w:t>除招标文件中指定的附件和专用工具外，</w:t>
      </w:r>
      <w:r>
        <w:rPr>
          <w:rFonts w:hint="eastAsia" w:ascii="宋体"/>
          <w:color w:val="auto"/>
          <w:sz w:val="24"/>
          <w:highlight w:val="none"/>
        </w:rPr>
        <w:t>投标人应提供仪器设备的正常运行和常规保养所需的全套标准附件、专用工具</w:t>
      </w:r>
      <w:r>
        <w:rPr>
          <w:rFonts w:hint="eastAsia"/>
          <w:color w:val="auto"/>
          <w:sz w:val="24"/>
          <w:highlight w:val="none"/>
        </w:rPr>
        <w:t>和消耗品</w:t>
      </w:r>
      <w:r>
        <w:rPr>
          <w:rFonts w:hint="eastAsia" w:ascii="宋体"/>
          <w:color w:val="auto"/>
          <w:sz w:val="24"/>
          <w:highlight w:val="none"/>
        </w:rPr>
        <w:t>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2.2  </w:t>
      </w:r>
      <w:r>
        <w:rPr>
          <w:rFonts w:hint="eastAsia"/>
          <w:color w:val="auto"/>
          <w:sz w:val="24"/>
          <w:highlight w:val="none"/>
        </w:rPr>
        <w:t>对于标书</w:t>
      </w:r>
      <w:r>
        <w:rPr>
          <w:rFonts w:hint="eastAsia" w:ascii="宋体"/>
          <w:color w:val="auto"/>
          <w:sz w:val="24"/>
          <w:highlight w:val="none"/>
        </w:rPr>
        <w:t>技术规范中已列</w:t>
      </w:r>
      <w:r>
        <w:rPr>
          <w:rFonts w:hint="eastAsia"/>
          <w:color w:val="auto"/>
          <w:sz w:val="24"/>
          <w:highlight w:val="none"/>
        </w:rPr>
        <w:t>出的作为查询选件的附件、零配件、专用工具和消耗品，投标书中</w:t>
      </w:r>
      <w:r>
        <w:rPr>
          <w:rFonts w:hint="eastAsia" w:ascii="宋体"/>
          <w:color w:val="auto"/>
          <w:sz w:val="24"/>
          <w:highlight w:val="none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color w:val="auto"/>
          <w:sz w:val="24"/>
          <w:highlight w:val="none"/>
        </w:rPr>
        <w:t>选件一旦为用户接受，其费用将加入合同价中。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2.3  为便于用户进行接收仪器的准备工作，卖方应在合同生效后</w:t>
      </w:r>
      <w:r>
        <w:rPr>
          <w:rFonts w:hint="eastAsia" w:ascii="宋体" w:hAnsi="宋体"/>
          <w:b/>
          <w:color w:val="auto"/>
          <w:sz w:val="24"/>
          <w:highlight w:val="none"/>
        </w:rPr>
        <w:t>60</w:t>
      </w:r>
      <w:r>
        <w:rPr>
          <w:rFonts w:hint="eastAsia" w:ascii="宋体" w:hAnsi="宋体"/>
          <w:color w:val="auto"/>
          <w:sz w:val="24"/>
          <w:highlight w:val="none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4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ascii="宋体" w:hAnsi="宋体"/>
          <w:color w:val="auto"/>
          <w:sz w:val="24"/>
          <w:highlight w:val="none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 xml:space="preserve">6  </w:t>
      </w:r>
      <w:r>
        <w:rPr>
          <w:rFonts w:hint="eastAsia"/>
          <w:color w:val="auto"/>
          <w:sz w:val="24"/>
          <w:highlight w:val="none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hint="eastAsia" w:ascii="宋体" w:hAnsi="宋体"/>
          <w:b/>
          <w:color w:val="auto"/>
          <w:sz w:val="28"/>
          <w:highlight w:val="none"/>
        </w:rPr>
        <w:t>3、工作条件</w:t>
      </w:r>
    </w:p>
    <w:p>
      <w:pPr>
        <w:spacing w:after="312" w:afterLines="100"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除非在技术规格中另有说明，所有仪器、设备和系统都应符合下列要求：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3.1  适于在气温为摄氏</w:t>
      </w:r>
      <w:r>
        <w:rPr>
          <w:rFonts w:ascii="宋体" w:hAnsi="宋体"/>
          <w:b/>
          <w:color w:val="auto"/>
          <w:sz w:val="24"/>
          <w:highlight w:val="none"/>
        </w:rPr>
        <w:t>-40</w:t>
      </w:r>
      <w:r>
        <w:rPr>
          <w:rFonts w:hint="eastAsia" w:ascii="宋体" w:hAnsi="宋体"/>
          <w:b/>
          <w:color w:val="auto"/>
          <w:sz w:val="24"/>
          <w:highlight w:val="none"/>
        </w:rPr>
        <w:t>℃～＋</w:t>
      </w:r>
      <w:r>
        <w:rPr>
          <w:rFonts w:ascii="宋体" w:hAnsi="宋体"/>
          <w:b/>
          <w:color w:val="auto"/>
          <w:sz w:val="24"/>
          <w:highlight w:val="none"/>
        </w:rPr>
        <w:t>50</w:t>
      </w:r>
      <w:r>
        <w:rPr>
          <w:rFonts w:hint="eastAsia" w:ascii="宋体" w:hAnsi="宋体"/>
          <w:b/>
          <w:color w:val="auto"/>
          <w:sz w:val="24"/>
          <w:highlight w:val="none"/>
        </w:rPr>
        <w:t>℃</w:t>
      </w:r>
      <w:r>
        <w:rPr>
          <w:rFonts w:hint="eastAsia" w:ascii="宋体" w:hAnsi="宋体"/>
          <w:color w:val="auto"/>
          <w:sz w:val="24"/>
          <w:highlight w:val="none"/>
        </w:rPr>
        <w:t>和相对湿度为</w:t>
      </w:r>
      <w:r>
        <w:rPr>
          <w:rFonts w:ascii="宋体" w:hAnsi="宋体"/>
          <w:b/>
          <w:color w:val="auto"/>
          <w:sz w:val="24"/>
          <w:highlight w:val="none"/>
        </w:rPr>
        <w:t>90</w:t>
      </w:r>
      <w:r>
        <w:rPr>
          <w:rFonts w:hint="eastAsia" w:ascii="宋体" w:hAnsi="宋体"/>
          <w:b/>
          <w:color w:val="auto"/>
          <w:sz w:val="24"/>
          <w:highlight w:val="none"/>
        </w:rPr>
        <w:t>％</w:t>
      </w:r>
      <w:r>
        <w:rPr>
          <w:rFonts w:hint="eastAsia" w:ascii="宋体" w:hAnsi="宋体"/>
          <w:color w:val="auto"/>
          <w:sz w:val="24"/>
          <w:highlight w:val="none"/>
        </w:rPr>
        <w:t>的环境条件下运输和贮存。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3.2  适于在电源</w:t>
      </w:r>
      <w:r>
        <w:rPr>
          <w:rFonts w:ascii="宋体" w:hAnsi="宋体"/>
          <w:b/>
          <w:color w:val="auto"/>
          <w:sz w:val="24"/>
          <w:highlight w:val="none"/>
        </w:rPr>
        <w:t>220V</w:t>
      </w:r>
      <w:r>
        <w:rPr>
          <w:rFonts w:hint="eastAsia" w:ascii="宋体" w:hAnsi="宋体"/>
          <w:b/>
          <w:color w:val="auto"/>
          <w:sz w:val="24"/>
          <w:highlight w:val="none"/>
        </w:rPr>
        <w:t>（</w:t>
      </w:r>
      <w:r>
        <w:rPr>
          <w:rFonts w:ascii="宋体" w:hAnsi="宋体"/>
          <w:b/>
          <w:color w:val="auto"/>
          <w:sz w:val="24"/>
          <w:highlight w:val="none"/>
        </w:rPr>
        <w:sym w:font="Symbol" w:char="F0B1"/>
      </w:r>
      <w:r>
        <w:rPr>
          <w:rFonts w:ascii="宋体" w:hAnsi="宋体"/>
          <w:b/>
          <w:color w:val="auto"/>
          <w:sz w:val="24"/>
          <w:highlight w:val="none"/>
        </w:rPr>
        <w:t>10</w:t>
      </w:r>
      <w:r>
        <w:rPr>
          <w:rFonts w:hint="eastAsia" w:ascii="宋体" w:hAnsi="宋体"/>
          <w:b/>
          <w:color w:val="auto"/>
          <w:sz w:val="24"/>
          <w:highlight w:val="none"/>
        </w:rPr>
        <w:t>％）</w:t>
      </w:r>
      <w:r>
        <w:rPr>
          <w:rFonts w:ascii="宋体" w:hAnsi="宋体"/>
          <w:b/>
          <w:color w:val="auto"/>
          <w:sz w:val="24"/>
          <w:highlight w:val="none"/>
        </w:rPr>
        <w:t>/50Hz</w:t>
      </w:r>
      <w:r>
        <w:rPr>
          <w:rFonts w:hint="eastAsia" w:ascii="宋体" w:hAnsi="宋体"/>
          <w:color w:val="auto"/>
          <w:sz w:val="24"/>
          <w:highlight w:val="none"/>
        </w:rPr>
        <w:t>、气温摄氏</w:t>
      </w:r>
      <w:r>
        <w:rPr>
          <w:rFonts w:hint="eastAsia" w:ascii="宋体" w:hAnsi="宋体"/>
          <w:b/>
          <w:color w:val="auto"/>
          <w:sz w:val="24"/>
          <w:highlight w:val="none"/>
        </w:rPr>
        <w:t>+1</w:t>
      </w:r>
      <w:r>
        <w:rPr>
          <w:rFonts w:ascii="宋体" w:hAnsi="宋体"/>
          <w:b/>
          <w:color w:val="auto"/>
          <w:sz w:val="24"/>
          <w:highlight w:val="none"/>
        </w:rPr>
        <w:t>5</w:t>
      </w:r>
      <w:r>
        <w:rPr>
          <w:rFonts w:hint="eastAsia" w:ascii="宋体" w:hAnsi="宋体"/>
          <w:b/>
          <w:color w:val="auto"/>
          <w:sz w:val="24"/>
          <w:highlight w:val="none"/>
        </w:rPr>
        <w:t>℃～＋3</w:t>
      </w:r>
      <w:r>
        <w:rPr>
          <w:rFonts w:ascii="宋体" w:hAnsi="宋体"/>
          <w:b/>
          <w:color w:val="auto"/>
          <w:sz w:val="24"/>
          <w:highlight w:val="none"/>
        </w:rPr>
        <w:t>0</w:t>
      </w:r>
      <w:r>
        <w:rPr>
          <w:rFonts w:hint="eastAsia" w:ascii="宋体" w:hAnsi="宋体"/>
          <w:b/>
          <w:color w:val="auto"/>
          <w:sz w:val="24"/>
          <w:highlight w:val="none"/>
        </w:rPr>
        <w:t>℃</w:t>
      </w:r>
      <w:r>
        <w:rPr>
          <w:rFonts w:hint="eastAsia" w:ascii="宋体" w:hAnsi="宋体"/>
          <w:color w:val="auto"/>
          <w:sz w:val="24"/>
          <w:highlight w:val="none"/>
        </w:rPr>
        <w:t>和相对湿度小于</w:t>
      </w:r>
      <w:r>
        <w:rPr>
          <w:rFonts w:ascii="宋体" w:hAnsi="宋体"/>
          <w:b/>
          <w:color w:val="auto"/>
          <w:sz w:val="24"/>
          <w:highlight w:val="none"/>
        </w:rPr>
        <w:t>8</w:t>
      </w:r>
      <w:r>
        <w:rPr>
          <w:rFonts w:hint="eastAsia" w:ascii="宋体" w:hAnsi="宋体"/>
          <w:b/>
          <w:color w:val="auto"/>
          <w:sz w:val="24"/>
          <w:highlight w:val="none"/>
        </w:rPr>
        <w:t>0％</w:t>
      </w:r>
      <w:r>
        <w:rPr>
          <w:rFonts w:hint="eastAsia" w:ascii="宋体" w:hAnsi="宋体"/>
          <w:color w:val="auto"/>
          <w:sz w:val="24"/>
          <w:highlight w:val="none"/>
        </w:rPr>
        <w:t>的环境条件下运行。</w:t>
      </w:r>
      <w:r>
        <w:rPr>
          <w:rFonts w:hint="eastAsia" w:ascii="宋体" w:hAnsi="宋体"/>
          <w:b/>
          <w:color w:val="auto"/>
          <w:sz w:val="24"/>
          <w:highlight w:val="none"/>
        </w:rPr>
        <w:t>能够连续正常工作。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3.3  配置符合中国有关标准要求的插头，如果没有这样的插头，则需</w:t>
      </w:r>
      <w:r>
        <w:rPr>
          <w:rFonts w:hint="eastAsia" w:ascii="宋体"/>
          <w:color w:val="auto"/>
          <w:sz w:val="24"/>
          <w:highlight w:val="none"/>
        </w:rPr>
        <w:t>提供适当的转</w:t>
      </w:r>
      <w:r>
        <w:rPr>
          <w:rFonts w:hint="eastAsia" w:ascii="宋体" w:hAnsi="宋体"/>
          <w:color w:val="auto"/>
          <w:sz w:val="24"/>
          <w:highlight w:val="none"/>
        </w:rPr>
        <w:t>换插座。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3.4  如产品达不到上述要求，投标人应注明其偏差。如仪器设备需要特殊工作条件（如水、电源、磁场强度、温度、湿度、动强度等）投标人应在投标书中加以说明。</w:t>
      </w:r>
    </w:p>
    <w:p>
      <w:pPr>
        <w:rPr>
          <w:rFonts w:eastAsia="黑体"/>
          <w:b/>
          <w:bCs/>
          <w:color w:val="auto"/>
          <w:kern w:val="44"/>
          <w:sz w:val="24"/>
          <w:highlight w:val="none"/>
        </w:rPr>
      </w:pP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hint="eastAsia" w:ascii="宋体" w:hAnsi="宋体"/>
          <w:b/>
          <w:color w:val="auto"/>
          <w:sz w:val="28"/>
          <w:highlight w:val="none"/>
        </w:rPr>
        <w:t>4、验收标准</w:t>
      </w:r>
    </w:p>
    <w:p>
      <w:pPr>
        <w:spacing w:after="312" w:afterLines="100" w:line="360" w:lineRule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除非在技术规格中另有说明，所有仪器、设备和系统按下列要求进行验收：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4.1  仪器设备运抵安装现场后，买方将与卖方共同开箱验收</w:t>
      </w:r>
      <w:r>
        <w:rPr>
          <w:rFonts w:ascii="宋体" w:hAnsi="宋体"/>
          <w:color w:val="auto"/>
          <w:sz w:val="24"/>
          <w:highlight w:val="none"/>
        </w:rPr>
        <w:t xml:space="preserve">, </w:t>
      </w:r>
      <w:r>
        <w:rPr>
          <w:rFonts w:hint="eastAsia" w:ascii="宋体" w:hAnsi="宋体"/>
          <w:color w:val="auto"/>
          <w:sz w:val="24"/>
          <w:highlight w:val="none"/>
        </w:rPr>
        <w:t>如卖方届时不派人来</w:t>
      </w:r>
      <w:r>
        <w:rPr>
          <w:rFonts w:ascii="宋体" w:hAnsi="宋体"/>
          <w:color w:val="auto"/>
          <w:sz w:val="24"/>
          <w:highlight w:val="none"/>
        </w:rPr>
        <w:t xml:space="preserve">, </w:t>
      </w:r>
      <w:r>
        <w:rPr>
          <w:rFonts w:hint="eastAsia" w:ascii="宋体" w:hAnsi="宋体"/>
          <w:color w:val="auto"/>
          <w:sz w:val="24"/>
          <w:highlight w:val="none"/>
        </w:rPr>
        <w:t>则验收结果应以买方的验收报告为最终验收结果。验收时发现短缺、破损</w:t>
      </w:r>
      <w:r>
        <w:rPr>
          <w:rFonts w:ascii="宋体" w:hAnsi="宋体"/>
          <w:color w:val="auto"/>
          <w:sz w:val="24"/>
          <w:highlight w:val="none"/>
        </w:rPr>
        <w:t xml:space="preserve">, </w:t>
      </w:r>
      <w:r>
        <w:rPr>
          <w:rFonts w:hint="eastAsia" w:ascii="宋体" w:hAnsi="宋体"/>
          <w:color w:val="auto"/>
          <w:sz w:val="24"/>
          <w:highlight w:val="none"/>
        </w:rPr>
        <w:t>买方有权要求卖方负责更换。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4.2  </w:t>
      </w:r>
      <w:r>
        <w:rPr>
          <w:rFonts w:hint="eastAsia"/>
          <w:color w:val="auto"/>
          <w:sz w:val="24"/>
          <w:highlight w:val="none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4.3  </w:t>
      </w:r>
      <w:r>
        <w:rPr>
          <w:rFonts w:ascii="宋体" w:hAnsi="宋体"/>
          <w:color w:val="auto"/>
          <w:sz w:val="24"/>
          <w:highlight w:val="none"/>
        </w:rPr>
        <w:t>验收由采购人、中标人及相关人员依国家有关标准、合同及有关附件要求进行，验收完毕由采购人及中标人在验收报告上签名。</w:t>
      </w:r>
    </w:p>
    <w:p>
      <w:pPr>
        <w:pStyle w:val="17"/>
        <w:spacing w:line="360" w:lineRule="auto"/>
        <w:ind w:left="410" w:hanging="410" w:hangingChars="170"/>
        <w:rPr>
          <w:rFonts w:hAnsi="宋体"/>
          <w:b/>
          <w:color w:val="auto"/>
          <w:sz w:val="24"/>
          <w:szCs w:val="24"/>
          <w:highlight w:val="none"/>
        </w:rPr>
      </w:pPr>
    </w:p>
    <w:p>
      <w:pPr>
        <w:pStyle w:val="17"/>
        <w:spacing w:line="360" w:lineRule="auto"/>
        <w:ind w:left="410" w:hanging="410" w:hangingChars="170"/>
        <w:rPr>
          <w:rFonts w:hAnsi="宋体"/>
          <w:b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5、本技术规格书中标注“*”号的为实质性要求，不满足其投标将被拒绝。</w:t>
      </w:r>
    </w:p>
    <w:p>
      <w:pPr>
        <w:pStyle w:val="17"/>
        <w:spacing w:line="360" w:lineRule="auto"/>
        <w:rPr>
          <w:rFonts w:hAnsi="宋体"/>
          <w:b/>
          <w:color w:val="auto"/>
          <w:sz w:val="24"/>
          <w:szCs w:val="24"/>
          <w:highlight w:val="none"/>
        </w:rPr>
      </w:pPr>
    </w:p>
    <w:p>
      <w:pPr>
        <w:pStyle w:val="17"/>
        <w:spacing w:line="360" w:lineRule="auto"/>
        <w:rPr>
          <w:rFonts w:hAnsi="宋体"/>
          <w:b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</w:rPr>
        <w:t>6、如在具体技术规格中有本总则不一致之处，以具体技术规格中的要求为准。</w:t>
      </w:r>
    </w:p>
    <w:p>
      <w:pPr>
        <w:spacing w:after="156" w:afterLines="50"/>
        <w:ind w:left="601" w:hanging="601"/>
        <w:rPr>
          <w:rFonts w:ascii="宋体" w:hAnsi="宋体"/>
          <w:b/>
          <w:color w:val="auto"/>
          <w:sz w:val="28"/>
          <w:highlight w:val="none"/>
        </w:rPr>
      </w:pPr>
      <w:r>
        <w:rPr>
          <w:rFonts w:ascii="宋体" w:hAnsi="宋体"/>
          <w:b/>
          <w:color w:val="auto"/>
          <w:sz w:val="28"/>
          <w:highlight w:val="none"/>
        </w:rPr>
        <w:br w:type="page"/>
      </w:r>
      <w:r>
        <w:rPr>
          <w:rFonts w:hint="eastAsia" w:ascii="宋体" w:hAnsi="宋体"/>
          <w:b/>
          <w:color w:val="auto"/>
          <w:sz w:val="28"/>
          <w:highlight w:val="none"/>
        </w:rPr>
        <w:t>三、具体技术规格</w:t>
      </w:r>
    </w:p>
    <w:p>
      <w:pPr>
        <w:rPr>
          <w:color w:val="auto"/>
          <w:sz w:val="24"/>
          <w:highlight w:val="none"/>
        </w:rPr>
      </w:pPr>
    </w:p>
    <w:p>
      <w:pPr>
        <w:jc w:val="center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第1包 激光扫描共聚焦显微镜</w:t>
      </w:r>
    </w:p>
    <w:p>
      <w:pPr>
        <w:rPr>
          <w:b/>
          <w:color w:val="auto"/>
          <w:sz w:val="24"/>
          <w:highlight w:val="none"/>
        </w:rPr>
      </w:pPr>
    </w:p>
    <w:p>
      <w:pPr>
        <w:rPr>
          <w:b/>
          <w:color w:val="auto"/>
          <w:sz w:val="24"/>
          <w:highlight w:val="none"/>
        </w:rPr>
      </w:pPr>
    </w:p>
    <w:p>
      <w:pPr>
        <w:numPr>
          <w:ilvl w:val="0"/>
          <w:numId w:val="2"/>
        </w:numPr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技术要求：</w:t>
      </w:r>
    </w:p>
    <w:p>
      <w:pPr>
        <w:rPr>
          <w:rFonts w:ascii="宋体" w:hAnsi="宋体" w:cs="宋体"/>
          <w:b/>
          <w:color w:val="auto"/>
          <w:sz w:val="24"/>
          <w:highlight w:val="none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1、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仪器名称和数量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激光扫描共聚焦显微镜系统一套（包括激光光源系统，扫描检测系统，显微镜系统，计算机系统及相关软件等）。激光扫描共聚焦成像系统、显微镜、控制软件为同一公司产品。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2、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主要用途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用于化学材料、生物细胞等的荧光成像、三维重建；生物细胞物质、离子的定性、定量、定时和定位分布检测等。</w:t>
      </w:r>
    </w:p>
    <w:p>
      <w:pPr>
        <w:widowControl/>
        <w:adjustRightInd w:val="0"/>
        <w:snapToGrid w:val="0"/>
        <w:spacing w:line="360" w:lineRule="auto"/>
        <w:ind w:left="841" w:leftChars="229" w:hanging="360" w:hangingChars="15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2.1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对多重荧光标记的细胞或化学材料进行连续扫描，可获得精细的材料结构、细胞骨架、染色体、细胞器和细胞膜等的三维图像。</w:t>
      </w:r>
    </w:p>
    <w:p>
      <w:pPr>
        <w:widowControl/>
        <w:adjustRightInd w:val="0"/>
        <w:snapToGrid w:val="0"/>
        <w:spacing w:line="360" w:lineRule="auto"/>
        <w:ind w:left="959" w:leftChars="228" w:hanging="480" w:hanging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2.2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多维图象的获得，X、Y、Z、T、λ（光谱波长）、θ（旋转角度）、I（光强度）、A（区域）等多维组合扫描。</w:t>
      </w:r>
    </w:p>
    <w:p>
      <w:pPr>
        <w:widowControl/>
        <w:adjustRightInd w:val="0"/>
        <w:snapToGrid w:val="0"/>
        <w:spacing w:line="360" w:lineRule="auto"/>
        <w:ind w:left="959" w:leftChars="228" w:hanging="480" w:hanging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2.3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细胞内离子荧光标记，单标记或多标记，检测细胞内如pH值和钠、钙、镁等离子浓度的比率及其动态的变化。</w:t>
      </w:r>
    </w:p>
    <w:p>
      <w:pPr>
        <w:widowControl/>
        <w:adjustRightInd w:val="0"/>
        <w:snapToGrid w:val="0"/>
        <w:spacing w:line="360" w:lineRule="auto"/>
        <w:ind w:left="959" w:leftChars="228" w:hanging="480" w:hanging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2.4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实现超高分辨显微成像（达到120nm纳米级），用于荧光材料、细胞等的荧光成像、图像重建分析；生物细胞物质与离子的定性、定量、定时和定位分布检测等。</w:t>
      </w:r>
    </w:p>
    <w:p>
      <w:pPr>
        <w:widowControl/>
        <w:adjustRightInd w:val="0"/>
        <w:snapToGrid w:val="0"/>
        <w:spacing w:line="360" w:lineRule="auto"/>
        <w:ind w:left="959" w:leftChars="228" w:hanging="480" w:hanging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2.5实现荧光寿命成像，实现光谱式FLIM成像，PS级时间分辨，可从软件上直接读出FLIM数据，可进行离线或在线FLIM曲线拟合，实现共聚焦图像同步XYZ,XYT等多维度的荧光寿命测量。</w:t>
      </w:r>
    </w:p>
    <w:p>
      <w:pPr>
        <w:widowControl/>
        <w:adjustRightInd w:val="0"/>
        <w:snapToGrid w:val="0"/>
        <w:spacing w:line="360" w:lineRule="auto"/>
        <w:ind w:left="959" w:leftChars="228" w:hanging="480" w:hanging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3、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工作条件</w:t>
      </w:r>
    </w:p>
    <w:p>
      <w:pPr>
        <w:spacing w:line="360" w:lineRule="auto"/>
        <w:ind w:firstLine="360" w:firstLineChars="15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3.1电源：220V±10﹪，50Hz</w:t>
      </w:r>
    </w:p>
    <w:p>
      <w:pPr>
        <w:spacing w:line="360" w:lineRule="auto"/>
        <w:ind w:firstLine="360" w:firstLineChars="15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3.2室温：23±1℃</w:t>
      </w:r>
    </w:p>
    <w:p>
      <w:pPr>
        <w:spacing w:line="360" w:lineRule="auto"/>
        <w:ind w:firstLine="360" w:firstLineChars="15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3.3其它：防尘、除湿、抗震动</w:t>
      </w:r>
    </w:p>
    <w:p>
      <w:pPr>
        <w:spacing w:line="360" w:lineRule="auto"/>
        <w:ind w:firstLine="360" w:firstLineChars="150"/>
        <w:rPr>
          <w:rFonts w:ascii="宋体" w:hAnsi="宋体" w:cs="宋体"/>
          <w:color w:val="auto"/>
          <w:sz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4、技术指标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4.1 共聚焦部分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*4.1.1激光器：激光器应覆盖可见光及紫外光；独立AOTF；激光器要求满足如下条件：</w:t>
      </w:r>
    </w:p>
    <w:p>
      <w:pPr>
        <w:spacing w:line="360" w:lineRule="auto"/>
        <w:ind w:left="2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白激光：激发谱线范围440-790nm自由可调，调节精度1nm；可提供≥350根激光波长供激发使用，每根激发谱线最低功率&gt;0.9mW，激光器为脉冲激光器，脉冲频率≥78 MHz，带脉冲调节器脉冲频率可调节（78, 39, 20, 10, 5, 2.5 MHz）； AOTF调节激光强度，最多可同时发射出≥5根激发谱线，每根激发谱线的强度均可独立调节，调节精度0.1%；脉冲激光器：405nm，功率≥1mW，脉冲频率可调节（40, 20, 10, 5, 2.5, 1.25, 0.62, 0.31 MHz）；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4.1.2 激光器开关和电压调节由计算机的激光扫描共聚焦软件系统控制，与整个系统耦合程度高，电噪声小，安全，并有良好的激光寿命保护装置。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4.1.3 具有激光强度回馈稳定电路设计，保证在长时间的动态记录中激光强度不会受环境的影响而改变。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 高分辨率系统扫描头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4.2.1高分辨率扫描头，扫描头与显微镜同一厂家，相差及色差完全一体化校正。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*4.2.2独立的光谱可调型荧光检测器个数≥3个，其中超高灵敏度HyD或GaAsp PMT检测器个数≥3个。每一个荧光检测器均为光谱型，都可以独立实现光谱扫描；每一个荧光检测器都具备水冷制冷，均具备光子计数功能，具备门控功能以用于去除自发荧光和杂散光；每一个荧光检测器均具备荧光寿命对比、荧光寿命拆分功能；可在410~850nm范围任意调节光谱接收范围，光谱调节分辨率≤1nm，最小调节步进≤1nm。透射光明场检测器个数≥1个，透射光与荧光检测器总个数≥4个（32通道阵列检测器视为一个荧光检测器）</w:t>
      </w:r>
      <w:r>
        <w:rPr>
          <w:rFonts w:hint="eastAsia" w:ascii="宋体" w:hAnsi="宋体" w:cs="宋体"/>
          <w:vanish/>
          <w:color w:val="auto"/>
          <w:sz w:val="24"/>
          <w:highlight w:val="none"/>
        </w:rPr>
        <w:t>独立的光谱可调型荧光检测器个数≥4个独立的光谱可调型荧光检测器个数≥4个，其中超高灵敏度检测器HyD或GaAsp PMT个数≥4个，每一个荧光检测器均为光谱型，可在410-850nm范围任意调节光谱接收范围，光谱调节分辨率≤1nm，最下调节步进≤1nm，每一个荧光检测器均具备水冷功能，均具备光子计数功能，具备门控功能以用于去除自发荧光和杂散光，每一个荧光检测器均具备荧光寿命对比方法、荧光寿命拆分功能。透射光明场检测器个数≥1个，透射光与荧光检测器总个数≥5个（32通道阵列检测器视为一个荧光检测器）。独立的光谱可调型荧光检测器个数≥4个，其中超高灵敏度检测器HyD或GaAsp PMT个数≥4个，每一个荧光检测器均为光谱型，可在410-850nm范围任意调节光谱接收范围，光谱调节分辨率≤1nm，最下调节步进≤1nm，每一个荧光检测器均具备水冷功能，均具备光子计数功能，具备门控功能以用于去除自发荧光和杂散光，每一个荧光检测器均具备荧光寿命对比方法、荧光寿命拆分功能。透射光明场检测器个数≥1个，透射光与荧光检测器总个数≥5个（32通道阵列检测器视为一个荧光检测器）。独立的光谱可调型荧光检测器个数≥4个，其中超高灵敏度检测器HyD或GaAsp PMT个数≥4个，每一个荧光检测器均为光谱型，可在410-850nm范围任意调节光谱接收范围，光谱调节分辨率≤1nm，最下调节步进≤1nm，每一个荧光检测器均具备水冷功能，均具备光子计数功能，具备门控功能以用于去除自发荧光和杂散光，每一个荧光检测器均具备荧光寿命对比方法、荧光寿命拆分功能。透射光明场检测器个数≥1个，透射光与荧光检测器总个数≥5个（32通道阵列检测器视为一个荧光检测器）。独立的光谱可调型荧光检测器个数≥4个，其中超高灵敏度检测器HyD或GaAsp PMT个数≥4个，每一个荧光检测器均为光谱型，可在410-850nm范围任意调节光谱接收范围，光谱调节分辨率≤1nm，最下调节步进≤1nm，每一个荧光检测器均具备水冷功能，均具备光子计数功能，具备门控功能以用于去除自发荧光和杂散光，每一个荧光检测器均具备荧光寿命对比方法、荧光寿命拆分功能。透射光明场检测器个数≥1个，透射光与荧光检测器总个数≥5个（32通道阵列检测器视为一个荧光检测器）。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4.2.3单针孔设计，全自动调节型，孔径50~300微米，调节步进可达0.5微米。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*4.2.4 可自由选择所有荧光通道检测的波长范围，通过棱镜分光和软件解决荧光分离，并防止串色。所有通道检测范围为≥410~850nm。分光精度≥1nm，检测波长范围及中心连续任意可调。</w:t>
      </w:r>
    </w:p>
    <w:p>
      <w:pPr>
        <w:spacing w:line="360" w:lineRule="auto"/>
        <w:ind w:firstLine="120" w:firstLineChars="5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vanish/>
          <w:color w:val="auto"/>
          <w:sz w:val="24"/>
          <w:highlight w:val="none"/>
        </w:rPr>
        <w:t>每一个荧光检测器均为光谱型，可在410-850nm范围任意调节光谱接收范围，光谱调节分辨率≤1nm，最下调节步进≤1nm，每一个荧光检测器均具备水冷功能，均具备光子计数功能，具备门控功能以用于去除自发荧光和杂散光，每一个荧光检测器均具备荧光寿命对比方法、荧光寿命拆分功能。透射光明场检测器个数≥1个，透射光与荧光检测器总个数≥5个（32通道阵列检测器视为一个荧光检测器）。</w:t>
      </w:r>
      <w:r>
        <w:rPr>
          <w:rFonts w:hint="eastAsia" w:ascii="宋体" w:hAnsi="宋体" w:cs="宋体"/>
          <w:color w:val="auto"/>
          <w:sz w:val="24"/>
          <w:highlight w:val="none"/>
        </w:rPr>
        <w:t>4.2.5具有数字信号处理器监控扫描过程、同步及数据采集，可选择使用16位、12位 和8位A/D转换的动态范围。</w:t>
      </w:r>
    </w:p>
    <w:p>
      <w:pPr>
        <w:spacing w:line="360" w:lineRule="auto"/>
        <w:ind w:firstLine="120" w:firstLineChars="5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4.2.6扫描振镜个数&gt;2个，提供≥22mm均匀的扫描视场。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#4.2.7扫描分辨率：最高可达8192×8192。各通道均可达到8192×8192的分辨率，及16位灰阶深度。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#4.2.8扫描方式：xy，xyz，xyt，xyzt，xz，xt，xzt，spot-t，xλ，xyλ，xyzλ，xytλ，xyztλ，xzλ，xtλ，xztλ，直线扫描，任意曲线扫描，剪切扫描。能够进行X, Y, Z, T, </w:t>
      </w:r>
      <w:r>
        <w:rPr>
          <w:rFonts w:hint="eastAsia" w:ascii="宋体" w:hAnsi="宋体" w:cs="宋体"/>
          <w:color w:val="auto"/>
          <w:sz w:val="24"/>
          <w:highlight w:val="none"/>
        </w:rPr>
        <w:sym w:font="Symbol" w:char="F061"/>
      </w:r>
      <w:r>
        <w:rPr>
          <w:rFonts w:hint="eastAsia" w:ascii="宋体" w:hAnsi="宋体" w:cs="宋体"/>
          <w:color w:val="auto"/>
          <w:sz w:val="24"/>
          <w:highlight w:val="none"/>
        </w:rPr>
        <w:t>(旋转)，</w:t>
      </w:r>
      <w:r>
        <w:rPr>
          <w:rFonts w:hint="eastAsia" w:ascii="宋体" w:hAnsi="宋体" w:cs="宋体"/>
          <w:color w:val="auto"/>
          <w:sz w:val="24"/>
          <w:highlight w:val="none"/>
        </w:rPr>
        <w:sym w:font="Symbol" w:char="F06C"/>
      </w:r>
      <w:r>
        <w:rPr>
          <w:rFonts w:hint="eastAsia" w:ascii="宋体" w:hAnsi="宋体" w:cs="宋体"/>
          <w:color w:val="auto"/>
          <w:sz w:val="24"/>
          <w:highlight w:val="none"/>
        </w:rPr>
        <w:t>(光谱)，I(光强)的扫描，所有参数任意组合扫描。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4.2.9高精度Z轴控制，调焦行程≥12mm，最小电子步进≤3.8nm。#4.2.10在所有扫描方式下，均可以进行单向和双向扫描操作, 均可以实时同步进行扫描线的方向、旋转，同时可以变倍以及移动扫描区域的中心。旋转、变倍、移动中心均可以实时（扫描过程中）进行。具有光学旋转部件，可在最小ZOOM，最大视野下进行旋转。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4.2.11可对任意形状的感兴趣区域（ROI）扫描，进行荧光淬灭和荧光检测。可在线检测感兴趣区域荧光强度曲线。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4.2.12扫描变倍：光学变倍范围0.75x~48x，连续变倍。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4.2.13扫描速度：单向、双向扫描方式下各有任意个速度级别；常规扫描速度可达10幅/秒（512x512像素）及131幅/秒（512x16像素）(高分辨模式)。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*4.2.14具有高分辨率模块，Lightning、Airyscan2、SIM、STORM其中的一种，可以实现XY≤120nm、 Z轴≤200nm高分辨成像，系统软硬件均为同一品牌产品。</w:t>
      </w:r>
    </w:p>
    <w:p>
      <w:pPr>
        <w:spacing w:line="360" w:lineRule="auto"/>
        <w:ind w:firstLine="120" w:firstLineChars="5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4.2.15配备AOBS声光调制晶体分光系统，由声光器件控制，无需滤光片和机械切换，最多可以同时分离≥5根激光谱线，透光率高；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*4.2.16具有门控技术，结合HyD或GaAsp PMT检测器在激发脉冲后延时检测，在440-790nm全范围内≥350个激光谱线可以调节，通过对发光时间尺度的调控，完全去除激发光的反射干扰，提高荧光图像反差；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#4.2.17可同时进行激发光和发射光光谱扫描，每个像素点均可同时获得激发和发射光谱曲线；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*4.2.18具有荧光寿命功能，能够进行荧光寿命相关分析和图像采集，荧光寿命模块功能为同一品牌提供；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#4.2.19 可一键式快速记录荧光寿命图像，可进行固定样品及细胞的荧光寿命图像采集。用于荧光寿命成像的脉冲激光波长数≥350个，优先选择激光波长数更多的激光器。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4.3显微镜部分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4.3.1研究级智能型全自动倒置显微镜，调焦，物镜转换，荧光滤块转换等全部电动，状态自动跟踪。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4.3.2显微镜状态在共聚焦系统显示，一体化控制，可电动、手动控制，可软件控制。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#4.3.3电动物镜转换器，电动载物台行程：不低于127 x 83mm。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#4.3.4电动调焦步进马达，调焦行程≥12mm，最小电子步进≤3.8nm有调焦限位。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4.3.5显微镜透射光源：LED灯。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4.3.6荧光附件：120W 超长寿命光纤式冷光源，含UV、B、G滤块，自动荧光光强管理FIM。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#4.3.7全自动独立微分干涉（DIC）附件，物镜棱镜转盘为电动设计，不阻挡荧光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4.3.8目镜：10x，视场数25mm。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#4.3.9物镜：顶级平场复消色差共聚焦专用荧光物镜。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10x干镜 数值孔径≥0.4，工作距离≥2.56mm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20x干镜 数值孔径≥0.75，工作距离≥ 0.62mm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40x干镜 数值孔径≥0.95，工作距离≥0.17mm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63x油镜数值孔径≥1.40，工作距离≥0.14mm 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4.3.10具有显微镜工作状态显示屏幕，可电脑控制与显示，可机身快捷按键控制，可外置快捷控制器控制。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4.3.11共聚焦显微镜专用防震台。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4.4软件部分：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4.4.1同一软件控制显微镜、激光器、扫描头，所有硬件均由软件控制。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4.4.2自动预扫描功能，可以自动、快速设定扫描参数，减少荧光淬灭。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4.4.3 Z轴深度补偿功能，自动补偿由于样品深度增加造成的信号衰减。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4.4.4扫描条件调用功能，从已保存图像中快速调用硬件设定的原始扫描参数。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4.4.5图像的备注信息和原始扫描条件可保存于同一文件，以图像数据库方式管理组织数据，可以浏览缩略图及相关信息。可以从数据库中直接使用扫描条件调用功能调用硬件设置参数。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4.4.6离线图像浏览软件，可用于共聚焦系统以外的任意计算机，以便于浏览、输出共聚焦图像。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4.4.7 3D 成像软件，用于3D成像，旋转等。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4.4.8有共定位、FRAP 和FRET等分析功能。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#4.4.9门控参数可在软件中进行设置，检测器检测起始和检测结束的时间均可自由调节，检测时间调节范围0 -- 12ns，从发光的时间维度上区分出不同的荧光信号（例如可用于减少反射光、杂散光或自发荧光的干扰）；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4.5工作站部分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高配置的品牌专业电脑工作站，内存≥64GB，GPU加速，液晶超高清显示屏≥32寸，硬盘≥6T，Windows 10 Professional (64 位)操作系统，专用工作站桌。     </w:t>
      </w:r>
    </w:p>
    <w:p>
      <w:pPr>
        <w:tabs>
          <w:tab w:val="left" w:pos="540"/>
        </w:tabs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</w:t>
      </w:r>
    </w:p>
    <w:p>
      <w:pPr>
        <w:tabs>
          <w:tab w:val="left" w:pos="540"/>
        </w:tabs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5.  技术文件：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5.1 请参考总则第1.2条。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5.2 请参考总则第2.3条。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（二）质保及售后服务：</w:t>
      </w:r>
    </w:p>
    <w:p>
      <w:pPr>
        <w:snapToGrid w:val="0"/>
        <w:spacing w:line="360" w:lineRule="auto"/>
        <w:rPr>
          <w:rFonts w:ascii="宋体" w:hAnsi="宋体" w:cs="宋体"/>
          <w:b/>
          <w:color w:val="auto"/>
          <w:sz w:val="24"/>
          <w:highlight w:val="none"/>
          <w:lang w:val="da-DK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</w:t>
      </w:r>
      <w:r>
        <w:rPr>
          <w:rFonts w:hint="eastAsia" w:ascii="宋体" w:hAnsi="宋体" w:cs="宋体"/>
          <w:b/>
          <w:color w:val="auto"/>
          <w:sz w:val="24"/>
          <w:highlight w:val="none"/>
          <w:lang w:val="da-DK"/>
        </w:rPr>
        <w:t>售后与服务</w:t>
      </w:r>
    </w:p>
    <w:p>
      <w:pPr>
        <w:snapToGrid w:val="0"/>
        <w:spacing w:line="360" w:lineRule="auto"/>
        <w:ind w:left="239" w:leftChars="114"/>
        <w:rPr>
          <w:rFonts w:ascii="宋体" w:hAnsi="宋体" w:cs="宋体"/>
          <w:color w:val="auto"/>
          <w:sz w:val="24"/>
          <w:highlight w:val="none"/>
          <w:lang w:val="da-DK"/>
        </w:rPr>
      </w:pPr>
      <w:r>
        <w:rPr>
          <w:rFonts w:hint="eastAsia" w:ascii="宋体" w:hAnsi="宋体" w:cs="宋体"/>
          <w:color w:val="auto"/>
          <w:sz w:val="24"/>
          <w:highlight w:val="none"/>
          <w:lang w:val="da-DK"/>
        </w:rPr>
        <w:t>卖方须到买方提供的现场免费安装、调试设备，进行操作试验，直至运行正常，为仪器操作人员提供免费的操作及维护培训。</w:t>
      </w:r>
    </w:p>
    <w:p>
      <w:pPr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  <w:lang w:val="da-DK"/>
        </w:rPr>
      </w:pPr>
    </w:p>
    <w:p>
      <w:pPr>
        <w:snapToGrid w:val="0"/>
        <w:spacing w:line="360" w:lineRule="auto"/>
        <w:rPr>
          <w:rFonts w:ascii="宋体" w:hAnsi="宋体" w:cs="宋体"/>
          <w:b/>
          <w:color w:val="auto"/>
          <w:sz w:val="24"/>
          <w:highlight w:val="none"/>
          <w:lang w:val="da-DK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b/>
          <w:color w:val="auto"/>
          <w:sz w:val="24"/>
          <w:highlight w:val="none"/>
          <w:lang w:val="da-DK"/>
        </w:rPr>
        <w:t>. 质保期：</w:t>
      </w:r>
    </w:p>
    <w:p>
      <w:pPr>
        <w:snapToGrid w:val="0"/>
        <w:spacing w:line="360" w:lineRule="auto"/>
        <w:ind w:firstLine="240" w:firstLineChars="100"/>
        <w:rPr>
          <w:rFonts w:ascii="宋体" w:hAnsi="宋体" w:cs="宋体"/>
          <w:color w:val="auto"/>
          <w:sz w:val="24"/>
          <w:highlight w:val="none"/>
          <w:lang w:val="da-DK"/>
        </w:rPr>
      </w:pPr>
      <w:r>
        <w:rPr>
          <w:rFonts w:hint="eastAsia" w:ascii="宋体" w:hAnsi="宋体" w:cs="宋体"/>
          <w:color w:val="auto"/>
          <w:sz w:val="24"/>
          <w:highlight w:val="none"/>
          <w:lang w:val="da-DK"/>
        </w:rPr>
        <w:t>验收合格后，整机保修壹年</w:t>
      </w:r>
    </w:p>
    <w:p>
      <w:p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（三） 订货数量：</w:t>
      </w:r>
    </w:p>
    <w:p>
      <w:pPr>
        <w:spacing w:line="360" w:lineRule="auto"/>
        <w:ind w:firstLine="240" w:firstLineChars="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1套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交货地：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北京市海淀区中关村北一街2号，中国科学院化学研究所</w:t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  </w:t>
      </w:r>
    </w:p>
    <w:p>
      <w:p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（五）交货日期：</w:t>
      </w:r>
    </w:p>
    <w:p>
      <w:pPr>
        <w:spacing w:line="360" w:lineRule="auto"/>
        <w:rPr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合同生效后4个月内    </w:t>
      </w:r>
      <w:r>
        <w:rPr>
          <w:rFonts w:hint="eastAsia"/>
          <w:color w:val="auto"/>
          <w:sz w:val="24"/>
          <w:highlight w:val="none"/>
        </w:rPr>
        <w:t xml:space="preserve">                                           </w:t>
      </w:r>
    </w:p>
    <w:p>
      <w:pPr>
        <w:spacing w:line="360" w:lineRule="auto"/>
        <w:rPr>
          <w:color w:val="auto"/>
          <w:sz w:val="24"/>
          <w:highlight w:val="none"/>
        </w:rPr>
      </w:pPr>
    </w:p>
    <w:p>
      <w:pPr>
        <w:spacing w:line="360" w:lineRule="auto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（六）执行的相关标准</w:t>
      </w:r>
    </w:p>
    <w:p>
      <w:pPr>
        <w:spacing w:line="360" w:lineRule="auto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inherit" w:hAnsi="inherit" w:cs="宋体"/>
          <w:color w:val="auto"/>
          <w:kern w:val="0"/>
          <w:sz w:val="24"/>
          <w:highlight w:val="none"/>
        </w:rPr>
        <w:t xml:space="preserve">   产品应满足相关国家标准及行业标准。</w:t>
      </w:r>
    </w:p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 of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S6rNN8BAAC7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NRL4+f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both"/>
    </w:pPr>
    <w:r>
      <w:rPr>
        <w:rFonts w:hint="eastAsia"/>
        <w:i/>
      </w:rPr>
      <w:t>东方国际招标有限责任公司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5B104"/>
    <w:multiLevelType w:val="singleLevel"/>
    <w:tmpl w:val="D785B1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D79592F"/>
    <w:multiLevelType w:val="singleLevel"/>
    <w:tmpl w:val="7D79592F"/>
    <w:lvl w:ilvl="0" w:tentative="0">
      <w:start w:val="4"/>
      <w:numFmt w:val="chineseCounting"/>
      <w:suff w:val="space"/>
      <w:lvlText w:val="（%1）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TY3Njg1YTYzNTg5NmFiY2UwNjI5N2Q3MTcyY2MifQ=="/>
  </w:docVars>
  <w:rsids>
    <w:rsidRoot w:val="00FA3835"/>
    <w:rsid w:val="000050A2"/>
    <w:rsid w:val="00005F09"/>
    <w:rsid w:val="0001146C"/>
    <w:rsid w:val="00027C8D"/>
    <w:rsid w:val="00040005"/>
    <w:rsid w:val="000543E7"/>
    <w:rsid w:val="0006010D"/>
    <w:rsid w:val="000668DC"/>
    <w:rsid w:val="00081ADD"/>
    <w:rsid w:val="000969BB"/>
    <w:rsid w:val="000973D2"/>
    <w:rsid w:val="000B12EC"/>
    <w:rsid w:val="000B636A"/>
    <w:rsid w:val="000C1F98"/>
    <w:rsid w:val="000C325D"/>
    <w:rsid w:val="000C505C"/>
    <w:rsid w:val="000D1A3C"/>
    <w:rsid w:val="000E0B0C"/>
    <w:rsid w:val="000E17D4"/>
    <w:rsid w:val="000E4DA9"/>
    <w:rsid w:val="000F0512"/>
    <w:rsid w:val="000F4571"/>
    <w:rsid w:val="00103352"/>
    <w:rsid w:val="00107AF4"/>
    <w:rsid w:val="001140D0"/>
    <w:rsid w:val="001235CA"/>
    <w:rsid w:val="00137D93"/>
    <w:rsid w:val="001437EA"/>
    <w:rsid w:val="00144505"/>
    <w:rsid w:val="00144DDA"/>
    <w:rsid w:val="0014761F"/>
    <w:rsid w:val="00153F11"/>
    <w:rsid w:val="00154F47"/>
    <w:rsid w:val="00155A34"/>
    <w:rsid w:val="00164E27"/>
    <w:rsid w:val="00191008"/>
    <w:rsid w:val="001921CA"/>
    <w:rsid w:val="00194900"/>
    <w:rsid w:val="001A0E56"/>
    <w:rsid w:val="001A6E63"/>
    <w:rsid w:val="001B195C"/>
    <w:rsid w:val="001B62CC"/>
    <w:rsid w:val="001B66E1"/>
    <w:rsid w:val="001B6E57"/>
    <w:rsid w:val="001D7301"/>
    <w:rsid w:val="001E1467"/>
    <w:rsid w:val="001E152C"/>
    <w:rsid w:val="001E3480"/>
    <w:rsid w:val="001F18B7"/>
    <w:rsid w:val="001F1D2B"/>
    <w:rsid w:val="001F5FAD"/>
    <w:rsid w:val="001F79B6"/>
    <w:rsid w:val="002024C7"/>
    <w:rsid w:val="00206639"/>
    <w:rsid w:val="0021259E"/>
    <w:rsid w:val="00213C28"/>
    <w:rsid w:val="00224FE7"/>
    <w:rsid w:val="00233C8A"/>
    <w:rsid w:val="00240E7B"/>
    <w:rsid w:val="00247ED0"/>
    <w:rsid w:val="00251DB7"/>
    <w:rsid w:val="00275598"/>
    <w:rsid w:val="002761A3"/>
    <w:rsid w:val="0028124D"/>
    <w:rsid w:val="00282A80"/>
    <w:rsid w:val="00282F14"/>
    <w:rsid w:val="00292E0B"/>
    <w:rsid w:val="002B44BD"/>
    <w:rsid w:val="002B6E7A"/>
    <w:rsid w:val="002B7380"/>
    <w:rsid w:val="002D1C1E"/>
    <w:rsid w:val="002D5C47"/>
    <w:rsid w:val="002E03AA"/>
    <w:rsid w:val="002E6A76"/>
    <w:rsid w:val="002F1704"/>
    <w:rsid w:val="002F6FCA"/>
    <w:rsid w:val="002F7EF8"/>
    <w:rsid w:val="00301191"/>
    <w:rsid w:val="00322611"/>
    <w:rsid w:val="003248D5"/>
    <w:rsid w:val="00326D72"/>
    <w:rsid w:val="0033189B"/>
    <w:rsid w:val="003442AE"/>
    <w:rsid w:val="0034443A"/>
    <w:rsid w:val="003474B8"/>
    <w:rsid w:val="00353E66"/>
    <w:rsid w:val="00357C16"/>
    <w:rsid w:val="003637C6"/>
    <w:rsid w:val="003732CC"/>
    <w:rsid w:val="00373B63"/>
    <w:rsid w:val="00374F9A"/>
    <w:rsid w:val="00382C0C"/>
    <w:rsid w:val="00397F24"/>
    <w:rsid w:val="003A298A"/>
    <w:rsid w:val="003B4F45"/>
    <w:rsid w:val="003B6193"/>
    <w:rsid w:val="003C172D"/>
    <w:rsid w:val="003C7092"/>
    <w:rsid w:val="003C785A"/>
    <w:rsid w:val="003D2B81"/>
    <w:rsid w:val="003F0DDA"/>
    <w:rsid w:val="003F5F7A"/>
    <w:rsid w:val="004043A2"/>
    <w:rsid w:val="00404EA5"/>
    <w:rsid w:val="00415144"/>
    <w:rsid w:val="00420D92"/>
    <w:rsid w:val="0042297A"/>
    <w:rsid w:val="004362C7"/>
    <w:rsid w:val="0044106E"/>
    <w:rsid w:val="00446E68"/>
    <w:rsid w:val="00447503"/>
    <w:rsid w:val="0046038A"/>
    <w:rsid w:val="00471176"/>
    <w:rsid w:val="00484FF8"/>
    <w:rsid w:val="004A0EB1"/>
    <w:rsid w:val="004A3B49"/>
    <w:rsid w:val="004A5C14"/>
    <w:rsid w:val="004B36B8"/>
    <w:rsid w:val="004C387C"/>
    <w:rsid w:val="004D0AB9"/>
    <w:rsid w:val="004E042A"/>
    <w:rsid w:val="004F0FDE"/>
    <w:rsid w:val="004F3E07"/>
    <w:rsid w:val="00504FD3"/>
    <w:rsid w:val="00512882"/>
    <w:rsid w:val="005143FF"/>
    <w:rsid w:val="00516FEB"/>
    <w:rsid w:val="005244F5"/>
    <w:rsid w:val="00524665"/>
    <w:rsid w:val="00543C0A"/>
    <w:rsid w:val="0054699B"/>
    <w:rsid w:val="005515EB"/>
    <w:rsid w:val="0055226E"/>
    <w:rsid w:val="00552E7C"/>
    <w:rsid w:val="005601D0"/>
    <w:rsid w:val="005613B2"/>
    <w:rsid w:val="0056304A"/>
    <w:rsid w:val="0057066D"/>
    <w:rsid w:val="00572671"/>
    <w:rsid w:val="00591688"/>
    <w:rsid w:val="005916DF"/>
    <w:rsid w:val="00595627"/>
    <w:rsid w:val="00595D3F"/>
    <w:rsid w:val="00595EAC"/>
    <w:rsid w:val="005A2F5B"/>
    <w:rsid w:val="005A52D6"/>
    <w:rsid w:val="005C574A"/>
    <w:rsid w:val="005D09A0"/>
    <w:rsid w:val="005D479D"/>
    <w:rsid w:val="005E416B"/>
    <w:rsid w:val="005E7A21"/>
    <w:rsid w:val="005F24B2"/>
    <w:rsid w:val="0060103A"/>
    <w:rsid w:val="00602911"/>
    <w:rsid w:val="00602A7A"/>
    <w:rsid w:val="0060509A"/>
    <w:rsid w:val="006125F5"/>
    <w:rsid w:val="00612A9B"/>
    <w:rsid w:val="00614D00"/>
    <w:rsid w:val="006225E2"/>
    <w:rsid w:val="0062676A"/>
    <w:rsid w:val="00640DB1"/>
    <w:rsid w:val="006416E9"/>
    <w:rsid w:val="0064545D"/>
    <w:rsid w:val="00646C82"/>
    <w:rsid w:val="00647CD5"/>
    <w:rsid w:val="006548A6"/>
    <w:rsid w:val="00655478"/>
    <w:rsid w:val="00664D7F"/>
    <w:rsid w:val="006A377B"/>
    <w:rsid w:val="006A473C"/>
    <w:rsid w:val="006B0930"/>
    <w:rsid w:val="006C4384"/>
    <w:rsid w:val="006C5135"/>
    <w:rsid w:val="006C546E"/>
    <w:rsid w:val="006E2DE0"/>
    <w:rsid w:val="006E5A8E"/>
    <w:rsid w:val="0070081C"/>
    <w:rsid w:val="0071653B"/>
    <w:rsid w:val="00721985"/>
    <w:rsid w:val="00724C84"/>
    <w:rsid w:val="007252A8"/>
    <w:rsid w:val="00725C0A"/>
    <w:rsid w:val="0073119D"/>
    <w:rsid w:val="0073199C"/>
    <w:rsid w:val="007376B0"/>
    <w:rsid w:val="00740508"/>
    <w:rsid w:val="00743776"/>
    <w:rsid w:val="00751428"/>
    <w:rsid w:val="0075674B"/>
    <w:rsid w:val="00761F2B"/>
    <w:rsid w:val="00763B74"/>
    <w:rsid w:val="007731D0"/>
    <w:rsid w:val="00775B16"/>
    <w:rsid w:val="00785A0A"/>
    <w:rsid w:val="007967F8"/>
    <w:rsid w:val="007A3772"/>
    <w:rsid w:val="007C2696"/>
    <w:rsid w:val="007C4C31"/>
    <w:rsid w:val="007C5EA5"/>
    <w:rsid w:val="007D381E"/>
    <w:rsid w:val="007D3EE2"/>
    <w:rsid w:val="007E03CA"/>
    <w:rsid w:val="007E6193"/>
    <w:rsid w:val="007F2F97"/>
    <w:rsid w:val="007F387D"/>
    <w:rsid w:val="007F7152"/>
    <w:rsid w:val="008203E6"/>
    <w:rsid w:val="00822633"/>
    <w:rsid w:val="00830107"/>
    <w:rsid w:val="00831B02"/>
    <w:rsid w:val="00833174"/>
    <w:rsid w:val="00846609"/>
    <w:rsid w:val="00852958"/>
    <w:rsid w:val="00864F77"/>
    <w:rsid w:val="008661F8"/>
    <w:rsid w:val="008712FA"/>
    <w:rsid w:val="00876AA9"/>
    <w:rsid w:val="00876EFF"/>
    <w:rsid w:val="00883AB2"/>
    <w:rsid w:val="008861B2"/>
    <w:rsid w:val="00896377"/>
    <w:rsid w:val="008A09F5"/>
    <w:rsid w:val="008A4B18"/>
    <w:rsid w:val="008A738C"/>
    <w:rsid w:val="008B2645"/>
    <w:rsid w:val="008C36D3"/>
    <w:rsid w:val="008D0675"/>
    <w:rsid w:val="008D1425"/>
    <w:rsid w:val="008D3BC8"/>
    <w:rsid w:val="008D6F23"/>
    <w:rsid w:val="008E5EB5"/>
    <w:rsid w:val="008F04C7"/>
    <w:rsid w:val="008F21A5"/>
    <w:rsid w:val="008F2440"/>
    <w:rsid w:val="00914619"/>
    <w:rsid w:val="009202C8"/>
    <w:rsid w:val="009246BA"/>
    <w:rsid w:val="00930CDE"/>
    <w:rsid w:val="00935AA1"/>
    <w:rsid w:val="009451DC"/>
    <w:rsid w:val="009467F2"/>
    <w:rsid w:val="0095655E"/>
    <w:rsid w:val="009718ED"/>
    <w:rsid w:val="0097297B"/>
    <w:rsid w:val="0098154C"/>
    <w:rsid w:val="0098549E"/>
    <w:rsid w:val="009857EF"/>
    <w:rsid w:val="009941D8"/>
    <w:rsid w:val="009A2C18"/>
    <w:rsid w:val="009C0A0B"/>
    <w:rsid w:val="009C14BD"/>
    <w:rsid w:val="009D1AF8"/>
    <w:rsid w:val="009E1C84"/>
    <w:rsid w:val="009E32D4"/>
    <w:rsid w:val="009E4080"/>
    <w:rsid w:val="009E4DCB"/>
    <w:rsid w:val="009E580F"/>
    <w:rsid w:val="009F5A6A"/>
    <w:rsid w:val="00A0205F"/>
    <w:rsid w:val="00A04E9D"/>
    <w:rsid w:val="00A06893"/>
    <w:rsid w:val="00A21886"/>
    <w:rsid w:val="00A25682"/>
    <w:rsid w:val="00A2638C"/>
    <w:rsid w:val="00A27417"/>
    <w:rsid w:val="00A27AFD"/>
    <w:rsid w:val="00A34664"/>
    <w:rsid w:val="00A354A8"/>
    <w:rsid w:val="00A4031E"/>
    <w:rsid w:val="00A44A2B"/>
    <w:rsid w:val="00A46F60"/>
    <w:rsid w:val="00A53234"/>
    <w:rsid w:val="00A57F47"/>
    <w:rsid w:val="00AA7A0D"/>
    <w:rsid w:val="00AB113B"/>
    <w:rsid w:val="00AB1996"/>
    <w:rsid w:val="00AD2FD2"/>
    <w:rsid w:val="00AD41E6"/>
    <w:rsid w:val="00AD4ECF"/>
    <w:rsid w:val="00AD70C8"/>
    <w:rsid w:val="00AF6067"/>
    <w:rsid w:val="00B07AAD"/>
    <w:rsid w:val="00B15273"/>
    <w:rsid w:val="00B16887"/>
    <w:rsid w:val="00B1746F"/>
    <w:rsid w:val="00B27A2B"/>
    <w:rsid w:val="00B31F00"/>
    <w:rsid w:val="00B351A2"/>
    <w:rsid w:val="00B41959"/>
    <w:rsid w:val="00B42C18"/>
    <w:rsid w:val="00B43CF7"/>
    <w:rsid w:val="00B44327"/>
    <w:rsid w:val="00B5082E"/>
    <w:rsid w:val="00B53944"/>
    <w:rsid w:val="00B61FDD"/>
    <w:rsid w:val="00B75B80"/>
    <w:rsid w:val="00B81149"/>
    <w:rsid w:val="00B8672D"/>
    <w:rsid w:val="00B94FB1"/>
    <w:rsid w:val="00BC7FBC"/>
    <w:rsid w:val="00BD11D6"/>
    <w:rsid w:val="00BD2A3B"/>
    <w:rsid w:val="00BD646D"/>
    <w:rsid w:val="00BD6A33"/>
    <w:rsid w:val="00BD7ED0"/>
    <w:rsid w:val="00BE5E06"/>
    <w:rsid w:val="00BE643E"/>
    <w:rsid w:val="00BE7CED"/>
    <w:rsid w:val="00BF59BF"/>
    <w:rsid w:val="00C056B5"/>
    <w:rsid w:val="00C10630"/>
    <w:rsid w:val="00C12939"/>
    <w:rsid w:val="00C14E3B"/>
    <w:rsid w:val="00C23BA4"/>
    <w:rsid w:val="00C241B2"/>
    <w:rsid w:val="00C34485"/>
    <w:rsid w:val="00C40AB3"/>
    <w:rsid w:val="00C43805"/>
    <w:rsid w:val="00C43E24"/>
    <w:rsid w:val="00C45235"/>
    <w:rsid w:val="00C60EF2"/>
    <w:rsid w:val="00C615B2"/>
    <w:rsid w:val="00C702F0"/>
    <w:rsid w:val="00C74553"/>
    <w:rsid w:val="00C8112C"/>
    <w:rsid w:val="00C87EF4"/>
    <w:rsid w:val="00CA623E"/>
    <w:rsid w:val="00CA630F"/>
    <w:rsid w:val="00CB4EB2"/>
    <w:rsid w:val="00CB7A41"/>
    <w:rsid w:val="00CC7A0B"/>
    <w:rsid w:val="00CD64CD"/>
    <w:rsid w:val="00CE2041"/>
    <w:rsid w:val="00CE3059"/>
    <w:rsid w:val="00CE4960"/>
    <w:rsid w:val="00CE56FA"/>
    <w:rsid w:val="00CF0912"/>
    <w:rsid w:val="00D0060C"/>
    <w:rsid w:val="00D027B8"/>
    <w:rsid w:val="00D04134"/>
    <w:rsid w:val="00D0571C"/>
    <w:rsid w:val="00D0679B"/>
    <w:rsid w:val="00D11879"/>
    <w:rsid w:val="00D12547"/>
    <w:rsid w:val="00D22D44"/>
    <w:rsid w:val="00D378BA"/>
    <w:rsid w:val="00D40668"/>
    <w:rsid w:val="00D61E45"/>
    <w:rsid w:val="00D6263A"/>
    <w:rsid w:val="00D778D7"/>
    <w:rsid w:val="00D83934"/>
    <w:rsid w:val="00D861C3"/>
    <w:rsid w:val="00D91A0C"/>
    <w:rsid w:val="00D9239C"/>
    <w:rsid w:val="00D95955"/>
    <w:rsid w:val="00D979AB"/>
    <w:rsid w:val="00DA590C"/>
    <w:rsid w:val="00DA703D"/>
    <w:rsid w:val="00DB0D44"/>
    <w:rsid w:val="00DB54CF"/>
    <w:rsid w:val="00DC1546"/>
    <w:rsid w:val="00DD2172"/>
    <w:rsid w:val="00DD4A09"/>
    <w:rsid w:val="00DD4C25"/>
    <w:rsid w:val="00DD6A1F"/>
    <w:rsid w:val="00DE4C00"/>
    <w:rsid w:val="00DE5C67"/>
    <w:rsid w:val="00DF2449"/>
    <w:rsid w:val="00DF7ACF"/>
    <w:rsid w:val="00E004CA"/>
    <w:rsid w:val="00E03391"/>
    <w:rsid w:val="00E0373B"/>
    <w:rsid w:val="00E07308"/>
    <w:rsid w:val="00E179B5"/>
    <w:rsid w:val="00E26286"/>
    <w:rsid w:val="00E30AC2"/>
    <w:rsid w:val="00E33D84"/>
    <w:rsid w:val="00E34813"/>
    <w:rsid w:val="00E356D2"/>
    <w:rsid w:val="00E401B3"/>
    <w:rsid w:val="00E458DA"/>
    <w:rsid w:val="00E5687E"/>
    <w:rsid w:val="00E639CC"/>
    <w:rsid w:val="00E63D5B"/>
    <w:rsid w:val="00E671AD"/>
    <w:rsid w:val="00E83C80"/>
    <w:rsid w:val="00E83E40"/>
    <w:rsid w:val="00E857B8"/>
    <w:rsid w:val="00E907E5"/>
    <w:rsid w:val="00E943B8"/>
    <w:rsid w:val="00EA11F7"/>
    <w:rsid w:val="00EA20B9"/>
    <w:rsid w:val="00EA4549"/>
    <w:rsid w:val="00ED0B37"/>
    <w:rsid w:val="00ED22DF"/>
    <w:rsid w:val="00ED4C66"/>
    <w:rsid w:val="00ED6781"/>
    <w:rsid w:val="00EF5BA0"/>
    <w:rsid w:val="00F13600"/>
    <w:rsid w:val="00F15FC0"/>
    <w:rsid w:val="00F17042"/>
    <w:rsid w:val="00F175D1"/>
    <w:rsid w:val="00F21DA9"/>
    <w:rsid w:val="00F22A75"/>
    <w:rsid w:val="00F30C1E"/>
    <w:rsid w:val="00F3185D"/>
    <w:rsid w:val="00F35217"/>
    <w:rsid w:val="00F35C50"/>
    <w:rsid w:val="00F42D68"/>
    <w:rsid w:val="00F436FE"/>
    <w:rsid w:val="00F500D2"/>
    <w:rsid w:val="00F51A9D"/>
    <w:rsid w:val="00F57792"/>
    <w:rsid w:val="00F60048"/>
    <w:rsid w:val="00F6185A"/>
    <w:rsid w:val="00F73FE2"/>
    <w:rsid w:val="00F74944"/>
    <w:rsid w:val="00F8497C"/>
    <w:rsid w:val="00F91E41"/>
    <w:rsid w:val="00FA238D"/>
    <w:rsid w:val="00FA3835"/>
    <w:rsid w:val="00FA6816"/>
    <w:rsid w:val="00FB5D79"/>
    <w:rsid w:val="00FE3D91"/>
    <w:rsid w:val="00FE55D2"/>
    <w:rsid w:val="00FF728E"/>
    <w:rsid w:val="018502B5"/>
    <w:rsid w:val="09A45050"/>
    <w:rsid w:val="0A5B05D9"/>
    <w:rsid w:val="10367584"/>
    <w:rsid w:val="11165D41"/>
    <w:rsid w:val="1538457A"/>
    <w:rsid w:val="1B9E3D36"/>
    <w:rsid w:val="1C8F2A04"/>
    <w:rsid w:val="243F7370"/>
    <w:rsid w:val="310C4F1B"/>
    <w:rsid w:val="3AFF33E8"/>
    <w:rsid w:val="3D476359"/>
    <w:rsid w:val="3DA95789"/>
    <w:rsid w:val="3DE10046"/>
    <w:rsid w:val="3F2343C3"/>
    <w:rsid w:val="46DB7A17"/>
    <w:rsid w:val="48333FF5"/>
    <w:rsid w:val="51CD3614"/>
    <w:rsid w:val="53FC6986"/>
    <w:rsid w:val="585F0652"/>
    <w:rsid w:val="593C7176"/>
    <w:rsid w:val="67D85B6C"/>
    <w:rsid w:val="6C67192F"/>
    <w:rsid w:val="6F135C55"/>
    <w:rsid w:val="78C830A0"/>
    <w:rsid w:val="7D9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4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4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4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4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 3"/>
    <w:basedOn w:val="1"/>
    <w:qFormat/>
    <w:uiPriority w:val="0"/>
    <w:pPr>
      <w:widowControl/>
      <w:ind w:right="720"/>
      <w:jc w:val="left"/>
    </w:pPr>
    <w:rPr>
      <w:kern w:val="0"/>
      <w:sz w:val="20"/>
      <w:szCs w:val="20"/>
      <w:lang w:eastAsia="en-US"/>
    </w:rPr>
  </w:style>
  <w:style w:type="paragraph" w:styleId="15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6">
    <w:name w:val="Body Text Indent"/>
    <w:basedOn w:val="1"/>
    <w:uiPriority w:val="0"/>
    <w:pPr>
      <w:spacing w:after="120"/>
      <w:ind w:left="420" w:leftChars="200"/>
    </w:pPr>
  </w:style>
  <w:style w:type="paragraph" w:styleId="17">
    <w:name w:val="Plain Text"/>
    <w:basedOn w:val="1"/>
    <w:link w:val="34"/>
    <w:qFormat/>
    <w:uiPriority w:val="0"/>
    <w:rPr>
      <w:rFonts w:ascii="宋体" w:hAnsi="Courier New"/>
      <w:szCs w:val="20"/>
    </w:rPr>
  </w:style>
  <w:style w:type="paragraph" w:styleId="18">
    <w:name w:val="Date"/>
    <w:basedOn w:val="1"/>
    <w:next w:val="1"/>
    <w:link w:val="35"/>
    <w:qFormat/>
    <w:uiPriority w:val="0"/>
    <w:rPr>
      <w:szCs w:val="20"/>
    </w:rPr>
  </w:style>
  <w:style w:type="paragraph" w:styleId="19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0">
    <w:name w:val="Balloon Text"/>
    <w:basedOn w:val="1"/>
    <w:semiHidden/>
    <w:qFormat/>
    <w:uiPriority w:val="0"/>
    <w:rPr>
      <w:sz w:val="18"/>
      <w:szCs w:val="18"/>
    </w:rPr>
  </w:style>
  <w:style w:type="paragraph" w:styleId="2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Body Text 2"/>
    <w:basedOn w:val="1"/>
    <w:qFormat/>
    <w:uiPriority w:val="0"/>
    <w:pPr>
      <w:widowControl/>
    </w:pPr>
    <w:rPr>
      <w:kern w:val="0"/>
      <w:sz w:val="20"/>
      <w:szCs w:val="20"/>
      <w:lang w:eastAsia="en-US"/>
    </w:rPr>
  </w:style>
  <w:style w:type="paragraph" w:styleId="2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25">
    <w:name w:val="Title"/>
    <w:basedOn w:val="1"/>
    <w:qFormat/>
    <w:uiPriority w:val="0"/>
    <w:pPr>
      <w:jc w:val="center"/>
    </w:pPr>
    <w:rPr>
      <w:sz w:val="30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qFormat/>
    <w:uiPriority w:val="0"/>
  </w:style>
  <w:style w:type="character" w:styleId="31">
    <w:name w:val="Emphasis"/>
    <w:qFormat/>
    <w:uiPriority w:val="20"/>
    <w:rPr>
      <w:i/>
      <w:iCs/>
    </w:rPr>
  </w:style>
  <w:style w:type="character" w:styleId="32">
    <w:name w:val="Hyperlink"/>
    <w:qFormat/>
    <w:uiPriority w:val="0"/>
    <w:rPr>
      <w:color w:val="0000FF"/>
      <w:u w:val="single"/>
    </w:rPr>
  </w:style>
  <w:style w:type="character" w:styleId="33">
    <w:name w:val="annotation reference"/>
    <w:basedOn w:val="28"/>
    <w:uiPriority w:val="0"/>
    <w:rPr>
      <w:sz w:val="21"/>
      <w:szCs w:val="21"/>
    </w:rPr>
  </w:style>
  <w:style w:type="character" w:customStyle="1" w:styleId="34">
    <w:name w:val="纯文本 Char"/>
    <w:link w:val="17"/>
    <w:uiPriority w:val="0"/>
    <w:rPr>
      <w:rFonts w:ascii="宋体" w:hAnsi="Courier New"/>
      <w:kern w:val="2"/>
      <w:sz w:val="21"/>
    </w:rPr>
  </w:style>
  <w:style w:type="character" w:customStyle="1" w:styleId="35">
    <w:name w:val="日期 Char"/>
    <w:link w:val="18"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6">
    <w:name w:val="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7">
    <w:name w:val="Char1"/>
    <w:basedOn w:val="1"/>
    <w:uiPriority w:val="0"/>
    <w:rPr>
      <w:rFonts w:ascii="Tahoma" w:hAnsi="Tahoma"/>
      <w:sz w:val="24"/>
      <w:szCs w:val="20"/>
    </w:rPr>
  </w:style>
  <w:style w:type="paragraph" w:customStyle="1" w:styleId="38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9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  <w:szCs w:val="20"/>
    </w:rPr>
  </w:style>
  <w:style w:type="paragraph" w:customStyle="1" w:styleId="40">
    <w:name w:val="文档正文"/>
    <w:basedOn w:val="1"/>
    <w:uiPriority w:val="0"/>
    <w:pPr>
      <w:adjustRightInd w:val="0"/>
      <w:spacing w:line="480" w:lineRule="atLeast"/>
      <w:ind w:firstLine="567"/>
      <w:textAlignment w:val="baseline"/>
    </w:pPr>
    <w:rPr>
      <w:rFonts w:ascii="长城仿宋"/>
      <w:kern w:val="0"/>
      <w:sz w:val="24"/>
      <w:szCs w:val="20"/>
    </w:rPr>
  </w:style>
  <w:style w:type="paragraph" w:customStyle="1" w:styleId="41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4683</Words>
  <Characters>5381</Characters>
  <Lines>117</Lines>
  <Paragraphs>33</Paragraphs>
  <TotalTime>12</TotalTime>
  <ScaleCrop>false</ScaleCrop>
  <LinksUpToDate>false</LinksUpToDate>
  <CharactersWithSpaces>5599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2022-09-13T08:13:00Z</dcterms:created>
  <dc:creator>caowuning</dc:creator>
  <cp:lastModifiedBy>sw wang</cp:lastModifiedBy>
  <cp:lastPrinted>2009-04-21T09:03:00Z</cp:lastPrinted>
  <dcterms:modified xsi:type="dcterms:W3CDTF">2022-09-14T08:21:55Z</dcterms:modified>
  <dc:title>北 京 市 政 府 采 购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E77687BACC38405FBB192A340341228D</vt:lpwstr>
  </property>
</Properties>
</file>