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木制家具产品质量国家监督抽查实施细则</w:t>
      </w:r>
    </w:p>
    <w:p>
      <w:pPr>
        <w:spacing w:line="440" w:lineRule="exact"/>
        <w:jc w:val="center"/>
        <w:rPr>
          <w:rFonts w:ascii="Times New Roman" w:hAnsi="Times New Roman" w:eastAsia="方正小标宋简体"/>
          <w:color w:val="000000"/>
          <w:sz w:val="32"/>
          <w:szCs w:val="32"/>
        </w:rPr>
      </w:pPr>
      <w:r>
        <w:rPr>
          <w:rFonts w:ascii="Times New Roman" w:hAnsi="Times New Roman" w:eastAsia="方正小标宋简体"/>
          <w:color w:val="000000"/>
          <w:sz w:val="32"/>
          <w:szCs w:val="32"/>
        </w:rPr>
        <w:t>（2022年版）</w:t>
      </w:r>
    </w:p>
    <w:p>
      <w:pPr>
        <w:adjustRightInd w:val="0"/>
        <w:snapToGrid w:val="0"/>
        <w:spacing w:line="594" w:lineRule="exact"/>
        <w:jc w:val="center"/>
        <w:rPr>
          <w:rFonts w:ascii="Times New Roman" w:hAnsi="Times New Roman" w:eastAsia="方正小标宋简体"/>
          <w:color w:val="000000"/>
          <w:sz w:val="32"/>
          <w:szCs w:val="32"/>
        </w:rPr>
      </w:pPr>
    </w:p>
    <w:p>
      <w:pPr>
        <w:snapToGrid w:val="0"/>
        <w:spacing w:line="440" w:lineRule="exact"/>
        <w:rPr>
          <w:rFonts w:ascii="Times New Roman" w:hAnsi="Times New Roman" w:eastAsia="黑体"/>
          <w:color w:val="000000"/>
          <w:szCs w:val="21"/>
        </w:rPr>
      </w:pPr>
      <w:r>
        <w:rPr>
          <w:rFonts w:ascii="黑体" w:hAnsi="黑体" w:eastAsia="黑体"/>
          <w:color w:val="000000"/>
          <w:szCs w:val="21"/>
        </w:rPr>
        <w:t xml:space="preserve">1 </w:t>
      </w:r>
      <w:r>
        <w:rPr>
          <w:rFonts w:ascii="Times New Roman" w:hAnsi="Times New Roman" w:eastAsia="黑体"/>
          <w:color w:val="000000"/>
          <w:szCs w:val="21"/>
        </w:rPr>
        <w:t>抽样方法</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以随机抽样的方式在被抽样生产者、销售者的待销产品中抽取。</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随机数一般可使用随机数表等方法产生。</w:t>
      </w:r>
    </w:p>
    <w:p>
      <w:pPr>
        <w:adjustRightInd w:val="0"/>
        <w:snapToGrid w:val="0"/>
        <w:spacing w:line="440" w:lineRule="exact"/>
        <w:ind w:firstLine="420" w:firstLineChars="200"/>
        <w:rPr>
          <w:rFonts w:ascii="Times New Roman" w:hAnsi="Times New Roman"/>
          <w:szCs w:val="21"/>
        </w:rPr>
      </w:pPr>
      <w:r>
        <w:rPr>
          <w:rFonts w:ascii="Times New Roman" w:hAnsi="Times New Roman"/>
          <w:szCs w:val="21"/>
        </w:rPr>
        <w:t>每批次产品抽取样品2件，其中1件作为检验样品，1件作为备用样品。</w:t>
      </w:r>
    </w:p>
    <w:p>
      <w:pPr>
        <w:snapToGrid w:val="0"/>
        <w:spacing w:line="440" w:lineRule="exact"/>
        <w:ind w:firstLine="420" w:firstLineChars="200"/>
        <w:rPr>
          <w:rFonts w:ascii="Times New Roman" w:hAnsi="Times New Roman"/>
          <w:color w:val="000000"/>
          <w:szCs w:val="21"/>
        </w:rPr>
      </w:pPr>
    </w:p>
    <w:p>
      <w:pPr>
        <w:snapToGrid w:val="0"/>
        <w:spacing w:line="440" w:lineRule="exact"/>
        <w:rPr>
          <w:rFonts w:ascii="Times New Roman" w:hAnsi="Times New Roman" w:eastAsia="黑体"/>
          <w:color w:val="000000"/>
          <w:szCs w:val="21"/>
        </w:rPr>
      </w:pPr>
      <w:r>
        <w:rPr>
          <w:rFonts w:ascii="黑体" w:hAnsi="黑体" w:eastAsia="黑体"/>
          <w:color w:val="000000"/>
          <w:szCs w:val="21"/>
        </w:rPr>
        <w:t xml:space="preserve">2 </w:t>
      </w:r>
      <w:r>
        <w:rPr>
          <w:rFonts w:ascii="Times New Roman" w:hAnsi="Times New Roman" w:eastAsia="黑体"/>
          <w:color w:val="000000"/>
          <w:szCs w:val="21"/>
        </w:rPr>
        <w:t>检验依据</w:t>
      </w:r>
    </w:p>
    <w:p>
      <w:pPr>
        <w:snapToGrid w:val="0"/>
        <w:spacing w:line="440" w:lineRule="exact"/>
        <w:rPr>
          <w:rFonts w:ascii="Times New Roman" w:hAnsi="Times New Roman" w:eastAsia="黑体"/>
          <w:color w:val="000000"/>
          <w:szCs w:val="21"/>
        </w:rPr>
      </w:pPr>
    </w:p>
    <w:tbl>
      <w:tblPr>
        <w:tblStyle w:val="1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625"/>
        <w:gridCol w:w="291"/>
        <w:gridCol w:w="2425"/>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trPr>
        <w:tc>
          <w:tcPr>
            <w:tcW w:w="684" w:type="dxa"/>
            <w:vAlign w:val="center"/>
          </w:tcPr>
          <w:p>
            <w:pPr>
              <w:spacing w:line="440" w:lineRule="exact"/>
              <w:jc w:val="center"/>
              <w:textAlignment w:val="center"/>
              <w:rPr>
                <w:rFonts w:ascii="Times New Roman" w:hAnsi="Times New Roman"/>
                <w:szCs w:val="21"/>
              </w:rPr>
            </w:pPr>
            <w:r>
              <w:rPr>
                <w:rFonts w:ascii="Times New Roman" w:hAnsi="Times New Roman"/>
              </w:rPr>
              <w:t>序号</w:t>
            </w:r>
          </w:p>
        </w:tc>
        <w:tc>
          <w:tcPr>
            <w:tcW w:w="5341" w:type="dxa"/>
            <w:gridSpan w:val="3"/>
            <w:vAlign w:val="center"/>
          </w:tcPr>
          <w:p>
            <w:pPr>
              <w:spacing w:line="440" w:lineRule="exact"/>
              <w:jc w:val="center"/>
              <w:textAlignment w:val="center"/>
              <w:rPr>
                <w:rFonts w:ascii="Times New Roman" w:hAnsi="Times New Roman"/>
                <w:szCs w:val="21"/>
              </w:rPr>
            </w:pPr>
            <w:r>
              <w:rPr>
                <w:rFonts w:ascii="Times New Roman" w:hAnsi="Times New Roman"/>
              </w:rPr>
              <w:t>检验项目</w:t>
            </w:r>
          </w:p>
        </w:tc>
        <w:tc>
          <w:tcPr>
            <w:tcW w:w="2923" w:type="dxa"/>
            <w:vAlign w:val="center"/>
          </w:tcPr>
          <w:p>
            <w:pPr>
              <w:spacing w:line="440" w:lineRule="exact"/>
              <w:jc w:val="center"/>
              <w:textAlignment w:val="center"/>
              <w:rPr>
                <w:rFonts w:ascii="Times New Roman" w:hAnsi="Times New Roman"/>
                <w:szCs w:val="21"/>
              </w:rPr>
            </w:pPr>
            <w:r>
              <w:rPr>
                <w:rFonts w:ascii="Times New Roman" w:hAnsi="Times New Roman"/>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w:t>
            </w:r>
          </w:p>
        </w:tc>
        <w:tc>
          <w:tcPr>
            <w:tcW w:w="5341" w:type="dxa"/>
            <w:gridSpan w:val="3"/>
            <w:vAlign w:val="center"/>
          </w:tcPr>
          <w:p>
            <w:pPr>
              <w:snapToGrid w:val="0"/>
              <w:jc w:val="center"/>
              <w:rPr>
                <w:rFonts w:ascii="Times New Roman" w:hAnsi="Times New Roman"/>
                <w:color w:val="000000"/>
                <w:szCs w:val="21"/>
              </w:rPr>
            </w:pPr>
            <w:r>
              <w:rPr>
                <w:rFonts w:ascii="Times New Roman" w:hAnsi="Times New Roman"/>
                <w:color w:val="000000"/>
                <w:szCs w:val="21"/>
              </w:rPr>
              <w:t>木工要求（表3</w:t>
            </w:r>
            <w:r>
              <w:rPr>
                <w:rFonts w:hint="eastAsia"/>
                <w:color w:val="000000"/>
                <w:szCs w:val="21"/>
              </w:rPr>
              <w:t>—</w:t>
            </w:r>
            <w:r>
              <w:rPr>
                <w:rFonts w:ascii="Times New Roman" w:hAnsi="Times New Roman"/>
                <w:color w:val="000000"/>
                <w:szCs w:val="21"/>
              </w:rPr>
              <w:t>序号27）</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w:t>
            </w:r>
          </w:p>
        </w:tc>
        <w:tc>
          <w:tcPr>
            <w:tcW w:w="2916" w:type="dxa"/>
            <w:gridSpan w:val="2"/>
            <w:vMerge w:val="restart"/>
            <w:vAlign w:val="center"/>
          </w:tcPr>
          <w:p>
            <w:pPr>
              <w:snapToGrid w:val="0"/>
              <w:jc w:val="center"/>
              <w:rPr>
                <w:rFonts w:ascii="Times New Roman" w:hAnsi="Times New Roman"/>
                <w:color w:val="000000"/>
                <w:szCs w:val="21"/>
              </w:rPr>
            </w:pPr>
            <w:r>
              <w:rPr>
                <w:rFonts w:ascii="Times New Roman" w:hAnsi="Times New Roman"/>
                <w:color w:val="000000"/>
                <w:szCs w:val="21"/>
              </w:rPr>
              <w:t>表面理化性能（漆膜）</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耐液性</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耐湿热</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4</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耐干热</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5</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附着力</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6</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耐磨性</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7</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抗冲击</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8</w:t>
            </w:r>
          </w:p>
        </w:tc>
        <w:tc>
          <w:tcPr>
            <w:tcW w:w="2916" w:type="dxa"/>
            <w:gridSpan w:val="2"/>
            <w:vMerge w:val="restart"/>
            <w:vAlign w:val="center"/>
          </w:tcPr>
          <w:p>
            <w:pPr>
              <w:snapToGrid w:val="0"/>
              <w:jc w:val="center"/>
              <w:rPr>
                <w:rFonts w:ascii="Times New Roman" w:hAnsi="Times New Roman"/>
                <w:color w:val="000000"/>
                <w:szCs w:val="21"/>
              </w:rPr>
            </w:pPr>
            <w:r>
              <w:rPr>
                <w:rFonts w:ascii="Times New Roman" w:hAnsi="Times New Roman"/>
                <w:color w:val="000000"/>
                <w:szCs w:val="21"/>
              </w:rPr>
              <w:t>表面理化性能（软、硬质覆面）</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耐冷热循环</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9</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耐干热</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10</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耐湿热</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11</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表面耐磨性</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12</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抗冲击</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 xml:space="preserve">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13</w:t>
            </w:r>
          </w:p>
        </w:tc>
        <w:tc>
          <w:tcPr>
            <w:tcW w:w="2916" w:type="dxa"/>
            <w:gridSpan w:val="2"/>
            <w:vMerge w:val="restart"/>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柜类</w:t>
            </w:r>
            <w:r>
              <w:rPr>
                <w:rFonts w:hint="eastAsia" w:ascii="Times New Roman" w:hAnsi="Times New Roman"/>
                <w:color w:val="000000"/>
                <w:szCs w:val="21"/>
              </w:rPr>
              <w:t>强度）</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结构和底架强度试验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10357.5</w:t>
            </w:r>
            <w:r>
              <w:rPr>
                <w:rFonts w:hint="eastAsia"/>
                <w:color w:val="000000"/>
                <w:szCs w:val="21"/>
              </w:rPr>
              <w:t>—</w:t>
            </w:r>
            <w:r>
              <w:rPr>
                <w:rFonts w:hint="eastAsia" w:ascii="Times New Roman" w:hAnsi="Times New Roman"/>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14</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推拉构件结构强度试验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10357.5</w:t>
            </w:r>
            <w:r>
              <w:rPr>
                <w:rFonts w:hint="eastAsia"/>
                <w:color w:val="000000"/>
                <w:szCs w:val="21"/>
              </w:rPr>
              <w:t>—</w:t>
            </w:r>
            <w:r>
              <w:rPr>
                <w:rFonts w:hint="eastAsia" w:ascii="Times New Roman" w:hAnsi="Times New Roman"/>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15</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推拉构件强度试验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10357.5</w:t>
            </w:r>
            <w:r>
              <w:rPr>
                <w:rFonts w:hint="eastAsia"/>
                <w:color w:val="000000"/>
                <w:szCs w:val="21"/>
              </w:rPr>
              <w:t>—</w:t>
            </w:r>
            <w:r>
              <w:rPr>
                <w:rFonts w:hint="eastAsia" w:ascii="Times New Roman" w:hAnsi="Times New Roman"/>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16</w:t>
            </w:r>
          </w:p>
        </w:tc>
        <w:tc>
          <w:tcPr>
            <w:tcW w:w="5341" w:type="dxa"/>
            <w:gridSpan w:val="3"/>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柜类稳定性</w:t>
            </w:r>
            <w:r>
              <w:rPr>
                <w:rFonts w:hint="eastAsia" w:ascii="Times New Roman" w:hAnsi="Times New Roman"/>
                <w:color w:val="000000"/>
                <w:szCs w:val="21"/>
              </w:rPr>
              <w:t>）</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10357.4</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17</w:t>
            </w:r>
          </w:p>
        </w:tc>
        <w:tc>
          <w:tcPr>
            <w:tcW w:w="2916" w:type="dxa"/>
            <w:gridSpan w:val="2"/>
            <w:vMerge w:val="restart"/>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桌类</w:t>
            </w:r>
            <w:r>
              <w:rPr>
                <w:rFonts w:hint="eastAsia" w:ascii="Times New Roman" w:hAnsi="Times New Roman"/>
                <w:color w:val="000000"/>
                <w:szCs w:val="21"/>
              </w:rPr>
              <w:t>强度）</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桌面垂直静载荷试验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10357.1</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18</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水平静载荷试验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10357.1</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19</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桌面垂直冲击试验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10357.1</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20</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桌腿跌落试验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10357.1</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21</w:t>
            </w:r>
          </w:p>
        </w:tc>
        <w:tc>
          <w:tcPr>
            <w:tcW w:w="5341" w:type="dxa"/>
            <w:gridSpan w:val="3"/>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桌类稳定性</w:t>
            </w:r>
            <w:r>
              <w:rPr>
                <w:rFonts w:hint="eastAsia" w:ascii="Times New Roman" w:hAnsi="Times New Roman"/>
                <w:color w:val="000000"/>
                <w:szCs w:val="21"/>
              </w:rPr>
              <w:t>）</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10357.7</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22</w:t>
            </w:r>
          </w:p>
        </w:tc>
        <w:tc>
          <w:tcPr>
            <w:tcW w:w="2916" w:type="dxa"/>
            <w:gridSpan w:val="2"/>
            <w:vMerge w:val="restart"/>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椅凳类</w:t>
            </w:r>
            <w:r>
              <w:rPr>
                <w:rFonts w:hint="eastAsia" w:ascii="Times New Roman" w:hAnsi="Times New Roman"/>
                <w:color w:val="000000"/>
                <w:szCs w:val="21"/>
              </w:rPr>
              <w:t>强度）</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座面和椅背静载荷试验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10357.3</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23</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椅腿前向静载荷试验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10357.3</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24</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椅腿侧向静载荷试验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10357.3</w:t>
            </w:r>
            <w:r>
              <w:rPr>
                <w:rFonts w:hint="eastAsia"/>
                <w:color w:val="000000"/>
                <w:szCs w:val="21"/>
              </w:rPr>
              <w:t>—</w:t>
            </w:r>
            <w:r>
              <w:rPr>
                <w:rFonts w:hint="eastAsia" w:ascii="Times New Roman" w:hAnsi="Times New Roman"/>
                <w:color w:val="000000"/>
                <w:szCs w:val="21"/>
              </w:rPr>
              <w:t>2013</w:t>
            </w:r>
            <w:r>
              <w:rPr>
                <w:rFonts w:ascii="Times New Roman" w:hAnsi="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25</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座面冲击试验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10357.3</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26</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跌落试验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10357.3</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27</w:t>
            </w:r>
          </w:p>
        </w:tc>
        <w:tc>
          <w:tcPr>
            <w:tcW w:w="5341" w:type="dxa"/>
            <w:gridSpan w:val="3"/>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椅凳类稳定性</w:t>
            </w:r>
            <w:r>
              <w:rPr>
                <w:rFonts w:hint="eastAsia" w:ascii="Times New Roman" w:hAnsi="Times New Roman"/>
                <w:color w:val="000000"/>
                <w:szCs w:val="21"/>
              </w:rPr>
              <w:t>）</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10357.2</w:t>
            </w:r>
            <w:r>
              <w:rPr>
                <w:rFonts w:hint="eastAsia"/>
                <w:color w:val="000000"/>
                <w:szCs w:val="21"/>
              </w:rPr>
              <w:t>—</w:t>
            </w:r>
            <w:r>
              <w:rPr>
                <w:rFonts w:hint="eastAsia" w:ascii="Times New Roman" w:hAnsi="Times New Roman"/>
                <w:color w:val="000000"/>
                <w:szCs w:val="21"/>
              </w:rPr>
              <w:t>2013</w:t>
            </w:r>
          </w:p>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10357.8</w:t>
            </w:r>
            <w:r>
              <w:rPr>
                <w:rFonts w:hint="eastAsia"/>
                <w:color w:val="000000"/>
                <w:szCs w:val="21"/>
              </w:rPr>
              <w:t>—</w:t>
            </w:r>
            <w:r>
              <w:rPr>
                <w:rFonts w:hint="eastAsia" w:ascii="Times New Roman" w:hAnsi="Times New Roman"/>
                <w:color w:val="000000"/>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28</w:t>
            </w:r>
          </w:p>
        </w:tc>
        <w:tc>
          <w:tcPr>
            <w:tcW w:w="2916" w:type="dxa"/>
            <w:gridSpan w:val="2"/>
            <w:vMerge w:val="restart"/>
            <w:vAlign w:val="center"/>
          </w:tcPr>
          <w:p>
            <w:pPr>
              <w:snapToGrid w:val="0"/>
              <w:jc w:val="center"/>
              <w:rPr>
                <w:rFonts w:ascii="Times New Roman" w:hAnsi="Times New Roman"/>
                <w:color w:val="000000"/>
                <w:szCs w:val="21"/>
              </w:rPr>
            </w:pPr>
            <w:r>
              <w:rPr>
                <w:rFonts w:hint="eastAsia" w:ascii="Times New Roman" w:hAnsi="Times New Roman"/>
                <w:color w:val="000000"/>
                <w:szCs w:val="21"/>
              </w:rPr>
              <w:t>力学性能（</w:t>
            </w:r>
            <w:r>
              <w:rPr>
                <w:rFonts w:ascii="Times New Roman" w:hAnsi="Times New Roman"/>
                <w:color w:val="000000"/>
                <w:szCs w:val="21"/>
              </w:rPr>
              <w:t>单层床</w:t>
            </w:r>
            <w:r>
              <w:rPr>
                <w:rFonts w:hint="eastAsia" w:ascii="Times New Roman" w:hAnsi="Times New Roman"/>
                <w:color w:val="000000"/>
                <w:szCs w:val="21"/>
              </w:rPr>
              <w:t>强度）</w:t>
            </w: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床铺面集中静载荷试验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10357.6</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29</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床长边静载荷试验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10357.6</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30</w:t>
            </w:r>
          </w:p>
        </w:tc>
        <w:tc>
          <w:tcPr>
            <w:tcW w:w="2916" w:type="dxa"/>
            <w:gridSpan w:val="2"/>
            <w:vMerge w:val="continue"/>
            <w:vAlign w:val="center"/>
          </w:tcPr>
          <w:p>
            <w:pPr>
              <w:snapToGrid w:val="0"/>
              <w:jc w:val="center"/>
              <w:rPr>
                <w:rFonts w:ascii="Times New Roman" w:hAnsi="Times New Roman"/>
                <w:color w:val="000000"/>
                <w:szCs w:val="21"/>
              </w:rPr>
            </w:pPr>
          </w:p>
        </w:tc>
        <w:tc>
          <w:tcPr>
            <w:tcW w:w="2425" w:type="dxa"/>
            <w:vAlign w:val="center"/>
          </w:tcPr>
          <w:p>
            <w:pPr>
              <w:snapToGrid w:val="0"/>
              <w:jc w:val="center"/>
              <w:rPr>
                <w:rFonts w:ascii="Times New Roman" w:hAnsi="Times New Roman"/>
                <w:color w:val="000000"/>
                <w:szCs w:val="21"/>
              </w:rPr>
            </w:pPr>
            <w:r>
              <w:rPr>
                <w:rFonts w:ascii="Times New Roman" w:hAnsi="Times New Roman"/>
                <w:color w:val="000000"/>
                <w:szCs w:val="21"/>
              </w:rPr>
              <w:t>床铺面冲击载荷试验</w:t>
            </w:r>
          </w:p>
        </w:tc>
        <w:tc>
          <w:tcPr>
            <w:tcW w:w="2923" w:type="dxa"/>
            <w:vAlign w:val="center"/>
          </w:tcPr>
          <w:p>
            <w:pPr>
              <w:snapToGrid w:val="0"/>
              <w:jc w:val="center"/>
              <w:rPr>
                <w:rFonts w:ascii="Times New Roman" w:hAnsi="Times New Roman"/>
                <w:color w:val="000000"/>
                <w:szCs w:val="21"/>
              </w:rPr>
            </w:pPr>
            <w:r>
              <w:rPr>
                <w:rFonts w:hint="eastAsia" w:ascii="Times New Roman" w:hAnsi="Times New Roman"/>
                <w:color w:val="000000"/>
                <w:szCs w:val="21"/>
              </w:rPr>
              <w:t>GB</w:t>
            </w:r>
            <w:r>
              <w:rPr>
                <w:rFonts w:ascii="Times New Roman" w:hAnsi="Times New Roman"/>
                <w:color w:val="000000"/>
                <w:szCs w:val="21"/>
              </w:rPr>
              <w:t>/</w:t>
            </w:r>
            <w:r>
              <w:rPr>
                <w:rFonts w:hint="eastAsia" w:ascii="Times New Roman" w:hAnsi="Times New Roman"/>
                <w:color w:val="000000"/>
                <w:szCs w:val="21"/>
              </w:rPr>
              <w:t>T 10357.6</w:t>
            </w:r>
            <w:r>
              <w:rPr>
                <w:rFonts w:hint="eastAsia"/>
                <w:color w:val="000000"/>
                <w:szCs w:val="21"/>
              </w:rPr>
              <w:t>—</w:t>
            </w:r>
            <w:r>
              <w:rPr>
                <w:rFonts w:hint="eastAsia" w:ascii="Times New Roman" w:hAnsi="Times New Roman"/>
                <w:color w:val="000000"/>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31</w:t>
            </w:r>
          </w:p>
        </w:tc>
        <w:tc>
          <w:tcPr>
            <w:tcW w:w="5341" w:type="dxa"/>
            <w:gridSpan w:val="3"/>
            <w:vAlign w:val="center"/>
          </w:tcPr>
          <w:p>
            <w:pPr>
              <w:snapToGrid w:val="0"/>
              <w:jc w:val="center"/>
              <w:rPr>
                <w:rFonts w:ascii="Times New Roman" w:hAnsi="Times New Roman"/>
                <w:color w:val="000000"/>
                <w:szCs w:val="21"/>
              </w:rPr>
            </w:pPr>
            <w:r>
              <w:rPr>
                <w:rFonts w:ascii="Times New Roman" w:hAnsi="Times New Roman"/>
                <w:color w:val="000000"/>
                <w:szCs w:val="21"/>
              </w:rPr>
              <w:t>结构安全性</w:t>
            </w:r>
          </w:p>
        </w:tc>
        <w:tc>
          <w:tcPr>
            <w:tcW w:w="2923" w:type="dxa"/>
            <w:vAlign w:val="center"/>
          </w:tcPr>
          <w:p>
            <w:pPr>
              <w:snapToGrid w:val="0"/>
              <w:jc w:val="center"/>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32</w:t>
            </w:r>
          </w:p>
        </w:tc>
        <w:tc>
          <w:tcPr>
            <w:tcW w:w="5341" w:type="dxa"/>
            <w:gridSpan w:val="3"/>
            <w:vAlign w:val="center"/>
          </w:tcPr>
          <w:p>
            <w:pPr>
              <w:snapToGrid w:val="0"/>
              <w:jc w:val="center"/>
              <w:rPr>
                <w:rFonts w:ascii="Times New Roman" w:hAnsi="Times New Roman"/>
                <w:color w:val="000000"/>
                <w:szCs w:val="21"/>
              </w:rPr>
            </w:pPr>
            <w:r>
              <w:rPr>
                <w:rFonts w:ascii="Times New Roman" w:hAnsi="Times New Roman"/>
                <w:color w:val="000000"/>
                <w:szCs w:val="21"/>
              </w:rPr>
              <w:t>甲醛释放量</w:t>
            </w:r>
          </w:p>
        </w:tc>
        <w:tc>
          <w:tcPr>
            <w:tcW w:w="2923" w:type="dxa"/>
            <w:vAlign w:val="center"/>
          </w:tcPr>
          <w:p>
            <w:pPr>
              <w:snapToGrid w:val="0"/>
              <w:jc w:val="center"/>
              <w:rPr>
                <w:rFonts w:ascii="Times New Roman" w:hAnsi="Times New Roman"/>
                <w:color w:val="000000"/>
                <w:szCs w:val="21"/>
              </w:rPr>
            </w:pPr>
            <w:r>
              <w:rPr>
                <w:rFonts w:ascii="Times New Roman" w:hAnsi="Times New Roman"/>
                <w:szCs w:val="21"/>
              </w:rPr>
              <w:t>GB 18584</w:t>
            </w:r>
            <w:r>
              <w:rPr>
                <w:rFonts w:hint="eastAsia"/>
                <w:color w:val="000000"/>
                <w:szCs w:val="21"/>
              </w:rPr>
              <w:t>—</w:t>
            </w:r>
            <w:r>
              <w:rPr>
                <w:rFonts w:ascii="Times New Roman" w:hAnsi="Times New Roman"/>
                <w:szCs w:val="21"/>
              </w:rPr>
              <w:t xml:space="preserve">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33</w:t>
            </w:r>
          </w:p>
        </w:tc>
        <w:tc>
          <w:tcPr>
            <w:tcW w:w="2625" w:type="dxa"/>
            <w:vMerge w:val="restart"/>
            <w:vAlign w:val="center"/>
          </w:tcPr>
          <w:p>
            <w:pPr>
              <w:snapToGrid w:val="0"/>
              <w:jc w:val="center"/>
              <w:rPr>
                <w:rFonts w:ascii="Times New Roman" w:hAnsi="Times New Roman"/>
                <w:color w:val="000000"/>
                <w:szCs w:val="21"/>
              </w:rPr>
            </w:pPr>
            <w:r>
              <w:rPr>
                <w:rFonts w:ascii="Times New Roman" w:hAnsi="Times New Roman"/>
                <w:color w:val="000000"/>
                <w:szCs w:val="21"/>
              </w:rPr>
              <w:t>重金属含量（限色漆）</w:t>
            </w:r>
          </w:p>
        </w:tc>
        <w:tc>
          <w:tcPr>
            <w:tcW w:w="2716" w:type="dxa"/>
            <w:gridSpan w:val="2"/>
            <w:vAlign w:val="center"/>
          </w:tcPr>
          <w:p>
            <w:pPr>
              <w:snapToGrid w:val="0"/>
              <w:jc w:val="center"/>
              <w:rPr>
                <w:rFonts w:ascii="Times New Roman" w:hAnsi="Times New Roman"/>
                <w:color w:val="000000"/>
                <w:szCs w:val="21"/>
              </w:rPr>
            </w:pPr>
            <w:r>
              <w:rPr>
                <w:rFonts w:ascii="Times New Roman" w:hAnsi="Times New Roman"/>
                <w:color w:val="000000"/>
                <w:szCs w:val="21"/>
              </w:rPr>
              <w:t>可溶性铅</w:t>
            </w:r>
          </w:p>
        </w:tc>
        <w:tc>
          <w:tcPr>
            <w:tcW w:w="2923" w:type="dxa"/>
            <w:vAlign w:val="center"/>
          </w:tcPr>
          <w:p>
            <w:pPr>
              <w:snapToGrid w:val="0"/>
              <w:jc w:val="center"/>
              <w:rPr>
                <w:rFonts w:ascii="Times New Roman" w:hAnsi="Times New Roman"/>
                <w:color w:val="000000"/>
                <w:szCs w:val="21"/>
              </w:rPr>
            </w:pPr>
            <w:r>
              <w:rPr>
                <w:rFonts w:ascii="Times New Roman" w:hAnsi="Times New Roman"/>
                <w:szCs w:val="21"/>
              </w:rPr>
              <w:t>GB 18584</w:t>
            </w:r>
            <w:r>
              <w:rPr>
                <w:rFonts w:hint="eastAsia"/>
                <w:color w:val="000000"/>
                <w:szCs w:val="21"/>
              </w:rPr>
              <w:t>—</w:t>
            </w:r>
            <w:r>
              <w:rPr>
                <w:rFonts w:ascii="Times New Roman" w:hAnsi="Times New Roman"/>
                <w:szCs w:val="21"/>
              </w:rPr>
              <w:t xml:space="preserve">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34</w:t>
            </w:r>
          </w:p>
        </w:tc>
        <w:tc>
          <w:tcPr>
            <w:tcW w:w="2625" w:type="dxa"/>
            <w:vMerge w:val="continue"/>
            <w:vAlign w:val="center"/>
          </w:tcPr>
          <w:p>
            <w:pPr>
              <w:snapToGrid w:val="0"/>
              <w:jc w:val="center"/>
              <w:rPr>
                <w:rFonts w:ascii="Times New Roman" w:hAnsi="Times New Roman"/>
                <w:color w:val="000000"/>
                <w:szCs w:val="21"/>
              </w:rPr>
            </w:pPr>
          </w:p>
        </w:tc>
        <w:tc>
          <w:tcPr>
            <w:tcW w:w="2716" w:type="dxa"/>
            <w:gridSpan w:val="2"/>
            <w:vAlign w:val="center"/>
          </w:tcPr>
          <w:p>
            <w:pPr>
              <w:snapToGrid w:val="0"/>
              <w:jc w:val="center"/>
              <w:rPr>
                <w:rFonts w:ascii="Times New Roman" w:hAnsi="Times New Roman"/>
                <w:color w:val="000000"/>
                <w:szCs w:val="21"/>
              </w:rPr>
            </w:pPr>
            <w:r>
              <w:rPr>
                <w:rFonts w:ascii="Times New Roman" w:hAnsi="Times New Roman"/>
                <w:color w:val="000000"/>
                <w:szCs w:val="21"/>
              </w:rPr>
              <w:t>可溶性镉</w:t>
            </w:r>
          </w:p>
        </w:tc>
        <w:tc>
          <w:tcPr>
            <w:tcW w:w="2923" w:type="dxa"/>
            <w:vAlign w:val="center"/>
          </w:tcPr>
          <w:p>
            <w:pPr>
              <w:snapToGrid w:val="0"/>
              <w:jc w:val="center"/>
              <w:rPr>
                <w:rFonts w:ascii="Times New Roman" w:hAnsi="Times New Roman"/>
                <w:color w:val="000000"/>
                <w:szCs w:val="21"/>
              </w:rPr>
            </w:pPr>
            <w:r>
              <w:rPr>
                <w:rFonts w:ascii="Times New Roman" w:hAnsi="Times New Roman"/>
                <w:szCs w:val="21"/>
              </w:rPr>
              <w:t>GB 18584</w:t>
            </w:r>
            <w:r>
              <w:rPr>
                <w:rFonts w:hint="eastAsia"/>
                <w:color w:val="000000"/>
                <w:szCs w:val="21"/>
              </w:rPr>
              <w:t>—</w:t>
            </w:r>
            <w:r>
              <w:rPr>
                <w:rFonts w:ascii="Times New Roman" w:hAnsi="Times New Roman"/>
                <w:szCs w:val="21"/>
              </w:rPr>
              <w:t xml:space="preserve">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35</w:t>
            </w:r>
          </w:p>
        </w:tc>
        <w:tc>
          <w:tcPr>
            <w:tcW w:w="2625" w:type="dxa"/>
            <w:vMerge w:val="continue"/>
            <w:vAlign w:val="center"/>
          </w:tcPr>
          <w:p>
            <w:pPr>
              <w:snapToGrid w:val="0"/>
              <w:jc w:val="center"/>
              <w:rPr>
                <w:rFonts w:ascii="Times New Roman" w:hAnsi="Times New Roman"/>
                <w:color w:val="000000"/>
                <w:szCs w:val="21"/>
              </w:rPr>
            </w:pPr>
          </w:p>
        </w:tc>
        <w:tc>
          <w:tcPr>
            <w:tcW w:w="2716" w:type="dxa"/>
            <w:gridSpan w:val="2"/>
            <w:vAlign w:val="center"/>
          </w:tcPr>
          <w:p>
            <w:pPr>
              <w:snapToGrid w:val="0"/>
              <w:jc w:val="center"/>
              <w:rPr>
                <w:rFonts w:ascii="Times New Roman" w:hAnsi="Times New Roman"/>
                <w:color w:val="000000"/>
                <w:szCs w:val="21"/>
              </w:rPr>
            </w:pPr>
            <w:r>
              <w:rPr>
                <w:rFonts w:ascii="Times New Roman" w:hAnsi="Times New Roman"/>
                <w:color w:val="000000"/>
                <w:szCs w:val="21"/>
              </w:rPr>
              <w:t>可溶性铬</w:t>
            </w:r>
          </w:p>
        </w:tc>
        <w:tc>
          <w:tcPr>
            <w:tcW w:w="2923" w:type="dxa"/>
            <w:vAlign w:val="center"/>
          </w:tcPr>
          <w:p>
            <w:pPr>
              <w:snapToGrid w:val="0"/>
              <w:jc w:val="center"/>
              <w:rPr>
                <w:rFonts w:ascii="Times New Roman" w:hAnsi="Times New Roman"/>
                <w:color w:val="000000"/>
                <w:szCs w:val="21"/>
              </w:rPr>
            </w:pPr>
            <w:r>
              <w:rPr>
                <w:rFonts w:ascii="Times New Roman" w:hAnsi="Times New Roman"/>
                <w:szCs w:val="21"/>
              </w:rPr>
              <w:t>GB 18584</w:t>
            </w:r>
            <w:r>
              <w:rPr>
                <w:rFonts w:hint="eastAsia"/>
                <w:color w:val="000000"/>
                <w:szCs w:val="21"/>
              </w:rPr>
              <w:t>—</w:t>
            </w:r>
            <w:r>
              <w:rPr>
                <w:rFonts w:ascii="Times New Roman" w:hAnsi="Times New Roman"/>
                <w:szCs w:val="21"/>
              </w:rPr>
              <w:t xml:space="preserve">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84" w:type="dxa"/>
            <w:vAlign w:val="center"/>
          </w:tcPr>
          <w:p>
            <w:pPr>
              <w:snapToGrid w:val="0"/>
              <w:jc w:val="center"/>
              <w:rPr>
                <w:rFonts w:ascii="Times New Roman" w:hAnsi="Times New Roman"/>
                <w:color w:val="000000"/>
                <w:szCs w:val="21"/>
              </w:rPr>
            </w:pPr>
            <w:r>
              <w:rPr>
                <w:rFonts w:ascii="Times New Roman" w:hAnsi="Times New Roman"/>
                <w:color w:val="000000"/>
                <w:szCs w:val="21"/>
              </w:rPr>
              <w:t>36</w:t>
            </w:r>
          </w:p>
        </w:tc>
        <w:tc>
          <w:tcPr>
            <w:tcW w:w="2625" w:type="dxa"/>
            <w:vMerge w:val="continue"/>
            <w:vAlign w:val="center"/>
          </w:tcPr>
          <w:p>
            <w:pPr>
              <w:snapToGrid w:val="0"/>
              <w:jc w:val="center"/>
              <w:rPr>
                <w:rFonts w:ascii="Times New Roman" w:hAnsi="Times New Roman"/>
                <w:color w:val="000000"/>
                <w:szCs w:val="21"/>
              </w:rPr>
            </w:pPr>
          </w:p>
        </w:tc>
        <w:tc>
          <w:tcPr>
            <w:tcW w:w="2716" w:type="dxa"/>
            <w:gridSpan w:val="2"/>
            <w:vAlign w:val="center"/>
          </w:tcPr>
          <w:p>
            <w:pPr>
              <w:snapToGrid w:val="0"/>
              <w:jc w:val="center"/>
              <w:rPr>
                <w:rFonts w:ascii="Times New Roman" w:hAnsi="Times New Roman"/>
                <w:color w:val="000000"/>
                <w:szCs w:val="21"/>
              </w:rPr>
            </w:pPr>
            <w:r>
              <w:rPr>
                <w:rFonts w:ascii="Times New Roman" w:hAnsi="Times New Roman"/>
                <w:color w:val="000000"/>
                <w:szCs w:val="21"/>
              </w:rPr>
              <w:t>可溶性汞</w:t>
            </w:r>
          </w:p>
        </w:tc>
        <w:tc>
          <w:tcPr>
            <w:tcW w:w="2923" w:type="dxa"/>
            <w:vAlign w:val="center"/>
          </w:tcPr>
          <w:p>
            <w:pPr>
              <w:snapToGrid w:val="0"/>
              <w:jc w:val="center"/>
              <w:rPr>
                <w:rFonts w:ascii="Times New Roman" w:hAnsi="Times New Roman"/>
                <w:color w:val="000000"/>
                <w:szCs w:val="21"/>
              </w:rPr>
            </w:pPr>
            <w:r>
              <w:rPr>
                <w:rFonts w:ascii="Times New Roman" w:hAnsi="Times New Roman"/>
                <w:szCs w:val="21"/>
              </w:rPr>
              <w:t>GB 18584</w:t>
            </w:r>
            <w:r>
              <w:rPr>
                <w:rFonts w:hint="eastAsia"/>
                <w:color w:val="000000"/>
                <w:szCs w:val="21"/>
              </w:rPr>
              <w:t>—</w:t>
            </w:r>
            <w:r>
              <w:rPr>
                <w:rFonts w:ascii="Times New Roman" w:hAnsi="Times New Roman"/>
                <w:szCs w:val="21"/>
              </w:rPr>
              <w:t xml:space="preserve">2001 </w:t>
            </w:r>
          </w:p>
        </w:tc>
      </w:tr>
    </w:tbl>
    <w:p>
      <w:pPr>
        <w:adjustRightInd w:val="0"/>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执行企业标准、团体标准、地方标准的产品，检验项目参照上述内容执行。</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凡是注日期的文件，其随后所有的修改单（不包括勘误的内容）或修订版不适用于本细则。凡是不注日期的文件，其最新版本适用于本细则。</w:t>
      </w:r>
    </w:p>
    <w:p>
      <w:pPr>
        <w:rPr>
          <w:rFonts w:ascii="Times New Roman" w:hAnsi="Times New Roman" w:eastAsia="仿宋"/>
          <w:b/>
          <w:bCs/>
        </w:rPr>
      </w:pPr>
    </w:p>
    <w:p>
      <w:pPr>
        <w:spacing w:line="360" w:lineRule="auto"/>
        <w:rPr>
          <w:rFonts w:ascii="Times New Roman" w:hAnsi="Times New Roman" w:eastAsia="黑体"/>
          <w:color w:val="000000"/>
          <w:szCs w:val="21"/>
        </w:rPr>
      </w:pPr>
      <w:r>
        <w:rPr>
          <w:rFonts w:ascii="黑体" w:hAnsi="黑体" w:eastAsia="黑体"/>
          <w:color w:val="000000"/>
          <w:szCs w:val="21"/>
        </w:rPr>
        <w:t xml:space="preserve">3 </w:t>
      </w:r>
      <w:r>
        <w:rPr>
          <w:rFonts w:ascii="Times New Roman" w:hAnsi="Times New Roman" w:eastAsia="黑体"/>
          <w:color w:val="000000"/>
          <w:szCs w:val="21"/>
        </w:rPr>
        <w:t>判定规则</w:t>
      </w:r>
    </w:p>
    <w:p>
      <w:pPr>
        <w:snapToGrid w:val="0"/>
        <w:spacing w:line="360" w:lineRule="auto"/>
        <w:rPr>
          <w:rFonts w:ascii="Times New Roman" w:hAnsi="Times New Roman"/>
          <w:color w:val="000000"/>
          <w:szCs w:val="21"/>
        </w:rPr>
      </w:pPr>
      <w:r>
        <w:rPr>
          <w:rFonts w:ascii="Times New Roman" w:hAnsi="Times New Roman"/>
          <w:color w:val="000000"/>
          <w:szCs w:val="21"/>
        </w:rPr>
        <w:t>3.1依据标准</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GB/T 3324</w:t>
      </w:r>
      <w:r>
        <w:rPr>
          <w:rFonts w:hint="eastAsia"/>
          <w:color w:val="000000"/>
          <w:szCs w:val="21"/>
        </w:rPr>
        <w:t>—</w:t>
      </w:r>
      <w:r>
        <w:rPr>
          <w:rFonts w:ascii="Times New Roman" w:hAnsi="Times New Roman"/>
          <w:color w:val="000000"/>
          <w:szCs w:val="21"/>
        </w:rPr>
        <w:t>2017 木家具通用技术条件</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GB 18584</w:t>
      </w:r>
      <w:r>
        <w:rPr>
          <w:rFonts w:hint="eastAsia"/>
          <w:color w:val="000000"/>
          <w:szCs w:val="21"/>
        </w:rPr>
        <w:t>—</w:t>
      </w:r>
      <w:bookmarkStart w:id="0" w:name="_GoBack"/>
      <w:bookmarkEnd w:id="0"/>
      <w:r>
        <w:rPr>
          <w:rFonts w:ascii="Times New Roman" w:hAnsi="Times New Roman"/>
          <w:color w:val="000000"/>
          <w:szCs w:val="21"/>
        </w:rPr>
        <w:t>2001 室内装饰装修材料 木家具中有害物质限量</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现行有效的企业标准、团体标准、地方标准及产品明示质量要求</w:t>
      </w:r>
    </w:p>
    <w:p>
      <w:pPr>
        <w:snapToGrid w:val="0"/>
        <w:spacing w:line="360" w:lineRule="auto"/>
        <w:rPr>
          <w:rFonts w:ascii="Times New Roman" w:hAnsi="Times New Roman"/>
          <w:color w:val="000000"/>
          <w:szCs w:val="21"/>
        </w:rPr>
      </w:pPr>
      <w:r>
        <w:rPr>
          <w:rFonts w:ascii="Times New Roman" w:hAnsi="Times New Roman"/>
          <w:color w:val="000000"/>
          <w:szCs w:val="21"/>
        </w:rPr>
        <w:t>3.2判定原则</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经检验，检验项目全部合格，判定为被抽查产品所检项目未发现不合格；检验项目中任一项或一项以上不合格，判定为被抽查产品不合格。</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若被检产品明示的质量要求高于本细则中检验项目依据的标准要求时，应按被检产品明示的质量要求判定。</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若被检产品明示的质量要求低于本细则中检验项目依据的强制性标准要求时，应按照强制性标准要求判定。</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若被检产品明示的质量要求低于或包含本细则中检验项目依据的推荐性标准要求时，应以被检产品明示的质量要求判定。</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若被检产品明示的质量要求缺少本细则中检验项目依据的强制性标准要求时，应按照强制性标准要求判定。</w:t>
      </w:r>
    </w:p>
    <w:p>
      <w:pPr>
        <w:snapToGrid w:val="0"/>
        <w:spacing w:line="384" w:lineRule="auto"/>
        <w:ind w:firstLine="420" w:firstLineChars="200"/>
        <w:rPr>
          <w:rFonts w:ascii="Times New Roman" w:hAnsi="Times New Roman"/>
          <w:color w:val="000000"/>
          <w:szCs w:val="21"/>
        </w:rPr>
      </w:pPr>
      <w:r>
        <w:rPr>
          <w:rFonts w:ascii="Times New Roman" w:hAnsi="Times New Roman"/>
          <w:color w:val="000000"/>
          <w:szCs w:val="21"/>
        </w:rPr>
        <w:t>若被检产品明示的质量要求缺少本细则中检验项目依据的推荐性标准要求时，该项目不参与判定。</w:t>
      </w:r>
    </w:p>
    <w:p>
      <w:pPr>
        <w:snapToGrid w:val="0"/>
        <w:spacing w:line="384" w:lineRule="auto"/>
        <w:ind w:firstLine="420" w:firstLineChars="200"/>
        <w:rPr>
          <w:rFonts w:ascii="Times New Roman" w:hAnsi="Times New Roman"/>
          <w:color w:val="000000"/>
          <w:szCs w:val="21"/>
        </w:rPr>
      </w:pPr>
    </w:p>
    <w:p>
      <w:pPr>
        <w:spacing w:line="440" w:lineRule="exact"/>
        <w:rPr>
          <w:rFonts w:ascii="Times New Roman" w:hAnsi="Times New Roman" w:eastAsia="黑体"/>
          <w:color w:val="000000"/>
          <w:szCs w:val="21"/>
        </w:rPr>
      </w:pPr>
      <w:r>
        <w:rPr>
          <w:rFonts w:ascii="黑体" w:hAnsi="黑体" w:eastAsia="黑体"/>
          <w:color w:val="000000"/>
          <w:szCs w:val="21"/>
        </w:rPr>
        <w:t>4</w:t>
      </w:r>
      <w:r>
        <w:rPr>
          <w:rFonts w:ascii="Times New Roman" w:hAnsi="Times New Roman" w:eastAsia="黑体"/>
          <w:color w:val="000000"/>
          <w:szCs w:val="21"/>
        </w:rPr>
        <w:t xml:space="preserve"> 附则</w:t>
      </w:r>
    </w:p>
    <w:p>
      <w:pPr>
        <w:spacing w:line="440" w:lineRule="exact"/>
        <w:ind w:firstLine="420" w:firstLineChars="200"/>
        <w:rPr>
          <w:rFonts w:ascii="Times New Roman" w:hAnsi="Times New Roman"/>
          <w:color w:val="FF0000"/>
          <w:szCs w:val="21"/>
        </w:rPr>
      </w:pPr>
      <w:r>
        <w:rPr>
          <w:rFonts w:ascii="Times New Roman" w:hAnsi="Times New Roman"/>
          <w:color w:val="000000"/>
          <w:szCs w:val="21"/>
        </w:rPr>
        <w:t>本细则代替《市场监管总局关于发布131种产品质量国家监督抽查实施细则的公告》（2020年第36号）中的《木制家具产品质量国家监督抽查实施细则》。</w:t>
      </w:r>
    </w:p>
    <w:p>
      <w:pPr>
        <w:snapToGrid w:val="0"/>
        <w:spacing w:line="384" w:lineRule="auto"/>
        <w:ind w:firstLine="420" w:firstLineChars="200"/>
        <w:rPr>
          <w:rFonts w:ascii="Times New Roman" w:hAnsi="Times New Roman"/>
          <w:color w:val="000000"/>
          <w:szCs w:val="21"/>
        </w:rPr>
      </w:pPr>
    </w:p>
    <w:sectPr>
      <w:footerReference r:id="rId3" w:type="default"/>
      <w:pgSz w:w="11906" w:h="16838"/>
      <w:pgMar w:top="1984" w:right="1474" w:bottom="1644" w:left="1474"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Text Box 1025" o:spid="_x0000_s4097" o:spt="202" type="#_x0000_t202" style="position:absolute;left:0pt;margin-top:0pt;height:10.35pt;width:4.5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v:path/>
          <v:fill on="f" focussize="0,0"/>
          <v:stroke on="f" joinstyle="miter"/>
          <v:imagedata o:title=""/>
          <o:lock v:ext="edit"/>
          <v:textbox inset="0mm,0mm,0mm,0mm" style="mso-fit-shape-to-text:t;">
            <w:txbxContent>
              <w:p>
                <w:pPr>
                  <w:pStyle w:val="8"/>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611BA"/>
    <w:rsid w:val="00014997"/>
    <w:rsid w:val="00030852"/>
    <w:rsid w:val="00052D0A"/>
    <w:rsid w:val="00053DF0"/>
    <w:rsid w:val="000660D8"/>
    <w:rsid w:val="0006741A"/>
    <w:rsid w:val="00076FDF"/>
    <w:rsid w:val="00080190"/>
    <w:rsid w:val="000A0C0F"/>
    <w:rsid w:val="000A1F68"/>
    <w:rsid w:val="000B2754"/>
    <w:rsid w:val="000E51B5"/>
    <w:rsid w:val="000E5A92"/>
    <w:rsid w:val="000E6B70"/>
    <w:rsid w:val="000F3EFF"/>
    <w:rsid w:val="0010045C"/>
    <w:rsid w:val="001134E2"/>
    <w:rsid w:val="00130C21"/>
    <w:rsid w:val="0013450E"/>
    <w:rsid w:val="00135D58"/>
    <w:rsid w:val="001479E1"/>
    <w:rsid w:val="00160B75"/>
    <w:rsid w:val="00175325"/>
    <w:rsid w:val="001960E8"/>
    <w:rsid w:val="00197FAE"/>
    <w:rsid w:val="001B1ECE"/>
    <w:rsid w:val="001B3557"/>
    <w:rsid w:val="001C3163"/>
    <w:rsid w:val="001D3021"/>
    <w:rsid w:val="001E7E75"/>
    <w:rsid w:val="001F29C8"/>
    <w:rsid w:val="001F4D89"/>
    <w:rsid w:val="0021010D"/>
    <w:rsid w:val="002543F2"/>
    <w:rsid w:val="002642D1"/>
    <w:rsid w:val="00267BE7"/>
    <w:rsid w:val="00283526"/>
    <w:rsid w:val="00287CFB"/>
    <w:rsid w:val="002A1067"/>
    <w:rsid w:val="002A3CF4"/>
    <w:rsid w:val="002C75FA"/>
    <w:rsid w:val="002F3260"/>
    <w:rsid w:val="00300201"/>
    <w:rsid w:val="00301FD0"/>
    <w:rsid w:val="003139FD"/>
    <w:rsid w:val="00342341"/>
    <w:rsid w:val="00354255"/>
    <w:rsid w:val="00355360"/>
    <w:rsid w:val="00360312"/>
    <w:rsid w:val="003611BA"/>
    <w:rsid w:val="003701D3"/>
    <w:rsid w:val="00394768"/>
    <w:rsid w:val="003A4091"/>
    <w:rsid w:val="003C4925"/>
    <w:rsid w:val="003E4BDB"/>
    <w:rsid w:val="003E72E4"/>
    <w:rsid w:val="00402234"/>
    <w:rsid w:val="004123BE"/>
    <w:rsid w:val="004249BF"/>
    <w:rsid w:val="004565AD"/>
    <w:rsid w:val="004601B9"/>
    <w:rsid w:val="00473C98"/>
    <w:rsid w:val="004A34C8"/>
    <w:rsid w:val="004A4DFC"/>
    <w:rsid w:val="004B599D"/>
    <w:rsid w:val="004C6EAB"/>
    <w:rsid w:val="004C79DF"/>
    <w:rsid w:val="004D05AF"/>
    <w:rsid w:val="004E21AE"/>
    <w:rsid w:val="004E3189"/>
    <w:rsid w:val="004E43E4"/>
    <w:rsid w:val="004E741E"/>
    <w:rsid w:val="00507AE0"/>
    <w:rsid w:val="0051512A"/>
    <w:rsid w:val="005167DB"/>
    <w:rsid w:val="00526A3A"/>
    <w:rsid w:val="0054203D"/>
    <w:rsid w:val="00560FE5"/>
    <w:rsid w:val="00577F36"/>
    <w:rsid w:val="0058127B"/>
    <w:rsid w:val="00624DD6"/>
    <w:rsid w:val="006350F9"/>
    <w:rsid w:val="0064014B"/>
    <w:rsid w:val="00652075"/>
    <w:rsid w:val="00652B40"/>
    <w:rsid w:val="0065576E"/>
    <w:rsid w:val="00660FFF"/>
    <w:rsid w:val="00670265"/>
    <w:rsid w:val="0067449B"/>
    <w:rsid w:val="00675807"/>
    <w:rsid w:val="006904C0"/>
    <w:rsid w:val="006938F7"/>
    <w:rsid w:val="006B26CB"/>
    <w:rsid w:val="006C75F5"/>
    <w:rsid w:val="006D2C66"/>
    <w:rsid w:val="006F3686"/>
    <w:rsid w:val="006F6818"/>
    <w:rsid w:val="00700705"/>
    <w:rsid w:val="007032EA"/>
    <w:rsid w:val="00712FE6"/>
    <w:rsid w:val="00721DBD"/>
    <w:rsid w:val="007346B4"/>
    <w:rsid w:val="007408AB"/>
    <w:rsid w:val="0076570D"/>
    <w:rsid w:val="00766407"/>
    <w:rsid w:val="00791F72"/>
    <w:rsid w:val="007B5143"/>
    <w:rsid w:val="007C5B37"/>
    <w:rsid w:val="007D668A"/>
    <w:rsid w:val="007E7B78"/>
    <w:rsid w:val="00801099"/>
    <w:rsid w:val="0081765C"/>
    <w:rsid w:val="00836457"/>
    <w:rsid w:val="00842CE3"/>
    <w:rsid w:val="008536DB"/>
    <w:rsid w:val="00863267"/>
    <w:rsid w:val="00863F48"/>
    <w:rsid w:val="00872CC4"/>
    <w:rsid w:val="008737DB"/>
    <w:rsid w:val="00877F66"/>
    <w:rsid w:val="008B4A07"/>
    <w:rsid w:val="008C2A7E"/>
    <w:rsid w:val="008D5AB0"/>
    <w:rsid w:val="008E4C32"/>
    <w:rsid w:val="008F131B"/>
    <w:rsid w:val="00910C47"/>
    <w:rsid w:val="00911043"/>
    <w:rsid w:val="00924FE0"/>
    <w:rsid w:val="00933214"/>
    <w:rsid w:val="00963128"/>
    <w:rsid w:val="009740D6"/>
    <w:rsid w:val="009761A4"/>
    <w:rsid w:val="009A6925"/>
    <w:rsid w:val="009B06A4"/>
    <w:rsid w:val="009B3AF3"/>
    <w:rsid w:val="009B48C4"/>
    <w:rsid w:val="009C1C38"/>
    <w:rsid w:val="009D2CD9"/>
    <w:rsid w:val="009D2E2A"/>
    <w:rsid w:val="009E6086"/>
    <w:rsid w:val="009F189F"/>
    <w:rsid w:val="00A055B0"/>
    <w:rsid w:val="00A0674B"/>
    <w:rsid w:val="00A16228"/>
    <w:rsid w:val="00A4091B"/>
    <w:rsid w:val="00A45E64"/>
    <w:rsid w:val="00A5157E"/>
    <w:rsid w:val="00A66A3D"/>
    <w:rsid w:val="00A7543F"/>
    <w:rsid w:val="00A77E8A"/>
    <w:rsid w:val="00A916BA"/>
    <w:rsid w:val="00A93A2D"/>
    <w:rsid w:val="00AA0D8B"/>
    <w:rsid w:val="00AB2350"/>
    <w:rsid w:val="00AB462B"/>
    <w:rsid w:val="00AC4F00"/>
    <w:rsid w:val="00AD0E3E"/>
    <w:rsid w:val="00AD610D"/>
    <w:rsid w:val="00AE1821"/>
    <w:rsid w:val="00AE471A"/>
    <w:rsid w:val="00AE5734"/>
    <w:rsid w:val="00AF5572"/>
    <w:rsid w:val="00B008B5"/>
    <w:rsid w:val="00B100BF"/>
    <w:rsid w:val="00B20E9E"/>
    <w:rsid w:val="00B476F3"/>
    <w:rsid w:val="00B51584"/>
    <w:rsid w:val="00B54E2B"/>
    <w:rsid w:val="00B55224"/>
    <w:rsid w:val="00B61E83"/>
    <w:rsid w:val="00B80476"/>
    <w:rsid w:val="00B95B33"/>
    <w:rsid w:val="00B97F97"/>
    <w:rsid w:val="00BC036B"/>
    <w:rsid w:val="00BD109E"/>
    <w:rsid w:val="00BD2490"/>
    <w:rsid w:val="00BD3023"/>
    <w:rsid w:val="00C04FF3"/>
    <w:rsid w:val="00C06EF5"/>
    <w:rsid w:val="00C075F6"/>
    <w:rsid w:val="00C174BC"/>
    <w:rsid w:val="00C17712"/>
    <w:rsid w:val="00C17F20"/>
    <w:rsid w:val="00C207B1"/>
    <w:rsid w:val="00C21785"/>
    <w:rsid w:val="00C21C4E"/>
    <w:rsid w:val="00C345BB"/>
    <w:rsid w:val="00C46A22"/>
    <w:rsid w:val="00C5322B"/>
    <w:rsid w:val="00C57739"/>
    <w:rsid w:val="00C636A3"/>
    <w:rsid w:val="00C637C7"/>
    <w:rsid w:val="00C71A81"/>
    <w:rsid w:val="00C9467F"/>
    <w:rsid w:val="00CA58E7"/>
    <w:rsid w:val="00CB14A9"/>
    <w:rsid w:val="00CB5484"/>
    <w:rsid w:val="00CD3877"/>
    <w:rsid w:val="00CF5F1B"/>
    <w:rsid w:val="00D1325F"/>
    <w:rsid w:val="00D15332"/>
    <w:rsid w:val="00D26154"/>
    <w:rsid w:val="00D31DB4"/>
    <w:rsid w:val="00D6657B"/>
    <w:rsid w:val="00D71E2A"/>
    <w:rsid w:val="00D727ED"/>
    <w:rsid w:val="00D732ED"/>
    <w:rsid w:val="00D85C2A"/>
    <w:rsid w:val="00D879A0"/>
    <w:rsid w:val="00D92B01"/>
    <w:rsid w:val="00D9506C"/>
    <w:rsid w:val="00D969BA"/>
    <w:rsid w:val="00DA66B2"/>
    <w:rsid w:val="00DB24B2"/>
    <w:rsid w:val="00DC0140"/>
    <w:rsid w:val="00DD42B6"/>
    <w:rsid w:val="00DD7E3B"/>
    <w:rsid w:val="00DE5404"/>
    <w:rsid w:val="00DE7240"/>
    <w:rsid w:val="00E1489E"/>
    <w:rsid w:val="00E155ED"/>
    <w:rsid w:val="00E24FC8"/>
    <w:rsid w:val="00E55DC8"/>
    <w:rsid w:val="00E5609E"/>
    <w:rsid w:val="00E735BE"/>
    <w:rsid w:val="00E758B0"/>
    <w:rsid w:val="00E96130"/>
    <w:rsid w:val="00ED2869"/>
    <w:rsid w:val="00EF0AC2"/>
    <w:rsid w:val="00EF2B9F"/>
    <w:rsid w:val="00F20A2A"/>
    <w:rsid w:val="00F97EA2"/>
    <w:rsid w:val="00FA2884"/>
    <w:rsid w:val="00FA45C8"/>
    <w:rsid w:val="00FA59DC"/>
    <w:rsid w:val="00FC0C80"/>
    <w:rsid w:val="00FC1893"/>
    <w:rsid w:val="00FE1549"/>
    <w:rsid w:val="00FF75D5"/>
    <w:rsid w:val="01757279"/>
    <w:rsid w:val="02394E6E"/>
    <w:rsid w:val="071C39DD"/>
    <w:rsid w:val="0BAC4466"/>
    <w:rsid w:val="0C3020D5"/>
    <w:rsid w:val="0DF707EE"/>
    <w:rsid w:val="14707C4A"/>
    <w:rsid w:val="14A748C1"/>
    <w:rsid w:val="1B2A47F6"/>
    <w:rsid w:val="1C5A40F3"/>
    <w:rsid w:val="21A6643E"/>
    <w:rsid w:val="2230378B"/>
    <w:rsid w:val="29817179"/>
    <w:rsid w:val="2C062286"/>
    <w:rsid w:val="3AEB18C6"/>
    <w:rsid w:val="3BD8119D"/>
    <w:rsid w:val="3C005133"/>
    <w:rsid w:val="3CFC19D8"/>
    <w:rsid w:val="4A1D0919"/>
    <w:rsid w:val="4FC039DD"/>
    <w:rsid w:val="50401092"/>
    <w:rsid w:val="55CC633D"/>
    <w:rsid w:val="5DF51C50"/>
    <w:rsid w:val="60D566FD"/>
    <w:rsid w:val="61D054C2"/>
    <w:rsid w:val="61F5033B"/>
    <w:rsid w:val="633F1A4A"/>
    <w:rsid w:val="652F585C"/>
    <w:rsid w:val="723415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5"/>
    <w:semiHidden/>
    <w:unhideWhenUsed/>
    <w:qFormat/>
    <w:uiPriority w:val="99"/>
    <w:rPr>
      <w:b/>
      <w:bCs/>
    </w:rPr>
  </w:style>
  <w:style w:type="paragraph" w:styleId="4">
    <w:name w:val="annotation text"/>
    <w:basedOn w:val="1"/>
    <w:link w:val="34"/>
    <w:semiHidden/>
    <w:unhideWhenUsed/>
    <w:qFormat/>
    <w:uiPriority w:val="99"/>
    <w:pPr>
      <w:jc w:val="left"/>
    </w:pPr>
  </w:style>
  <w:style w:type="paragraph" w:styleId="5">
    <w:name w:val="Body Text Indent"/>
    <w:basedOn w:val="1"/>
    <w:link w:val="17"/>
    <w:qFormat/>
    <w:uiPriority w:val="0"/>
    <w:pPr>
      <w:ind w:firstLine="600" w:firstLineChars="200"/>
    </w:pPr>
    <w:rPr>
      <w:rFonts w:ascii="Times New Roman" w:hAnsi="Times New Roman" w:eastAsia="仿宋_GB2312"/>
      <w:sz w:val="30"/>
      <w:szCs w:val="24"/>
    </w:rPr>
  </w:style>
  <w:style w:type="paragraph" w:styleId="6">
    <w:name w:val="Plain Text"/>
    <w:basedOn w:val="1"/>
    <w:link w:val="18"/>
    <w:unhideWhenUsed/>
    <w:qFormat/>
    <w:uiPriority w:val="99"/>
    <w:rPr>
      <w:rFonts w:ascii="宋体" w:hAnsi="Courier New"/>
      <w:kern w:val="0"/>
      <w:sz w:val="20"/>
      <w:szCs w:val="20"/>
    </w:rPr>
  </w:style>
  <w:style w:type="paragraph" w:styleId="7">
    <w:name w:val="Balloon Text"/>
    <w:basedOn w:val="1"/>
    <w:link w:val="19"/>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2"/>
    <w:qFormat/>
    <w:uiPriority w:val="0"/>
    <w:pPr>
      <w:widowControl/>
      <w:autoSpaceDE w:val="0"/>
      <w:autoSpaceDN w:val="0"/>
      <w:adjustRightInd w:val="0"/>
      <w:snapToGrid w:val="0"/>
      <w:spacing w:line="600" w:lineRule="exact"/>
      <w:ind w:left="646" w:leftChars="323" w:firstLine="643" w:firstLineChars="201"/>
    </w:pPr>
    <w:rPr>
      <w:rFonts w:ascii="仿宋_GB2312" w:hAnsi="Times New Roman" w:eastAsia="仿宋_GB2312"/>
      <w:kern w:val="0"/>
      <w:sz w:val="32"/>
      <w:szCs w:val="20"/>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1 字符"/>
    <w:basedOn w:val="11"/>
    <w:link w:val="2"/>
    <w:qFormat/>
    <w:uiPriority w:val="9"/>
    <w:rPr>
      <w:rFonts w:ascii="Calibri" w:hAnsi="Calibri" w:eastAsia="宋体" w:cs="Times New Roman"/>
      <w:b/>
      <w:bCs/>
      <w:kern w:val="44"/>
      <w:sz w:val="44"/>
      <w:szCs w:val="44"/>
    </w:rPr>
  </w:style>
  <w:style w:type="character" w:customStyle="1" w:styleId="17">
    <w:name w:val="正文文本缩进 字符"/>
    <w:basedOn w:val="11"/>
    <w:link w:val="5"/>
    <w:qFormat/>
    <w:uiPriority w:val="0"/>
    <w:rPr>
      <w:rFonts w:ascii="Times New Roman" w:hAnsi="Times New Roman" w:eastAsia="仿宋_GB2312" w:cs="Times New Roman"/>
      <w:sz w:val="30"/>
      <w:szCs w:val="24"/>
    </w:rPr>
  </w:style>
  <w:style w:type="character" w:customStyle="1" w:styleId="18">
    <w:name w:val="纯文本 字符"/>
    <w:basedOn w:val="11"/>
    <w:link w:val="6"/>
    <w:qFormat/>
    <w:uiPriority w:val="99"/>
    <w:rPr>
      <w:rFonts w:ascii="宋体" w:hAnsi="Courier New" w:eastAsia="宋体" w:cs="Times New Roman"/>
      <w:kern w:val="0"/>
      <w:sz w:val="20"/>
      <w:szCs w:val="20"/>
    </w:rPr>
  </w:style>
  <w:style w:type="character" w:customStyle="1" w:styleId="19">
    <w:name w:val="批注框文本 字符"/>
    <w:basedOn w:val="11"/>
    <w:link w:val="7"/>
    <w:qFormat/>
    <w:uiPriority w:val="99"/>
    <w:rPr>
      <w:rFonts w:ascii="Calibri" w:hAnsi="Calibri" w:eastAsia="宋体" w:cs="Times New Roman"/>
      <w:sz w:val="18"/>
      <w:szCs w:val="18"/>
    </w:rPr>
  </w:style>
  <w:style w:type="character" w:customStyle="1" w:styleId="20">
    <w:name w:val="页脚 字符"/>
    <w:basedOn w:val="11"/>
    <w:link w:val="8"/>
    <w:qFormat/>
    <w:uiPriority w:val="99"/>
    <w:rPr>
      <w:rFonts w:ascii="Calibri" w:hAnsi="Calibri" w:eastAsia="宋体" w:cs="Times New Roman"/>
      <w:sz w:val="18"/>
      <w:szCs w:val="18"/>
    </w:rPr>
  </w:style>
  <w:style w:type="character" w:customStyle="1" w:styleId="21">
    <w:name w:val="页眉 字符1"/>
    <w:basedOn w:val="11"/>
    <w:link w:val="9"/>
    <w:qFormat/>
    <w:uiPriority w:val="0"/>
    <w:rPr>
      <w:rFonts w:ascii="Calibri" w:hAnsi="Calibri" w:eastAsia="宋体" w:cs="Times New Roman"/>
      <w:sz w:val="18"/>
      <w:szCs w:val="18"/>
    </w:rPr>
  </w:style>
  <w:style w:type="character" w:customStyle="1" w:styleId="22">
    <w:name w:val="正文文本缩进 3 字符"/>
    <w:basedOn w:val="11"/>
    <w:link w:val="10"/>
    <w:qFormat/>
    <w:uiPriority w:val="0"/>
    <w:rPr>
      <w:rFonts w:ascii="仿宋_GB2312" w:hAnsi="Times New Roman" w:eastAsia="仿宋_GB2312" w:cs="Times New Roman"/>
      <w:kern w:val="0"/>
      <w:sz w:val="32"/>
      <w:szCs w:val="20"/>
    </w:rPr>
  </w:style>
  <w:style w:type="character" w:customStyle="1" w:styleId="23">
    <w:name w:val="页眉 字符"/>
    <w:qFormat/>
    <w:uiPriority w:val="0"/>
    <w:rPr>
      <w:kern w:val="2"/>
      <w:sz w:val="18"/>
      <w:szCs w:val="18"/>
    </w:rPr>
  </w:style>
  <w:style w:type="paragraph" w:customStyle="1" w:styleId="24">
    <w:name w:val="Char11"/>
    <w:basedOn w:val="1"/>
    <w:qFormat/>
    <w:uiPriority w:val="0"/>
    <w:pPr>
      <w:jc w:val="center"/>
    </w:pPr>
    <w:rPr>
      <w:rFonts w:ascii="Times New Roman" w:hAnsi="Times New Roman"/>
      <w:szCs w:val="21"/>
    </w:rPr>
  </w:style>
  <w:style w:type="paragraph" w:customStyle="1" w:styleId="25">
    <w:name w:val="Char Char"/>
    <w:basedOn w:val="1"/>
    <w:semiHidden/>
    <w:qFormat/>
    <w:uiPriority w:val="0"/>
    <w:rPr>
      <w:rFonts w:ascii="Times New Roman" w:hAnsi="Times New Roman"/>
      <w:szCs w:val="20"/>
    </w:rPr>
  </w:style>
  <w:style w:type="paragraph" w:customStyle="1" w:styleId="26">
    <w:name w:val="列出段落1"/>
    <w:basedOn w:val="1"/>
    <w:qFormat/>
    <w:uiPriority w:val="34"/>
    <w:pPr>
      <w:ind w:firstLine="420" w:firstLineChars="200"/>
    </w:pPr>
  </w:style>
  <w:style w:type="paragraph" w:customStyle="1" w:styleId="27">
    <w:name w:val="列出段落2"/>
    <w:basedOn w:val="1"/>
    <w:qFormat/>
    <w:uiPriority w:val="99"/>
    <w:pPr>
      <w:ind w:firstLine="420" w:firstLineChars="200"/>
    </w:pPr>
  </w:style>
  <w:style w:type="paragraph" w:customStyle="1" w:styleId="2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9">
    <w:name w:val="正文1"/>
    <w:basedOn w:val="1"/>
    <w:qFormat/>
    <w:uiPriority w:val="0"/>
    <w:pPr>
      <w:adjustRightInd w:val="0"/>
      <w:spacing w:before="120" w:after="120" w:line="300" w:lineRule="auto"/>
      <w:jc w:val="center"/>
      <w:textAlignment w:val="baseline"/>
    </w:pPr>
    <w:rPr>
      <w:rFonts w:ascii="Times New Roman" w:hAnsi="Times New Roman"/>
      <w:szCs w:val="20"/>
    </w:rPr>
  </w:style>
  <w:style w:type="paragraph" w:customStyle="1" w:styleId="30">
    <w:name w:val="段"/>
    <w:link w:val="3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31">
    <w:name w:val="List Paragraph"/>
    <w:basedOn w:val="1"/>
    <w:qFormat/>
    <w:uiPriority w:val="34"/>
    <w:pPr>
      <w:ind w:firstLine="420" w:firstLineChars="200"/>
    </w:pPr>
  </w:style>
  <w:style w:type="character" w:customStyle="1" w:styleId="32">
    <w:name w:val="段 Char"/>
    <w:link w:val="30"/>
    <w:qFormat/>
    <w:uiPriority w:val="0"/>
    <w:rPr>
      <w:rFonts w:ascii="宋体" w:hAnsi="Times New Roman" w:eastAsia="宋体" w:cs="Times New Roman"/>
      <w:kern w:val="0"/>
      <w:szCs w:val="20"/>
    </w:rPr>
  </w:style>
  <w:style w:type="character" w:customStyle="1" w:styleId="33">
    <w:name w:val="ask-title"/>
    <w:basedOn w:val="11"/>
    <w:qFormat/>
    <w:uiPriority w:val="0"/>
  </w:style>
  <w:style w:type="character" w:customStyle="1" w:styleId="34">
    <w:name w:val="批注文字 字符"/>
    <w:basedOn w:val="11"/>
    <w:link w:val="4"/>
    <w:semiHidden/>
    <w:qFormat/>
    <w:uiPriority w:val="99"/>
    <w:rPr>
      <w:rFonts w:ascii="Calibri" w:hAnsi="Calibri"/>
      <w:kern w:val="2"/>
      <w:sz w:val="21"/>
      <w:szCs w:val="22"/>
    </w:rPr>
  </w:style>
  <w:style w:type="character" w:customStyle="1" w:styleId="35">
    <w:name w:val="批注主题 字符"/>
    <w:basedOn w:val="34"/>
    <w:link w:val="3"/>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C651D-3F66-4AE8-85CE-68602646326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374</Words>
  <Characters>2138</Characters>
  <Lines>17</Lines>
  <Paragraphs>5</Paragraphs>
  <TotalTime>0</TotalTime>
  <ScaleCrop>false</ScaleCrop>
  <LinksUpToDate>false</LinksUpToDate>
  <CharactersWithSpaces>2507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2022-04-29T04:00:00Z</dcterms:created>
  <dc:creator>lenovo</dc:creator>
  <cp:lastModifiedBy>杨青</cp:lastModifiedBy>
  <dcterms:modified xsi:type="dcterms:W3CDTF">2022-06-10T09:12:07Z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