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ED4C" w14:textId="77777777" w:rsidR="00F2307D" w:rsidRDefault="00E755C7">
      <w:pPr>
        <w:spacing w:line="440" w:lineRule="exact"/>
        <w:jc w:val="center"/>
        <w:rPr>
          <w:rFonts w:ascii="Times New Roman" w:eastAsia="方正小标宋简体" w:hAnsi="Times New Roman"/>
          <w:color w:val="000000"/>
          <w:sz w:val="32"/>
          <w:szCs w:val="32"/>
        </w:rPr>
      </w:pPr>
      <w:r>
        <w:rPr>
          <w:rFonts w:ascii="Times New Roman" w:eastAsia="方正小标宋简体" w:hAnsi="Times New Roman" w:hint="eastAsia"/>
          <w:color w:val="000000"/>
          <w:sz w:val="32"/>
          <w:szCs w:val="32"/>
        </w:rPr>
        <w:t>塑料</w:t>
      </w:r>
      <w:r>
        <w:rPr>
          <w:rFonts w:ascii="Times New Roman" w:eastAsia="方正小标宋简体" w:hAnsi="Times New Roman"/>
          <w:color w:val="000000"/>
          <w:sz w:val="32"/>
          <w:szCs w:val="32"/>
        </w:rPr>
        <w:t>家具</w:t>
      </w:r>
      <w:r>
        <w:rPr>
          <w:rFonts w:ascii="Times New Roman" w:eastAsia="方正小标宋简体" w:hAnsi="Times New Roman" w:hint="eastAsia"/>
          <w:color w:val="000000"/>
          <w:sz w:val="32"/>
          <w:szCs w:val="32"/>
        </w:rPr>
        <w:t>产品质量国家监督抽查实施细则</w:t>
      </w:r>
    </w:p>
    <w:p w14:paraId="28375B06" w14:textId="77777777" w:rsidR="00F2307D" w:rsidRDefault="00E755C7">
      <w:pPr>
        <w:spacing w:line="440" w:lineRule="exact"/>
        <w:jc w:val="center"/>
        <w:rPr>
          <w:rFonts w:ascii="Times New Roman" w:eastAsia="方正小标宋简体" w:hAnsi="Times New Roman"/>
          <w:color w:val="000000"/>
          <w:sz w:val="32"/>
          <w:szCs w:val="32"/>
        </w:rPr>
      </w:pPr>
      <w:r>
        <w:rPr>
          <w:rFonts w:ascii="Times New Roman" w:eastAsia="方正小标宋简体" w:hAnsi="Times New Roman"/>
          <w:color w:val="000000"/>
          <w:sz w:val="32"/>
          <w:szCs w:val="32"/>
        </w:rPr>
        <w:t>（</w:t>
      </w:r>
      <w:r>
        <w:rPr>
          <w:rFonts w:ascii="Times New Roman" w:eastAsia="方正小标宋简体" w:hAnsi="Times New Roman"/>
          <w:color w:val="000000"/>
          <w:sz w:val="32"/>
          <w:szCs w:val="32"/>
        </w:rPr>
        <w:t>2022</w:t>
      </w:r>
      <w:r>
        <w:rPr>
          <w:rFonts w:ascii="Times New Roman" w:eastAsia="方正小标宋简体" w:hAnsi="Times New Roman"/>
          <w:color w:val="000000"/>
          <w:sz w:val="32"/>
          <w:szCs w:val="32"/>
        </w:rPr>
        <w:t>年版）</w:t>
      </w:r>
    </w:p>
    <w:p w14:paraId="6EABBA90" w14:textId="77777777" w:rsidR="00F2307D" w:rsidRDefault="00F2307D">
      <w:pPr>
        <w:snapToGrid w:val="0"/>
        <w:spacing w:line="360" w:lineRule="auto"/>
        <w:jc w:val="center"/>
        <w:rPr>
          <w:rFonts w:ascii="Times New Roman" w:eastAsia="方正小标宋简体" w:hAnsi="Times New Roman"/>
          <w:color w:val="000000"/>
          <w:sz w:val="32"/>
          <w:szCs w:val="32"/>
        </w:rPr>
      </w:pPr>
    </w:p>
    <w:p w14:paraId="4D2107CB" w14:textId="77777777" w:rsidR="00F2307D" w:rsidRDefault="00E755C7">
      <w:pPr>
        <w:snapToGrid w:val="0"/>
        <w:spacing w:line="440" w:lineRule="exact"/>
        <w:rPr>
          <w:rFonts w:ascii="Times New Roman" w:eastAsia="黑体" w:hAnsi="Times New Roman"/>
          <w:color w:val="000000"/>
          <w:szCs w:val="21"/>
        </w:rPr>
      </w:pPr>
      <w:r>
        <w:rPr>
          <w:rFonts w:ascii="Times New Roman" w:eastAsia="黑体" w:hAnsi="Times New Roman"/>
          <w:color w:val="000000"/>
          <w:szCs w:val="21"/>
        </w:rPr>
        <w:t xml:space="preserve">1 </w:t>
      </w:r>
      <w:r>
        <w:rPr>
          <w:rFonts w:ascii="Times New Roman" w:eastAsia="黑体" w:hAnsi="Times New Roman" w:hint="eastAsia"/>
          <w:color w:val="000000"/>
          <w:szCs w:val="21"/>
        </w:rPr>
        <w:t>抽样方法</w:t>
      </w:r>
    </w:p>
    <w:p w14:paraId="0734DCBA" w14:textId="77777777"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color w:val="000000"/>
          <w:szCs w:val="21"/>
        </w:rPr>
        <w:t>以随机抽样的方式在被抽样生产者、销售者的待销产品中抽取。</w:t>
      </w:r>
    </w:p>
    <w:p w14:paraId="12048737" w14:textId="77777777"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color w:val="000000"/>
          <w:szCs w:val="21"/>
        </w:rPr>
        <w:t>随机数一般可使用随机数表等方法产生。</w:t>
      </w:r>
    </w:p>
    <w:p w14:paraId="52C412EF" w14:textId="77777777" w:rsidR="00F2307D" w:rsidRDefault="00E755C7">
      <w:pPr>
        <w:adjustRightInd w:val="0"/>
        <w:snapToGrid w:val="0"/>
        <w:spacing w:line="440" w:lineRule="exact"/>
        <w:ind w:firstLineChars="200" w:firstLine="420"/>
        <w:rPr>
          <w:rFonts w:ascii="Times New Roman" w:hAnsi="Times New Roman"/>
          <w:szCs w:val="21"/>
        </w:rPr>
      </w:pPr>
      <w:r>
        <w:rPr>
          <w:rFonts w:ascii="Times New Roman" w:hAnsi="Times New Roman" w:hint="eastAsia"/>
          <w:szCs w:val="21"/>
        </w:rPr>
        <w:t>每批次产品抽取样品</w:t>
      </w:r>
      <w:r>
        <w:rPr>
          <w:rFonts w:ascii="Times New Roman" w:hAnsi="Times New Roman"/>
          <w:szCs w:val="21"/>
        </w:rPr>
        <w:t>2</w:t>
      </w:r>
      <w:r>
        <w:rPr>
          <w:rFonts w:ascii="Times New Roman" w:hAnsi="Times New Roman" w:hint="eastAsia"/>
          <w:szCs w:val="21"/>
        </w:rPr>
        <w:t>件</w:t>
      </w:r>
      <w:r>
        <w:rPr>
          <w:rFonts w:ascii="Times New Roman" w:hAnsi="Times New Roman"/>
          <w:szCs w:val="21"/>
        </w:rPr>
        <w:t>，其中</w:t>
      </w:r>
      <w:r>
        <w:rPr>
          <w:rFonts w:ascii="Times New Roman" w:hAnsi="Times New Roman"/>
          <w:szCs w:val="21"/>
        </w:rPr>
        <w:t>1</w:t>
      </w:r>
      <w:r>
        <w:rPr>
          <w:rFonts w:ascii="Times New Roman" w:hAnsi="Times New Roman" w:hint="eastAsia"/>
          <w:szCs w:val="21"/>
        </w:rPr>
        <w:t>件</w:t>
      </w:r>
      <w:r>
        <w:rPr>
          <w:rFonts w:ascii="Times New Roman" w:hAnsi="Times New Roman"/>
          <w:szCs w:val="21"/>
        </w:rPr>
        <w:t>作为检验样品，</w:t>
      </w:r>
      <w:r>
        <w:rPr>
          <w:rFonts w:ascii="Times New Roman" w:hAnsi="Times New Roman"/>
          <w:szCs w:val="21"/>
        </w:rPr>
        <w:t>1</w:t>
      </w:r>
      <w:r>
        <w:rPr>
          <w:rFonts w:ascii="Times New Roman" w:hAnsi="Times New Roman" w:hint="eastAsia"/>
          <w:szCs w:val="21"/>
        </w:rPr>
        <w:t>件</w:t>
      </w:r>
      <w:r>
        <w:rPr>
          <w:rFonts w:ascii="Times New Roman" w:hAnsi="Times New Roman"/>
          <w:szCs w:val="21"/>
        </w:rPr>
        <w:t>作</w:t>
      </w:r>
      <w:r>
        <w:rPr>
          <w:rFonts w:ascii="Times New Roman" w:hAnsi="Times New Roman" w:hint="eastAsia"/>
          <w:szCs w:val="21"/>
        </w:rPr>
        <w:t>为备用样品。</w:t>
      </w:r>
    </w:p>
    <w:p w14:paraId="47173F61" w14:textId="77777777" w:rsidR="00F2307D" w:rsidRDefault="00F2307D">
      <w:pPr>
        <w:snapToGrid w:val="0"/>
        <w:spacing w:line="440" w:lineRule="exact"/>
        <w:rPr>
          <w:rFonts w:ascii="Times New Roman" w:hAnsi="Times New Roman"/>
          <w:color w:val="000000"/>
          <w:szCs w:val="21"/>
        </w:rPr>
      </w:pPr>
    </w:p>
    <w:p w14:paraId="61E73CEF" w14:textId="77777777" w:rsidR="00F2307D" w:rsidRDefault="00E755C7">
      <w:pPr>
        <w:snapToGrid w:val="0"/>
        <w:spacing w:line="440" w:lineRule="exact"/>
        <w:rPr>
          <w:rFonts w:ascii="Times New Roman" w:eastAsia="黑体" w:hAnsi="Times New Roman"/>
          <w:color w:val="000000"/>
          <w:szCs w:val="21"/>
        </w:rPr>
      </w:pPr>
      <w:r>
        <w:rPr>
          <w:rFonts w:ascii="Times New Roman" w:eastAsia="黑体" w:hAnsi="Times New Roman"/>
          <w:color w:val="000000"/>
          <w:szCs w:val="21"/>
        </w:rPr>
        <w:t xml:space="preserve">2 </w:t>
      </w:r>
      <w:r>
        <w:rPr>
          <w:rFonts w:ascii="Times New Roman" w:eastAsia="黑体" w:hAnsi="Times New Roman" w:hint="eastAsia"/>
          <w:color w:val="000000"/>
          <w:szCs w:val="21"/>
        </w:rPr>
        <w:t>检验依据</w:t>
      </w:r>
    </w:p>
    <w:p w14:paraId="7F198EB6" w14:textId="77777777" w:rsidR="00F2307D" w:rsidRDefault="00F2307D">
      <w:pPr>
        <w:snapToGrid w:val="0"/>
        <w:spacing w:line="440" w:lineRule="exact"/>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890"/>
        <w:gridCol w:w="1631"/>
        <w:gridCol w:w="2233"/>
        <w:gridCol w:w="2572"/>
      </w:tblGrid>
      <w:tr w:rsidR="00F2307D" w14:paraId="7B110CD2" w14:textId="77777777" w:rsidTr="00202714">
        <w:trPr>
          <w:trHeight w:val="454"/>
          <w:tblHeader/>
          <w:jc w:val="center"/>
        </w:trPr>
        <w:tc>
          <w:tcPr>
            <w:tcW w:w="462" w:type="pct"/>
            <w:vAlign w:val="center"/>
          </w:tcPr>
          <w:p w14:paraId="1284DFE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序号</w:t>
            </w:r>
          </w:p>
        </w:tc>
        <w:tc>
          <w:tcPr>
            <w:tcW w:w="3136" w:type="pct"/>
            <w:gridSpan w:val="3"/>
            <w:vAlign w:val="center"/>
          </w:tcPr>
          <w:p w14:paraId="0E8F015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检验项目</w:t>
            </w:r>
          </w:p>
        </w:tc>
        <w:tc>
          <w:tcPr>
            <w:tcW w:w="1402" w:type="pct"/>
            <w:vAlign w:val="center"/>
          </w:tcPr>
          <w:p w14:paraId="1F32CDE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检验方法</w:t>
            </w:r>
          </w:p>
        </w:tc>
      </w:tr>
      <w:tr w:rsidR="00F2307D" w14:paraId="37D8BA99" w14:textId="77777777" w:rsidTr="00202714">
        <w:trPr>
          <w:trHeight w:val="252"/>
          <w:jc w:val="center"/>
        </w:trPr>
        <w:tc>
          <w:tcPr>
            <w:tcW w:w="462" w:type="pct"/>
            <w:vAlign w:val="center"/>
          </w:tcPr>
          <w:p w14:paraId="5825DD8E"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3136" w:type="pct"/>
            <w:gridSpan w:val="3"/>
            <w:vAlign w:val="center"/>
          </w:tcPr>
          <w:p w14:paraId="3FB187CC"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其他外观（表</w:t>
            </w:r>
            <w:r>
              <w:rPr>
                <w:rFonts w:ascii="Times New Roman" w:hAnsi="Times New Roman"/>
                <w:color w:val="000000"/>
                <w:kern w:val="0"/>
                <w:szCs w:val="21"/>
              </w:rPr>
              <w:t>3</w:t>
            </w:r>
            <w:r>
              <w:rPr>
                <w:rFonts w:ascii="Times New Roman" w:hAnsi="Times New Roman"/>
                <w:color w:val="000000"/>
                <w:kern w:val="0"/>
                <w:szCs w:val="21"/>
              </w:rPr>
              <w:t>序号</w:t>
            </w:r>
            <w:r>
              <w:rPr>
                <w:rFonts w:ascii="Times New Roman" w:hAnsi="Times New Roman"/>
                <w:color w:val="000000"/>
                <w:kern w:val="0"/>
                <w:szCs w:val="21"/>
              </w:rPr>
              <w:t>14</w:t>
            </w:r>
            <w:r>
              <w:rPr>
                <w:rFonts w:ascii="Times New Roman" w:hAnsi="Times New Roman"/>
                <w:color w:val="000000"/>
                <w:kern w:val="0"/>
                <w:szCs w:val="21"/>
              </w:rPr>
              <w:t>）</w:t>
            </w:r>
          </w:p>
        </w:tc>
        <w:tc>
          <w:tcPr>
            <w:tcW w:w="1402" w:type="pct"/>
            <w:vMerge w:val="restart"/>
            <w:vAlign w:val="center"/>
          </w:tcPr>
          <w:p w14:paraId="18B37694" w14:textId="56A96CF4"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GB/T 32487</w:t>
            </w:r>
            <w:r w:rsidR="00F20354">
              <w:rPr>
                <w:rFonts w:hint="eastAsia"/>
              </w:rPr>
              <w:t>—</w:t>
            </w:r>
            <w:r>
              <w:rPr>
                <w:rFonts w:ascii="Times New Roman" w:hAnsi="Times New Roman"/>
                <w:color w:val="000000"/>
                <w:kern w:val="0"/>
                <w:szCs w:val="21"/>
              </w:rPr>
              <w:t>2016</w:t>
            </w:r>
          </w:p>
        </w:tc>
      </w:tr>
      <w:tr w:rsidR="00F2307D" w14:paraId="29063970" w14:textId="77777777" w:rsidTr="00202714">
        <w:trPr>
          <w:trHeight w:val="324"/>
          <w:jc w:val="center"/>
        </w:trPr>
        <w:tc>
          <w:tcPr>
            <w:tcW w:w="462" w:type="pct"/>
            <w:vAlign w:val="center"/>
          </w:tcPr>
          <w:p w14:paraId="107B473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136" w:type="pct"/>
            <w:gridSpan w:val="3"/>
            <w:vAlign w:val="center"/>
          </w:tcPr>
          <w:p w14:paraId="6467D55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其他外观（表</w:t>
            </w:r>
            <w:r>
              <w:rPr>
                <w:rFonts w:ascii="Times New Roman" w:hAnsi="Times New Roman"/>
                <w:color w:val="000000"/>
                <w:kern w:val="0"/>
                <w:szCs w:val="21"/>
              </w:rPr>
              <w:t>3</w:t>
            </w:r>
            <w:r>
              <w:rPr>
                <w:rFonts w:ascii="Times New Roman" w:hAnsi="Times New Roman"/>
                <w:color w:val="000000"/>
                <w:kern w:val="0"/>
                <w:szCs w:val="21"/>
              </w:rPr>
              <w:t>序号</w:t>
            </w:r>
            <w:r>
              <w:rPr>
                <w:rFonts w:ascii="Times New Roman" w:hAnsi="Times New Roman"/>
                <w:color w:val="000000"/>
                <w:kern w:val="0"/>
                <w:szCs w:val="21"/>
              </w:rPr>
              <w:t>18</w:t>
            </w:r>
            <w:r>
              <w:rPr>
                <w:rFonts w:ascii="Times New Roman" w:hAnsi="Times New Roman"/>
                <w:color w:val="000000"/>
                <w:kern w:val="0"/>
                <w:szCs w:val="21"/>
              </w:rPr>
              <w:t>）</w:t>
            </w:r>
          </w:p>
        </w:tc>
        <w:tc>
          <w:tcPr>
            <w:tcW w:w="1402" w:type="pct"/>
            <w:vMerge/>
            <w:vAlign w:val="center"/>
          </w:tcPr>
          <w:p w14:paraId="7E6FFB3C" w14:textId="77777777" w:rsidR="00F2307D" w:rsidRDefault="00F2307D">
            <w:pPr>
              <w:widowControl/>
              <w:jc w:val="center"/>
              <w:rPr>
                <w:rFonts w:ascii="Times New Roman" w:hAnsi="Times New Roman"/>
                <w:color w:val="000000"/>
                <w:kern w:val="0"/>
                <w:szCs w:val="21"/>
              </w:rPr>
            </w:pPr>
          </w:p>
        </w:tc>
      </w:tr>
      <w:tr w:rsidR="00F2307D" w14:paraId="0A120328" w14:textId="77777777" w:rsidTr="00202714">
        <w:trPr>
          <w:trHeight w:val="90"/>
          <w:jc w:val="center"/>
        </w:trPr>
        <w:tc>
          <w:tcPr>
            <w:tcW w:w="462" w:type="pct"/>
            <w:vAlign w:val="center"/>
          </w:tcPr>
          <w:p w14:paraId="6ED6554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136" w:type="pct"/>
            <w:gridSpan w:val="3"/>
            <w:vAlign w:val="center"/>
          </w:tcPr>
          <w:p w14:paraId="2F926B99"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其他外观（表</w:t>
            </w:r>
            <w:r>
              <w:rPr>
                <w:rFonts w:ascii="Times New Roman" w:hAnsi="Times New Roman"/>
                <w:color w:val="000000"/>
                <w:kern w:val="0"/>
                <w:szCs w:val="21"/>
              </w:rPr>
              <w:t>3</w:t>
            </w:r>
            <w:r>
              <w:rPr>
                <w:rFonts w:ascii="Times New Roman" w:hAnsi="Times New Roman"/>
                <w:color w:val="000000"/>
                <w:kern w:val="0"/>
                <w:szCs w:val="21"/>
              </w:rPr>
              <w:t>序号</w:t>
            </w:r>
            <w:r>
              <w:rPr>
                <w:rFonts w:ascii="Times New Roman" w:hAnsi="Times New Roman"/>
                <w:color w:val="000000"/>
                <w:kern w:val="0"/>
                <w:szCs w:val="21"/>
              </w:rPr>
              <w:t>19</w:t>
            </w:r>
            <w:r>
              <w:rPr>
                <w:rFonts w:ascii="Times New Roman" w:hAnsi="Times New Roman"/>
                <w:color w:val="000000"/>
                <w:kern w:val="0"/>
                <w:szCs w:val="21"/>
              </w:rPr>
              <w:t>）</w:t>
            </w:r>
          </w:p>
        </w:tc>
        <w:tc>
          <w:tcPr>
            <w:tcW w:w="1402" w:type="pct"/>
            <w:vMerge/>
            <w:vAlign w:val="center"/>
          </w:tcPr>
          <w:p w14:paraId="1F368827" w14:textId="77777777" w:rsidR="00F2307D" w:rsidRDefault="00F2307D">
            <w:pPr>
              <w:widowControl/>
              <w:jc w:val="center"/>
              <w:rPr>
                <w:rFonts w:ascii="Times New Roman" w:hAnsi="Times New Roman"/>
                <w:color w:val="000000"/>
                <w:kern w:val="0"/>
                <w:szCs w:val="21"/>
              </w:rPr>
            </w:pPr>
          </w:p>
        </w:tc>
      </w:tr>
      <w:tr w:rsidR="00F2307D" w14:paraId="2D31C0CA" w14:textId="77777777" w:rsidTr="00202714">
        <w:trPr>
          <w:trHeight w:val="94"/>
          <w:jc w:val="center"/>
        </w:trPr>
        <w:tc>
          <w:tcPr>
            <w:tcW w:w="462" w:type="pct"/>
            <w:vAlign w:val="center"/>
          </w:tcPr>
          <w:p w14:paraId="700FD7D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136" w:type="pct"/>
            <w:gridSpan w:val="3"/>
            <w:vAlign w:val="center"/>
          </w:tcPr>
          <w:p w14:paraId="2AD849C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其他外观（表</w:t>
            </w:r>
            <w:r>
              <w:rPr>
                <w:rFonts w:ascii="Times New Roman" w:hAnsi="Times New Roman"/>
                <w:color w:val="000000"/>
                <w:kern w:val="0"/>
                <w:szCs w:val="21"/>
              </w:rPr>
              <w:t>3</w:t>
            </w:r>
            <w:r>
              <w:rPr>
                <w:rFonts w:ascii="Times New Roman" w:hAnsi="Times New Roman"/>
                <w:color w:val="000000"/>
                <w:kern w:val="0"/>
                <w:szCs w:val="21"/>
              </w:rPr>
              <w:t>序号</w:t>
            </w:r>
            <w:r>
              <w:rPr>
                <w:rFonts w:ascii="Times New Roman" w:hAnsi="Times New Roman"/>
                <w:color w:val="000000"/>
                <w:kern w:val="0"/>
                <w:szCs w:val="21"/>
              </w:rPr>
              <w:t>20</w:t>
            </w:r>
            <w:r>
              <w:rPr>
                <w:rFonts w:ascii="Times New Roman" w:hAnsi="Times New Roman"/>
                <w:color w:val="000000"/>
                <w:kern w:val="0"/>
                <w:szCs w:val="21"/>
              </w:rPr>
              <w:t>）</w:t>
            </w:r>
          </w:p>
        </w:tc>
        <w:tc>
          <w:tcPr>
            <w:tcW w:w="1402" w:type="pct"/>
            <w:vMerge/>
            <w:vAlign w:val="center"/>
          </w:tcPr>
          <w:p w14:paraId="4693BFCC" w14:textId="77777777" w:rsidR="00F2307D" w:rsidRDefault="00F2307D">
            <w:pPr>
              <w:widowControl/>
              <w:jc w:val="center"/>
              <w:rPr>
                <w:rFonts w:ascii="Times New Roman" w:hAnsi="Times New Roman"/>
                <w:color w:val="000000"/>
                <w:kern w:val="0"/>
                <w:szCs w:val="21"/>
              </w:rPr>
            </w:pPr>
          </w:p>
        </w:tc>
      </w:tr>
      <w:tr w:rsidR="00F2307D" w14:paraId="311D9AA7" w14:textId="77777777" w:rsidTr="00202714">
        <w:trPr>
          <w:trHeight w:val="454"/>
          <w:jc w:val="center"/>
        </w:trPr>
        <w:tc>
          <w:tcPr>
            <w:tcW w:w="462" w:type="pct"/>
            <w:vAlign w:val="center"/>
          </w:tcPr>
          <w:p w14:paraId="68BDCA6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030" w:type="pct"/>
            <w:vMerge w:val="restart"/>
            <w:vAlign w:val="center"/>
          </w:tcPr>
          <w:p w14:paraId="540A435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理化性能</w:t>
            </w:r>
          </w:p>
        </w:tc>
        <w:tc>
          <w:tcPr>
            <w:tcW w:w="2106" w:type="pct"/>
            <w:gridSpan w:val="2"/>
            <w:vAlign w:val="center"/>
          </w:tcPr>
          <w:p w14:paraId="28C5E806" w14:textId="77777777" w:rsidR="00F2307D" w:rsidRDefault="00E755C7">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塑料件耐冷热</w:t>
            </w:r>
            <w:proofErr w:type="gramEnd"/>
            <w:r>
              <w:rPr>
                <w:rFonts w:ascii="Times New Roman" w:hAnsi="Times New Roman"/>
                <w:color w:val="000000"/>
                <w:kern w:val="0"/>
                <w:szCs w:val="21"/>
              </w:rPr>
              <w:t>循环</w:t>
            </w:r>
          </w:p>
        </w:tc>
        <w:tc>
          <w:tcPr>
            <w:tcW w:w="1402" w:type="pct"/>
            <w:vMerge w:val="restart"/>
            <w:vAlign w:val="center"/>
          </w:tcPr>
          <w:p w14:paraId="4B630758" w14:textId="0D42A92C"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GB/T 32487</w:t>
            </w:r>
            <w:r w:rsidR="00F20354">
              <w:rPr>
                <w:rFonts w:hint="eastAsia"/>
              </w:rPr>
              <w:t>—</w:t>
            </w:r>
            <w:r>
              <w:rPr>
                <w:rFonts w:ascii="Times New Roman" w:hAnsi="Times New Roman"/>
                <w:color w:val="000000"/>
                <w:kern w:val="0"/>
                <w:szCs w:val="21"/>
              </w:rPr>
              <w:t>2016</w:t>
            </w:r>
          </w:p>
        </w:tc>
      </w:tr>
      <w:tr w:rsidR="00F2307D" w14:paraId="51E11F58" w14:textId="77777777" w:rsidTr="00202714">
        <w:trPr>
          <w:trHeight w:val="454"/>
          <w:jc w:val="center"/>
        </w:trPr>
        <w:tc>
          <w:tcPr>
            <w:tcW w:w="462" w:type="pct"/>
            <w:vAlign w:val="center"/>
          </w:tcPr>
          <w:p w14:paraId="57C2D0C8"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030" w:type="pct"/>
            <w:vMerge/>
            <w:vAlign w:val="center"/>
          </w:tcPr>
          <w:p w14:paraId="67D079DF"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43E04B7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塑料件硬度</w:t>
            </w:r>
          </w:p>
        </w:tc>
        <w:tc>
          <w:tcPr>
            <w:tcW w:w="1402" w:type="pct"/>
            <w:vMerge/>
            <w:vAlign w:val="center"/>
          </w:tcPr>
          <w:p w14:paraId="0EBBB37B" w14:textId="77777777" w:rsidR="00F2307D" w:rsidRDefault="00F2307D">
            <w:pPr>
              <w:jc w:val="center"/>
              <w:rPr>
                <w:rFonts w:ascii="Times New Roman" w:hAnsi="Times New Roman"/>
                <w:color w:val="000000"/>
                <w:kern w:val="0"/>
                <w:szCs w:val="21"/>
              </w:rPr>
            </w:pPr>
          </w:p>
        </w:tc>
      </w:tr>
      <w:tr w:rsidR="00F2307D" w14:paraId="5B95CF17" w14:textId="77777777" w:rsidTr="00202714">
        <w:trPr>
          <w:trHeight w:val="454"/>
          <w:jc w:val="center"/>
        </w:trPr>
        <w:tc>
          <w:tcPr>
            <w:tcW w:w="462" w:type="pct"/>
            <w:vAlign w:val="center"/>
          </w:tcPr>
          <w:p w14:paraId="447C4C8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1030" w:type="pct"/>
            <w:vMerge/>
            <w:vAlign w:val="center"/>
          </w:tcPr>
          <w:p w14:paraId="6F8FF363"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007906D8"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其他件涂层硬度</w:t>
            </w:r>
          </w:p>
        </w:tc>
        <w:tc>
          <w:tcPr>
            <w:tcW w:w="1402" w:type="pct"/>
            <w:vMerge/>
            <w:vAlign w:val="center"/>
          </w:tcPr>
          <w:p w14:paraId="3E0832E8" w14:textId="77777777" w:rsidR="00F2307D" w:rsidRDefault="00F2307D">
            <w:pPr>
              <w:jc w:val="center"/>
              <w:rPr>
                <w:rFonts w:ascii="Times New Roman" w:hAnsi="Times New Roman"/>
                <w:color w:val="000000"/>
                <w:kern w:val="0"/>
                <w:szCs w:val="21"/>
              </w:rPr>
            </w:pPr>
          </w:p>
        </w:tc>
      </w:tr>
      <w:tr w:rsidR="00F2307D" w14:paraId="4D560375" w14:textId="77777777" w:rsidTr="00202714">
        <w:trPr>
          <w:trHeight w:val="454"/>
          <w:jc w:val="center"/>
        </w:trPr>
        <w:tc>
          <w:tcPr>
            <w:tcW w:w="462" w:type="pct"/>
            <w:vAlign w:val="center"/>
          </w:tcPr>
          <w:p w14:paraId="1D367E5F"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1030" w:type="pct"/>
            <w:vMerge/>
            <w:vAlign w:val="center"/>
          </w:tcPr>
          <w:p w14:paraId="4E9AD442"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24CDC856"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其他件涂层冲击强度</w:t>
            </w:r>
          </w:p>
        </w:tc>
        <w:tc>
          <w:tcPr>
            <w:tcW w:w="1402" w:type="pct"/>
            <w:vMerge/>
            <w:vAlign w:val="center"/>
          </w:tcPr>
          <w:p w14:paraId="058B555A" w14:textId="77777777" w:rsidR="00F2307D" w:rsidRDefault="00F2307D">
            <w:pPr>
              <w:jc w:val="center"/>
              <w:rPr>
                <w:rFonts w:ascii="Times New Roman" w:hAnsi="Times New Roman"/>
                <w:color w:val="000000"/>
                <w:kern w:val="0"/>
                <w:szCs w:val="21"/>
              </w:rPr>
            </w:pPr>
          </w:p>
        </w:tc>
      </w:tr>
      <w:tr w:rsidR="00F2307D" w14:paraId="1E040A97" w14:textId="77777777" w:rsidTr="00202714">
        <w:trPr>
          <w:trHeight w:val="454"/>
          <w:jc w:val="center"/>
        </w:trPr>
        <w:tc>
          <w:tcPr>
            <w:tcW w:w="462" w:type="pct"/>
            <w:vAlign w:val="center"/>
          </w:tcPr>
          <w:p w14:paraId="77CF8E5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1030" w:type="pct"/>
            <w:vMerge/>
            <w:vAlign w:val="center"/>
          </w:tcPr>
          <w:p w14:paraId="7093D26D"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71FC9C80"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其他件涂层附着力</w:t>
            </w:r>
          </w:p>
        </w:tc>
        <w:tc>
          <w:tcPr>
            <w:tcW w:w="1402" w:type="pct"/>
            <w:vMerge/>
            <w:vAlign w:val="center"/>
          </w:tcPr>
          <w:p w14:paraId="030CD2EA" w14:textId="77777777" w:rsidR="00F2307D" w:rsidRDefault="00F2307D">
            <w:pPr>
              <w:jc w:val="center"/>
              <w:rPr>
                <w:rFonts w:ascii="Times New Roman" w:hAnsi="Times New Roman"/>
                <w:color w:val="000000"/>
                <w:kern w:val="0"/>
                <w:szCs w:val="21"/>
              </w:rPr>
            </w:pPr>
          </w:p>
        </w:tc>
      </w:tr>
      <w:tr w:rsidR="00F2307D" w14:paraId="35C704EB" w14:textId="77777777" w:rsidTr="00202714">
        <w:trPr>
          <w:trHeight w:val="454"/>
          <w:jc w:val="center"/>
        </w:trPr>
        <w:tc>
          <w:tcPr>
            <w:tcW w:w="462" w:type="pct"/>
            <w:vAlign w:val="center"/>
          </w:tcPr>
          <w:p w14:paraId="1C170373"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1030" w:type="pct"/>
            <w:vMerge/>
            <w:vAlign w:val="center"/>
          </w:tcPr>
          <w:p w14:paraId="39EC0CEC"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2FB891C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其他件镀层抗盐雾</w:t>
            </w:r>
          </w:p>
        </w:tc>
        <w:tc>
          <w:tcPr>
            <w:tcW w:w="1402" w:type="pct"/>
            <w:vMerge/>
            <w:vAlign w:val="center"/>
          </w:tcPr>
          <w:p w14:paraId="56BD432D" w14:textId="77777777" w:rsidR="00F2307D" w:rsidRDefault="00F2307D">
            <w:pPr>
              <w:widowControl/>
              <w:jc w:val="center"/>
              <w:rPr>
                <w:rFonts w:ascii="Times New Roman" w:hAnsi="Times New Roman"/>
                <w:color w:val="000000"/>
                <w:kern w:val="0"/>
                <w:szCs w:val="21"/>
              </w:rPr>
            </w:pPr>
          </w:p>
        </w:tc>
      </w:tr>
      <w:tr w:rsidR="00F2307D" w14:paraId="04A66F64" w14:textId="77777777" w:rsidTr="00202714">
        <w:trPr>
          <w:trHeight w:val="454"/>
          <w:jc w:val="center"/>
        </w:trPr>
        <w:tc>
          <w:tcPr>
            <w:tcW w:w="462" w:type="pct"/>
            <w:vAlign w:val="center"/>
          </w:tcPr>
          <w:p w14:paraId="2F14709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1030" w:type="pct"/>
            <w:vMerge w:val="restart"/>
            <w:vAlign w:val="center"/>
          </w:tcPr>
          <w:p w14:paraId="3E30BDD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力学性能（柜、架类强度和耐久性）</w:t>
            </w:r>
          </w:p>
        </w:tc>
        <w:tc>
          <w:tcPr>
            <w:tcW w:w="2106" w:type="pct"/>
            <w:gridSpan w:val="2"/>
            <w:vAlign w:val="center"/>
          </w:tcPr>
          <w:p w14:paraId="6EF04256"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结构和底架强度试验</w:t>
            </w:r>
          </w:p>
        </w:tc>
        <w:tc>
          <w:tcPr>
            <w:tcW w:w="1402" w:type="pct"/>
            <w:vMerge w:val="restart"/>
            <w:vAlign w:val="center"/>
          </w:tcPr>
          <w:p w14:paraId="122DDDE6" w14:textId="2F7909AB"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GB/T 10357.5</w:t>
            </w:r>
            <w:r w:rsidR="00F20354">
              <w:rPr>
                <w:rFonts w:hint="eastAsia"/>
              </w:rPr>
              <w:t>—</w:t>
            </w:r>
            <w:r>
              <w:rPr>
                <w:rFonts w:ascii="Times New Roman" w:hAnsi="Times New Roman"/>
                <w:color w:val="000000"/>
                <w:kern w:val="0"/>
                <w:szCs w:val="21"/>
              </w:rPr>
              <w:t>2011</w:t>
            </w:r>
          </w:p>
        </w:tc>
      </w:tr>
      <w:tr w:rsidR="00F2307D" w14:paraId="476234AD" w14:textId="77777777" w:rsidTr="00202714">
        <w:trPr>
          <w:trHeight w:val="454"/>
          <w:jc w:val="center"/>
        </w:trPr>
        <w:tc>
          <w:tcPr>
            <w:tcW w:w="462" w:type="pct"/>
            <w:vAlign w:val="center"/>
          </w:tcPr>
          <w:p w14:paraId="000BF09A"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1030" w:type="pct"/>
            <w:vMerge/>
            <w:vAlign w:val="center"/>
          </w:tcPr>
          <w:p w14:paraId="6519E9EF"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2E305330"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推拉构件强度试验</w:t>
            </w:r>
          </w:p>
        </w:tc>
        <w:tc>
          <w:tcPr>
            <w:tcW w:w="1402" w:type="pct"/>
            <w:vMerge/>
            <w:vAlign w:val="center"/>
          </w:tcPr>
          <w:p w14:paraId="0EF425FE" w14:textId="77777777" w:rsidR="00F2307D" w:rsidRDefault="00F2307D">
            <w:pPr>
              <w:widowControl/>
              <w:jc w:val="center"/>
              <w:rPr>
                <w:rFonts w:ascii="Times New Roman" w:hAnsi="Times New Roman"/>
                <w:color w:val="000000"/>
                <w:kern w:val="0"/>
                <w:szCs w:val="21"/>
              </w:rPr>
            </w:pPr>
          </w:p>
        </w:tc>
      </w:tr>
      <w:tr w:rsidR="00F2307D" w14:paraId="641D87FF" w14:textId="77777777" w:rsidTr="00202714">
        <w:trPr>
          <w:trHeight w:val="454"/>
          <w:jc w:val="center"/>
        </w:trPr>
        <w:tc>
          <w:tcPr>
            <w:tcW w:w="462" w:type="pct"/>
            <w:vAlign w:val="center"/>
          </w:tcPr>
          <w:p w14:paraId="1D8B9B8E"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1030" w:type="pct"/>
            <w:vMerge/>
            <w:vAlign w:val="center"/>
          </w:tcPr>
          <w:p w14:paraId="0FDB4DBD"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6B41F32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推拉构件结构强度试验</w:t>
            </w:r>
          </w:p>
        </w:tc>
        <w:tc>
          <w:tcPr>
            <w:tcW w:w="1402" w:type="pct"/>
            <w:vMerge/>
            <w:vAlign w:val="center"/>
          </w:tcPr>
          <w:p w14:paraId="5C19C814" w14:textId="77777777" w:rsidR="00F2307D" w:rsidRDefault="00F2307D">
            <w:pPr>
              <w:widowControl/>
              <w:jc w:val="center"/>
              <w:rPr>
                <w:rFonts w:ascii="Times New Roman" w:hAnsi="Times New Roman"/>
                <w:color w:val="000000"/>
                <w:kern w:val="0"/>
                <w:szCs w:val="21"/>
              </w:rPr>
            </w:pPr>
          </w:p>
        </w:tc>
      </w:tr>
      <w:tr w:rsidR="00F2307D" w14:paraId="57965A64" w14:textId="77777777" w:rsidTr="00202714">
        <w:trPr>
          <w:trHeight w:val="454"/>
          <w:jc w:val="center"/>
        </w:trPr>
        <w:tc>
          <w:tcPr>
            <w:tcW w:w="462" w:type="pct"/>
            <w:vAlign w:val="center"/>
          </w:tcPr>
          <w:p w14:paraId="5BF72E9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1030" w:type="pct"/>
            <w:vAlign w:val="center"/>
          </w:tcPr>
          <w:p w14:paraId="34C2E804" w14:textId="77777777" w:rsidR="00F2307D" w:rsidRDefault="00E755C7">
            <w:pPr>
              <w:jc w:val="center"/>
              <w:rPr>
                <w:rFonts w:ascii="Times New Roman" w:hAnsi="Times New Roman"/>
                <w:color w:val="000000"/>
                <w:kern w:val="0"/>
                <w:szCs w:val="21"/>
              </w:rPr>
            </w:pPr>
            <w:r>
              <w:rPr>
                <w:rFonts w:ascii="Times New Roman" w:hAnsi="Times New Roman"/>
                <w:color w:val="000000"/>
                <w:kern w:val="0"/>
                <w:szCs w:val="21"/>
              </w:rPr>
              <w:t>力学性能（柜、架类稳定性）</w:t>
            </w:r>
          </w:p>
        </w:tc>
        <w:tc>
          <w:tcPr>
            <w:tcW w:w="2106" w:type="pct"/>
            <w:gridSpan w:val="2"/>
            <w:vAlign w:val="center"/>
          </w:tcPr>
          <w:p w14:paraId="344BABC8"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稳定性</w:t>
            </w:r>
          </w:p>
        </w:tc>
        <w:tc>
          <w:tcPr>
            <w:tcW w:w="1402" w:type="pct"/>
            <w:vAlign w:val="center"/>
          </w:tcPr>
          <w:p w14:paraId="5609F8B0" w14:textId="7FE03EA0" w:rsidR="00F2307D" w:rsidRDefault="00E755C7">
            <w:pPr>
              <w:jc w:val="center"/>
              <w:rPr>
                <w:rFonts w:ascii="Times New Roman" w:hAnsi="Times New Roman"/>
                <w:color w:val="000000"/>
                <w:kern w:val="0"/>
                <w:szCs w:val="21"/>
              </w:rPr>
            </w:pPr>
            <w:r>
              <w:rPr>
                <w:rFonts w:ascii="Times New Roman" w:hAnsi="Times New Roman"/>
                <w:color w:val="000000"/>
                <w:kern w:val="0"/>
                <w:szCs w:val="21"/>
              </w:rPr>
              <w:t>GB/T 10357.4</w:t>
            </w:r>
            <w:r w:rsidR="00F20354">
              <w:rPr>
                <w:rFonts w:hint="eastAsia"/>
              </w:rPr>
              <w:t>—</w:t>
            </w:r>
            <w:r>
              <w:rPr>
                <w:rFonts w:ascii="Times New Roman" w:hAnsi="Times New Roman"/>
                <w:color w:val="000000"/>
                <w:kern w:val="0"/>
                <w:szCs w:val="21"/>
              </w:rPr>
              <w:t>2013</w:t>
            </w:r>
          </w:p>
        </w:tc>
      </w:tr>
      <w:tr w:rsidR="00F2307D" w14:paraId="79C5DC79" w14:textId="77777777" w:rsidTr="00202714">
        <w:trPr>
          <w:trHeight w:val="336"/>
          <w:jc w:val="center"/>
        </w:trPr>
        <w:tc>
          <w:tcPr>
            <w:tcW w:w="462" w:type="pct"/>
            <w:vAlign w:val="center"/>
          </w:tcPr>
          <w:p w14:paraId="3E16A218"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1030" w:type="pct"/>
            <w:vMerge w:val="restart"/>
            <w:vAlign w:val="center"/>
          </w:tcPr>
          <w:p w14:paraId="05553E8D"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力学性能（桌、几类强度和耐久性）</w:t>
            </w:r>
          </w:p>
        </w:tc>
        <w:tc>
          <w:tcPr>
            <w:tcW w:w="2106" w:type="pct"/>
            <w:gridSpan w:val="2"/>
            <w:vAlign w:val="center"/>
          </w:tcPr>
          <w:p w14:paraId="324D53CE"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垂直静载荷试验</w:t>
            </w:r>
          </w:p>
        </w:tc>
        <w:tc>
          <w:tcPr>
            <w:tcW w:w="1402" w:type="pct"/>
            <w:vMerge w:val="restart"/>
            <w:vAlign w:val="center"/>
          </w:tcPr>
          <w:p w14:paraId="5B94E299" w14:textId="1948D10F" w:rsidR="00F2307D" w:rsidRDefault="00E755C7">
            <w:pPr>
              <w:jc w:val="center"/>
              <w:rPr>
                <w:rFonts w:ascii="Times New Roman" w:hAnsi="Times New Roman"/>
                <w:color w:val="000000"/>
                <w:kern w:val="0"/>
                <w:szCs w:val="21"/>
              </w:rPr>
            </w:pPr>
            <w:r>
              <w:rPr>
                <w:rFonts w:ascii="Times New Roman" w:hAnsi="Times New Roman"/>
                <w:color w:val="000000"/>
                <w:kern w:val="0"/>
                <w:szCs w:val="21"/>
              </w:rPr>
              <w:t>GB/T 10357.1</w:t>
            </w:r>
            <w:r w:rsidR="00F20354">
              <w:rPr>
                <w:rFonts w:hint="eastAsia"/>
              </w:rPr>
              <w:t>—</w:t>
            </w:r>
            <w:r>
              <w:rPr>
                <w:rFonts w:ascii="Times New Roman" w:hAnsi="Times New Roman"/>
                <w:color w:val="000000"/>
                <w:kern w:val="0"/>
                <w:szCs w:val="21"/>
              </w:rPr>
              <w:t>2013</w:t>
            </w:r>
          </w:p>
        </w:tc>
      </w:tr>
      <w:tr w:rsidR="00F2307D" w14:paraId="6423B629" w14:textId="77777777" w:rsidTr="00202714">
        <w:trPr>
          <w:trHeight w:val="324"/>
          <w:jc w:val="center"/>
        </w:trPr>
        <w:tc>
          <w:tcPr>
            <w:tcW w:w="462" w:type="pct"/>
            <w:vAlign w:val="center"/>
          </w:tcPr>
          <w:p w14:paraId="36A80671"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1030" w:type="pct"/>
            <w:vMerge/>
            <w:vAlign w:val="center"/>
          </w:tcPr>
          <w:p w14:paraId="670BF9E3"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517E555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水平静载荷试验</w:t>
            </w:r>
          </w:p>
        </w:tc>
        <w:tc>
          <w:tcPr>
            <w:tcW w:w="1402" w:type="pct"/>
            <w:vMerge/>
            <w:vAlign w:val="center"/>
          </w:tcPr>
          <w:p w14:paraId="769C4583" w14:textId="77777777" w:rsidR="00F2307D" w:rsidRDefault="00F2307D">
            <w:pPr>
              <w:widowControl/>
              <w:jc w:val="center"/>
              <w:rPr>
                <w:rFonts w:ascii="Times New Roman" w:hAnsi="Times New Roman"/>
                <w:color w:val="000000"/>
                <w:kern w:val="0"/>
                <w:szCs w:val="21"/>
              </w:rPr>
            </w:pPr>
          </w:p>
        </w:tc>
      </w:tr>
      <w:tr w:rsidR="00F2307D" w14:paraId="14A951BB" w14:textId="77777777" w:rsidTr="00202714">
        <w:trPr>
          <w:trHeight w:val="347"/>
          <w:jc w:val="center"/>
        </w:trPr>
        <w:tc>
          <w:tcPr>
            <w:tcW w:w="462" w:type="pct"/>
            <w:vAlign w:val="center"/>
          </w:tcPr>
          <w:p w14:paraId="49104199"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1030" w:type="pct"/>
            <w:vMerge/>
            <w:vAlign w:val="center"/>
          </w:tcPr>
          <w:p w14:paraId="0FB16A58"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24496AB1"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桌面垂直冲击试验</w:t>
            </w:r>
          </w:p>
        </w:tc>
        <w:tc>
          <w:tcPr>
            <w:tcW w:w="1402" w:type="pct"/>
            <w:vMerge/>
            <w:vAlign w:val="center"/>
          </w:tcPr>
          <w:p w14:paraId="2F8ECF09" w14:textId="77777777" w:rsidR="00F2307D" w:rsidRDefault="00F2307D">
            <w:pPr>
              <w:widowControl/>
              <w:jc w:val="center"/>
              <w:rPr>
                <w:rFonts w:ascii="Times New Roman" w:hAnsi="Times New Roman"/>
                <w:color w:val="000000"/>
                <w:kern w:val="0"/>
                <w:szCs w:val="21"/>
              </w:rPr>
            </w:pPr>
          </w:p>
        </w:tc>
      </w:tr>
      <w:tr w:rsidR="00F2307D" w14:paraId="7B8CF65F" w14:textId="77777777" w:rsidTr="00202714">
        <w:trPr>
          <w:trHeight w:val="300"/>
          <w:jc w:val="center"/>
        </w:trPr>
        <w:tc>
          <w:tcPr>
            <w:tcW w:w="462" w:type="pct"/>
            <w:vAlign w:val="center"/>
          </w:tcPr>
          <w:p w14:paraId="3EB1350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1030" w:type="pct"/>
            <w:vMerge/>
            <w:vAlign w:val="center"/>
          </w:tcPr>
          <w:p w14:paraId="2F4BE299"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0D40E2FF"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桌腿跌落试验</w:t>
            </w:r>
          </w:p>
        </w:tc>
        <w:tc>
          <w:tcPr>
            <w:tcW w:w="1402" w:type="pct"/>
            <w:vMerge/>
            <w:vAlign w:val="center"/>
          </w:tcPr>
          <w:p w14:paraId="0D511B32" w14:textId="77777777" w:rsidR="00F2307D" w:rsidRDefault="00F2307D">
            <w:pPr>
              <w:widowControl/>
              <w:jc w:val="center"/>
              <w:rPr>
                <w:rFonts w:ascii="Times New Roman" w:hAnsi="Times New Roman"/>
                <w:color w:val="000000"/>
                <w:kern w:val="0"/>
                <w:szCs w:val="21"/>
              </w:rPr>
            </w:pPr>
          </w:p>
        </w:tc>
      </w:tr>
      <w:tr w:rsidR="00F2307D" w14:paraId="23687EDB" w14:textId="77777777" w:rsidTr="00202714">
        <w:trPr>
          <w:trHeight w:val="506"/>
          <w:jc w:val="center"/>
        </w:trPr>
        <w:tc>
          <w:tcPr>
            <w:tcW w:w="462" w:type="pct"/>
            <w:vAlign w:val="center"/>
          </w:tcPr>
          <w:p w14:paraId="69D496F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1030" w:type="pct"/>
            <w:vAlign w:val="center"/>
          </w:tcPr>
          <w:p w14:paraId="1BB076B2" w14:textId="77777777" w:rsidR="00F2307D" w:rsidRDefault="00E755C7">
            <w:pPr>
              <w:jc w:val="center"/>
              <w:rPr>
                <w:rFonts w:ascii="Times New Roman" w:hAnsi="Times New Roman"/>
                <w:color w:val="000000"/>
                <w:kern w:val="0"/>
                <w:szCs w:val="21"/>
              </w:rPr>
            </w:pPr>
            <w:r>
              <w:rPr>
                <w:rFonts w:ascii="Times New Roman" w:hAnsi="Times New Roman"/>
                <w:color w:val="000000"/>
                <w:kern w:val="0"/>
                <w:szCs w:val="21"/>
              </w:rPr>
              <w:t>力学性能（桌、几类稳定性）</w:t>
            </w:r>
          </w:p>
        </w:tc>
        <w:tc>
          <w:tcPr>
            <w:tcW w:w="2106" w:type="pct"/>
            <w:gridSpan w:val="2"/>
            <w:vAlign w:val="center"/>
          </w:tcPr>
          <w:p w14:paraId="5BC652E5" w14:textId="77777777" w:rsidR="00F2307D" w:rsidRDefault="00E755C7">
            <w:pPr>
              <w:jc w:val="center"/>
              <w:rPr>
                <w:rFonts w:ascii="Times New Roman" w:hAnsi="Times New Roman"/>
                <w:color w:val="000000"/>
                <w:kern w:val="0"/>
                <w:szCs w:val="21"/>
              </w:rPr>
            </w:pPr>
            <w:r>
              <w:rPr>
                <w:rFonts w:ascii="Times New Roman" w:hAnsi="Times New Roman"/>
                <w:color w:val="000000"/>
                <w:kern w:val="0"/>
                <w:szCs w:val="21"/>
              </w:rPr>
              <w:t>稳定性</w:t>
            </w:r>
          </w:p>
        </w:tc>
        <w:tc>
          <w:tcPr>
            <w:tcW w:w="1402" w:type="pct"/>
            <w:vAlign w:val="center"/>
          </w:tcPr>
          <w:p w14:paraId="6266F8ED" w14:textId="080CBBFD" w:rsidR="00F2307D" w:rsidRDefault="00E755C7">
            <w:pPr>
              <w:jc w:val="center"/>
              <w:rPr>
                <w:rFonts w:ascii="Times New Roman" w:hAnsi="Times New Roman"/>
                <w:color w:val="000000"/>
                <w:kern w:val="0"/>
                <w:szCs w:val="21"/>
              </w:rPr>
            </w:pPr>
            <w:r>
              <w:rPr>
                <w:rFonts w:ascii="Times New Roman" w:hAnsi="Times New Roman"/>
                <w:color w:val="000000"/>
                <w:kern w:val="0"/>
                <w:szCs w:val="21"/>
              </w:rPr>
              <w:t>GB/T 10357.7</w:t>
            </w:r>
            <w:r w:rsidR="00F20354">
              <w:rPr>
                <w:rFonts w:hint="eastAsia"/>
              </w:rPr>
              <w:t>—</w:t>
            </w:r>
            <w:r>
              <w:rPr>
                <w:rFonts w:ascii="Times New Roman" w:hAnsi="Times New Roman"/>
                <w:color w:val="000000"/>
                <w:kern w:val="0"/>
                <w:szCs w:val="21"/>
              </w:rPr>
              <w:t>2013</w:t>
            </w:r>
          </w:p>
        </w:tc>
      </w:tr>
      <w:tr w:rsidR="00F2307D" w14:paraId="1C567E10" w14:textId="77777777" w:rsidTr="00202714">
        <w:trPr>
          <w:trHeight w:val="454"/>
          <w:jc w:val="center"/>
        </w:trPr>
        <w:tc>
          <w:tcPr>
            <w:tcW w:w="462" w:type="pct"/>
            <w:vAlign w:val="center"/>
          </w:tcPr>
          <w:p w14:paraId="7AD75A7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lastRenderedPageBreak/>
              <w:t>20</w:t>
            </w:r>
          </w:p>
        </w:tc>
        <w:tc>
          <w:tcPr>
            <w:tcW w:w="1030" w:type="pct"/>
            <w:vMerge w:val="restart"/>
            <w:vAlign w:val="center"/>
          </w:tcPr>
          <w:p w14:paraId="32B68F4D"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力学性能（椅、</w:t>
            </w:r>
            <w:proofErr w:type="gramStart"/>
            <w:r>
              <w:rPr>
                <w:rFonts w:ascii="Times New Roman" w:hAnsi="Times New Roman"/>
                <w:color w:val="000000"/>
                <w:kern w:val="0"/>
                <w:szCs w:val="21"/>
              </w:rPr>
              <w:t>凳类强度</w:t>
            </w:r>
            <w:proofErr w:type="gramEnd"/>
            <w:r>
              <w:rPr>
                <w:rFonts w:ascii="Times New Roman" w:hAnsi="Times New Roman"/>
                <w:color w:val="000000"/>
                <w:kern w:val="0"/>
                <w:szCs w:val="21"/>
              </w:rPr>
              <w:t>和耐久性）</w:t>
            </w:r>
          </w:p>
        </w:tc>
        <w:tc>
          <w:tcPr>
            <w:tcW w:w="2106" w:type="pct"/>
            <w:gridSpan w:val="2"/>
            <w:vAlign w:val="center"/>
          </w:tcPr>
          <w:p w14:paraId="20A4516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座面和椅背静载荷试验</w:t>
            </w:r>
          </w:p>
        </w:tc>
        <w:tc>
          <w:tcPr>
            <w:tcW w:w="1402" w:type="pct"/>
            <w:vMerge w:val="restart"/>
            <w:vAlign w:val="center"/>
          </w:tcPr>
          <w:p w14:paraId="5AD4448B" w14:textId="0A165444"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GB/T 10357.3</w:t>
            </w:r>
            <w:r w:rsidR="00F20354">
              <w:rPr>
                <w:rFonts w:hint="eastAsia"/>
              </w:rPr>
              <w:t>—</w:t>
            </w:r>
            <w:r>
              <w:rPr>
                <w:rFonts w:ascii="Times New Roman" w:hAnsi="Times New Roman"/>
                <w:color w:val="000000"/>
                <w:kern w:val="0"/>
                <w:szCs w:val="21"/>
              </w:rPr>
              <w:t>2013</w:t>
            </w:r>
          </w:p>
        </w:tc>
      </w:tr>
      <w:tr w:rsidR="00F2307D" w14:paraId="59CCDA01" w14:textId="77777777" w:rsidTr="00202714">
        <w:trPr>
          <w:trHeight w:val="454"/>
          <w:jc w:val="center"/>
        </w:trPr>
        <w:tc>
          <w:tcPr>
            <w:tcW w:w="462" w:type="pct"/>
            <w:vAlign w:val="center"/>
          </w:tcPr>
          <w:p w14:paraId="3D2EDF10"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21</w:t>
            </w:r>
          </w:p>
        </w:tc>
        <w:tc>
          <w:tcPr>
            <w:tcW w:w="1030" w:type="pct"/>
            <w:vMerge/>
            <w:vAlign w:val="center"/>
          </w:tcPr>
          <w:p w14:paraId="4A304BF1"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39DE424E"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椅腿前向静载荷试验</w:t>
            </w:r>
          </w:p>
        </w:tc>
        <w:tc>
          <w:tcPr>
            <w:tcW w:w="1402" w:type="pct"/>
            <w:vMerge/>
            <w:vAlign w:val="center"/>
          </w:tcPr>
          <w:p w14:paraId="1EA27771" w14:textId="77777777" w:rsidR="00F2307D" w:rsidRDefault="00F2307D">
            <w:pPr>
              <w:widowControl/>
              <w:jc w:val="center"/>
              <w:rPr>
                <w:rFonts w:ascii="Times New Roman" w:hAnsi="Times New Roman"/>
                <w:color w:val="000000"/>
                <w:kern w:val="0"/>
                <w:szCs w:val="21"/>
              </w:rPr>
            </w:pPr>
          </w:p>
        </w:tc>
      </w:tr>
      <w:tr w:rsidR="00F2307D" w14:paraId="00AFE663" w14:textId="77777777" w:rsidTr="00202714">
        <w:trPr>
          <w:trHeight w:val="454"/>
          <w:jc w:val="center"/>
        </w:trPr>
        <w:tc>
          <w:tcPr>
            <w:tcW w:w="462" w:type="pct"/>
            <w:vAlign w:val="center"/>
          </w:tcPr>
          <w:p w14:paraId="22D43BCC"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1030" w:type="pct"/>
            <w:vMerge/>
            <w:vAlign w:val="center"/>
          </w:tcPr>
          <w:p w14:paraId="4306B602"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73814DB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椅腿侧向静载荷试验</w:t>
            </w:r>
          </w:p>
        </w:tc>
        <w:tc>
          <w:tcPr>
            <w:tcW w:w="1402" w:type="pct"/>
            <w:vMerge/>
            <w:vAlign w:val="center"/>
          </w:tcPr>
          <w:p w14:paraId="428EF092" w14:textId="77777777" w:rsidR="00F2307D" w:rsidRDefault="00F2307D">
            <w:pPr>
              <w:widowControl/>
              <w:jc w:val="center"/>
              <w:rPr>
                <w:rFonts w:ascii="Times New Roman" w:hAnsi="Times New Roman"/>
                <w:color w:val="000000"/>
                <w:kern w:val="0"/>
                <w:szCs w:val="21"/>
              </w:rPr>
            </w:pPr>
          </w:p>
        </w:tc>
      </w:tr>
      <w:tr w:rsidR="00F2307D" w14:paraId="434E11F9" w14:textId="77777777" w:rsidTr="00202714">
        <w:trPr>
          <w:trHeight w:val="454"/>
          <w:jc w:val="center"/>
        </w:trPr>
        <w:tc>
          <w:tcPr>
            <w:tcW w:w="462" w:type="pct"/>
            <w:vAlign w:val="center"/>
          </w:tcPr>
          <w:p w14:paraId="7726132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1030" w:type="pct"/>
            <w:vMerge/>
            <w:vAlign w:val="center"/>
          </w:tcPr>
          <w:p w14:paraId="0ABA4319"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26ACD97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座面冲击试验</w:t>
            </w:r>
          </w:p>
        </w:tc>
        <w:tc>
          <w:tcPr>
            <w:tcW w:w="1402" w:type="pct"/>
            <w:vMerge/>
            <w:vAlign w:val="center"/>
          </w:tcPr>
          <w:p w14:paraId="501EA934" w14:textId="77777777" w:rsidR="00F2307D" w:rsidRDefault="00F2307D">
            <w:pPr>
              <w:widowControl/>
              <w:jc w:val="center"/>
              <w:rPr>
                <w:rFonts w:ascii="Times New Roman" w:hAnsi="Times New Roman"/>
                <w:color w:val="000000"/>
                <w:kern w:val="0"/>
                <w:szCs w:val="21"/>
              </w:rPr>
            </w:pPr>
          </w:p>
        </w:tc>
      </w:tr>
      <w:tr w:rsidR="00F2307D" w14:paraId="2FCB0AD6" w14:textId="77777777" w:rsidTr="00202714">
        <w:trPr>
          <w:trHeight w:val="454"/>
          <w:jc w:val="center"/>
        </w:trPr>
        <w:tc>
          <w:tcPr>
            <w:tcW w:w="462" w:type="pct"/>
            <w:vAlign w:val="center"/>
          </w:tcPr>
          <w:p w14:paraId="25144E6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1030" w:type="pct"/>
            <w:vMerge/>
            <w:vAlign w:val="center"/>
          </w:tcPr>
          <w:p w14:paraId="170FBFAC"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5238FA8E"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跌落试验</w:t>
            </w:r>
          </w:p>
        </w:tc>
        <w:tc>
          <w:tcPr>
            <w:tcW w:w="1402" w:type="pct"/>
            <w:vMerge/>
            <w:vAlign w:val="center"/>
          </w:tcPr>
          <w:p w14:paraId="6EF107F4" w14:textId="77777777" w:rsidR="00F2307D" w:rsidRDefault="00F2307D">
            <w:pPr>
              <w:widowControl/>
              <w:jc w:val="center"/>
              <w:rPr>
                <w:rFonts w:ascii="Times New Roman" w:hAnsi="Times New Roman"/>
                <w:color w:val="000000"/>
                <w:kern w:val="0"/>
                <w:szCs w:val="21"/>
              </w:rPr>
            </w:pPr>
          </w:p>
        </w:tc>
      </w:tr>
      <w:tr w:rsidR="00F2307D" w14:paraId="56FA0836" w14:textId="77777777" w:rsidTr="00202714">
        <w:trPr>
          <w:trHeight w:val="454"/>
          <w:jc w:val="center"/>
        </w:trPr>
        <w:tc>
          <w:tcPr>
            <w:tcW w:w="462" w:type="pct"/>
            <w:vAlign w:val="center"/>
          </w:tcPr>
          <w:p w14:paraId="1B6B7C80"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25</w:t>
            </w:r>
          </w:p>
        </w:tc>
        <w:tc>
          <w:tcPr>
            <w:tcW w:w="1030" w:type="pct"/>
            <w:vAlign w:val="center"/>
          </w:tcPr>
          <w:p w14:paraId="0593FC4A" w14:textId="77777777" w:rsidR="00F2307D" w:rsidRDefault="00E755C7">
            <w:pPr>
              <w:jc w:val="center"/>
              <w:rPr>
                <w:rFonts w:ascii="Times New Roman" w:hAnsi="Times New Roman"/>
                <w:color w:val="000000"/>
                <w:kern w:val="0"/>
                <w:szCs w:val="21"/>
              </w:rPr>
            </w:pPr>
            <w:r>
              <w:rPr>
                <w:rFonts w:ascii="Times New Roman" w:hAnsi="Times New Roman"/>
                <w:color w:val="000000"/>
                <w:kern w:val="0"/>
                <w:szCs w:val="21"/>
              </w:rPr>
              <w:t>力学性能（椅、</w:t>
            </w:r>
            <w:proofErr w:type="gramStart"/>
            <w:r>
              <w:rPr>
                <w:rFonts w:ascii="Times New Roman" w:hAnsi="Times New Roman"/>
                <w:color w:val="000000"/>
                <w:kern w:val="0"/>
                <w:szCs w:val="21"/>
              </w:rPr>
              <w:t>凳类稳定性</w:t>
            </w:r>
            <w:proofErr w:type="gramEnd"/>
            <w:r>
              <w:rPr>
                <w:rFonts w:ascii="Times New Roman" w:hAnsi="Times New Roman"/>
                <w:color w:val="000000"/>
                <w:kern w:val="0"/>
                <w:szCs w:val="21"/>
              </w:rPr>
              <w:t>）</w:t>
            </w:r>
          </w:p>
        </w:tc>
        <w:tc>
          <w:tcPr>
            <w:tcW w:w="2106" w:type="pct"/>
            <w:gridSpan w:val="2"/>
            <w:vAlign w:val="center"/>
          </w:tcPr>
          <w:p w14:paraId="194268C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稳定性</w:t>
            </w:r>
          </w:p>
        </w:tc>
        <w:tc>
          <w:tcPr>
            <w:tcW w:w="1402" w:type="pct"/>
            <w:vAlign w:val="center"/>
          </w:tcPr>
          <w:p w14:paraId="23BAF948" w14:textId="1E0A535C"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GB/T 10357.2</w:t>
            </w:r>
            <w:r w:rsidR="00F20354">
              <w:rPr>
                <w:rFonts w:hint="eastAsia"/>
              </w:rPr>
              <w:t>—</w:t>
            </w:r>
            <w:r>
              <w:rPr>
                <w:rFonts w:ascii="Times New Roman" w:hAnsi="Times New Roman"/>
                <w:color w:val="000000"/>
                <w:kern w:val="0"/>
                <w:szCs w:val="21"/>
              </w:rPr>
              <w:t>2013</w:t>
            </w:r>
          </w:p>
        </w:tc>
      </w:tr>
      <w:tr w:rsidR="00F2307D" w14:paraId="7017D209" w14:textId="77777777" w:rsidTr="00202714">
        <w:trPr>
          <w:trHeight w:val="454"/>
          <w:jc w:val="center"/>
        </w:trPr>
        <w:tc>
          <w:tcPr>
            <w:tcW w:w="462" w:type="pct"/>
            <w:vAlign w:val="center"/>
          </w:tcPr>
          <w:p w14:paraId="5119DD47"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26</w:t>
            </w:r>
          </w:p>
        </w:tc>
        <w:tc>
          <w:tcPr>
            <w:tcW w:w="1030" w:type="pct"/>
            <w:vMerge w:val="restart"/>
            <w:vAlign w:val="center"/>
          </w:tcPr>
          <w:p w14:paraId="684AC89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力学性能（单层床强度和耐久性）</w:t>
            </w:r>
          </w:p>
        </w:tc>
        <w:tc>
          <w:tcPr>
            <w:tcW w:w="2106" w:type="pct"/>
            <w:gridSpan w:val="2"/>
            <w:vAlign w:val="center"/>
          </w:tcPr>
          <w:p w14:paraId="17FDC32A"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床铺面集中静载荷试验</w:t>
            </w:r>
          </w:p>
        </w:tc>
        <w:tc>
          <w:tcPr>
            <w:tcW w:w="1402" w:type="pct"/>
            <w:vMerge w:val="restart"/>
            <w:vAlign w:val="center"/>
          </w:tcPr>
          <w:p w14:paraId="7D34DD39" w14:textId="42B50536"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GB/T 10357.6</w:t>
            </w:r>
            <w:r w:rsidR="00F20354">
              <w:rPr>
                <w:rFonts w:hint="eastAsia"/>
              </w:rPr>
              <w:t>—</w:t>
            </w:r>
            <w:r>
              <w:rPr>
                <w:rFonts w:ascii="Times New Roman" w:hAnsi="Times New Roman"/>
                <w:color w:val="000000"/>
                <w:kern w:val="0"/>
                <w:szCs w:val="21"/>
              </w:rPr>
              <w:t>2013</w:t>
            </w:r>
          </w:p>
        </w:tc>
      </w:tr>
      <w:tr w:rsidR="00F2307D" w14:paraId="52F9B5FE" w14:textId="77777777" w:rsidTr="00202714">
        <w:trPr>
          <w:trHeight w:val="454"/>
          <w:jc w:val="center"/>
        </w:trPr>
        <w:tc>
          <w:tcPr>
            <w:tcW w:w="462" w:type="pct"/>
            <w:vAlign w:val="center"/>
          </w:tcPr>
          <w:p w14:paraId="5CE186B3"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27</w:t>
            </w:r>
          </w:p>
        </w:tc>
        <w:tc>
          <w:tcPr>
            <w:tcW w:w="1030" w:type="pct"/>
            <w:vMerge/>
            <w:vAlign w:val="center"/>
          </w:tcPr>
          <w:p w14:paraId="52F95C5D"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435945BC" w14:textId="77777777" w:rsidR="00F2307D" w:rsidRDefault="00E755C7">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床长边</w:t>
            </w:r>
            <w:proofErr w:type="gramEnd"/>
            <w:r>
              <w:rPr>
                <w:rFonts w:ascii="Times New Roman" w:hAnsi="Times New Roman"/>
                <w:color w:val="000000"/>
                <w:kern w:val="0"/>
                <w:szCs w:val="21"/>
              </w:rPr>
              <w:t>静载荷试验</w:t>
            </w:r>
          </w:p>
        </w:tc>
        <w:tc>
          <w:tcPr>
            <w:tcW w:w="1402" w:type="pct"/>
            <w:vMerge/>
            <w:vAlign w:val="center"/>
          </w:tcPr>
          <w:p w14:paraId="52D510FE" w14:textId="77777777" w:rsidR="00F2307D" w:rsidRDefault="00F2307D">
            <w:pPr>
              <w:widowControl/>
              <w:jc w:val="center"/>
              <w:rPr>
                <w:rFonts w:ascii="Times New Roman" w:hAnsi="Times New Roman"/>
                <w:color w:val="000000"/>
                <w:kern w:val="0"/>
                <w:szCs w:val="21"/>
              </w:rPr>
            </w:pPr>
          </w:p>
        </w:tc>
      </w:tr>
      <w:tr w:rsidR="00F2307D" w14:paraId="61F82DFF" w14:textId="77777777" w:rsidTr="00202714">
        <w:trPr>
          <w:trHeight w:val="454"/>
          <w:jc w:val="center"/>
        </w:trPr>
        <w:tc>
          <w:tcPr>
            <w:tcW w:w="462" w:type="pct"/>
            <w:vAlign w:val="center"/>
          </w:tcPr>
          <w:p w14:paraId="50C7A35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28</w:t>
            </w:r>
          </w:p>
        </w:tc>
        <w:tc>
          <w:tcPr>
            <w:tcW w:w="1030" w:type="pct"/>
            <w:vMerge/>
            <w:vAlign w:val="center"/>
          </w:tcPr>
          <w:p w14:paraId="15D156A9" w14:textId="77777777" w:rsidR="00F2307D" w:rsidRDefault="00F2307D">
            <w:pPr>
              <w:widowControl/>
              <w:jc w:val="center"/>
              <w:rPr>
                <w:rFonts w:ascii="Times New Roman" w:hAnsi="Times New Roman"/>
                <w:color w:val="000000"/>
                <w:kern w:val="0"/>
                <w:szCs w:val="21"/>
              </w:rPr>
            </w:pPr>
          </w:p>
        </w:tc>
        <w:tc>
          <w:tcPr>
            <w:tcW w:w="2106" w:type="pct"/>
            <w:gridSpan w:val="2"/>
            <w:vAlign w:val="center"/>
          </w:tcPr>
          <w:p w14:paraId="1AF64B0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床铺面冲击载荷试验</w:t>
            </w:r>
          </w:p>
        </w:tc>
        <w:tc>
          <w:tcPr>
            <w:tcW w:w="1402" w:type="pct"/>
            <w:vMerge/>
            <w:vAlign w:val="center"/>
          </w:tcPr>
          <w:p w14:paraId="75A8A613" w14:textId="77777777" w:rsidR="00F2307D" w:rsidRDefault="00F2307D">
            <w:pPr>
              <w:widowControl/>
              <w:jc w:val="center"/>
              <w:rPr>
                <w:rFonts w:ascii="Times New Roman" w:hAnsi="Times New Roman"/>
                <w:color w:val="000000"/>
                <w:kern w:val="0"/>
                <w:szCs w:val="21"/>
              </w:rPr>
            </w:pPr>
          </w:p>
        </w:tc>
      </w:tr>
      <w:tr w:rsidR="00F2307D" w14:paraId="35B71B00" w14:textId="77777777" w:rsidTr="00202714">
        <w:trPr>
          <w:trHeight w:val="454"/>
          <w:jc w:val="center"/>
        </w:trPr>
        <w:tc>
          <w:tcPr>
            <w:tcW w:w="462" w:type="pct"/>
            <w:vAlign w:val="center"/>
          </w:tcPr>
          <w:p w14:paraId="09097CA9"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29</w:t>
            </w:r>
          </w:p>
        </w:tc>
        <w:tc>
          <w:tcPr>
            <w:tcW w:w="1030" w:type="pct"/>
            <w:vMerge w:val="restart"/>
            <w:vAlign w:val="center"/>
          </w:tcPr>
          <w:p w14:paraId="4C001DE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有害物质限量</w:t>
            </w:r>
          </w:p>
        </w:tc>
        <w:tc>
          <w:tcPr>
            <w:tcW w:w="889" w:type="pct"/>
            <w:vMerge w:val="restart"/>
            <w:vAlign w:val="center"/>
          </w:tcPr>
          <w:p w14:paraId="3B8753AC"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邻苯二甲酸酯</w:t>
            </w:r>
          </w:p>
        </w:tc>
        <w:tc>
          <w:tcPr>
            <w:tcW w:w="1217" w:type="pct"/>
            <w:vAlign w:val="center"/>
          </w:tcPr>
          <w:p w14:paraId="51A1CEE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DBP</w:t>
            </w:r>
          </w:p>
        </w:tc>
        <w:tc>
          <w:tcPr>
            <w:tcW w:w="1402" w:type="pct"/>
            <w:vMerge w:val="restart"/>
            <w:vAlign w:val="center"/>
          </w:tcPr>
          <w:p w14:paraId="478ADFC3" w14:textId="1DB096D2"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 28481</w:t>
            </w:r>
            <w:r w:rsidR="00F20354">
              <w:rPr>
                <w:rFonts w:hint="eastAsia"/>
              </w:rPr>
              <w:t>—</w:t>
            </w:r>
            <w:r>
              <w:rPr>
                <w:rFonts w:ascii="Times New Roman" w:hAnsi="Times New Roman"/>
                <w:color w:val="000000"/>
                <w:kern w:val="0"/>
                <w:szCs w:val="21"/>
              </w:rPr>
              <w:t>2012</w:t>
            </w:r>
          </w:p>
        </w:tc>
      </w:tr>
      <w:tr w:rsidR="00F2307D" w14:paraId="3A78D134" w14:textId="77777777" w:rsidTr="00202714">
        <w:trPr>
          <w:trHeight w:val="454"/>
          <w:jc w:val="center"/>
        </w:trPr>
        <w:tc>
          <w:tcPr>
            <w:tcW w:w="462" w:type="pct"/>
            <w:vAlign w:val="center"/>
          </w:tcPr>
          <w:p w14:paraId="4C939CB3"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1030" w:type="pct"/>
            <w:vMerge/>
            <w:vAlign w:val="center"/>
          </w:tcPr>
          <w:p w14:paraId="55EF66BA"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5C44D665" w14:textId="77777777" w:rsidR="00F2307D" w:rsidRDefault="00F2307D">
            <w:pPr>
              <w:widowControl/>
              <w:jc w:val="center"/>
              <w:rPr>
                <w:rFonts w:ascii="Times New Roman" w:hAnsi="Times New Roman"/>
                <w:color w:val="000000"/>
                <w:kern w:val="0"/>
                <w:szCs w:val="21"/>
              </w:rPr>
            </w:pPr>
          </w:p>
        </w:tc>
        <w:tc>
          <w:tcPr>
            <w:tcW w:w="1217" w:type="pct"/>
            <w:vAlign w:val="center"/>
          </w:tcPr>
          <w:p w14:paraId="57E1BEF3"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BBP</w:t>
            </w:r>
          </w:p>
        </w:tc>
        <w:tc>
          <w:tcPr>
            <w:tcW w:w="1402" w:type="pct"/>
            <w:vMerge/>
            <w:vAlign w:val="center"/>
          </w:tcPr>
          <w:p w14:paraId="0A675D74" w14:textId="77777777" w:rsidR="00F2307D" w:rsidRDefault="00F2307D">
            <w:pPr>
              <w:widowControl/>
              <w:jc w:val="center"/>
              <w:rPr>
                <w:rFonts w:ascii="Times New Roman" w:hAnsi="Times New Roman"/>
                <w:color w:val="000000"/>
                <w:kern w:val="0"/>
                <w:szCs w:val="21"/>
              </w:rPr>
            </w:pPr>
          </w:p>
        </w:tc>
      </w:tr>
      <w:tr w:rsidR="00F2307D" w14:paraId="1714CA08" w14:textId="77777777" w:rsidTr="00202714">
        <w:trPr>
          <w:trHeight w:val="454"/>
          <w:jc w:val="center"/>
        </w:trPr>
        <w:tc>
          <w:tcPr>
            <w:tcW w:w="462" w:type="pct"/>
            <w:vAlign w:val="center"/>
          </w:tcPr>
          <w:p w14:paraId="47FE9C38"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31</w:t>
            </w:r>
          </w:p>
        </w:tc>
        <w:tc>
          <w:tcPr>
            <w:tcW w:w="1030" w:type="pct"/>
            <w:vMerge/>
            <w:vAlign w:val="center"/>
          </w:tcPr>
          <w:p w14:paraId="0DBBF281"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7E52F063" w14:textId="77777777" w:rsidR="00F2307D" w:rsidRDefault="00F2307D">
            <w:pPr>
              <w:widowControl/>
              <w:jc w:val="center"/>
              <w:rPr>
                <w:rFonts w:ascii="Times New Roman" w:hAnsi="Times New Roman"/>
                <w:color w:val="000000"/>
                <w:kern w:val="0"/>
                <w:szCs w:val="21"/>
              </w:rPr>
            </w:pPr>
          </w:p>
        </w:tc>
        <w:tc>
          <w:tcPr>
            <w:tcW w:w="1217" w:type="pct"/>
            <w:vAlign w:val="center"/>
          </w:tcPr>
          <w:p w14:paraId="4EDD08A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DEHP</w:t>
            </w:r>
          </w:p>
        </w:tc>
        <w:tc>
          <w:tcPr>
            <w:tcW w:w="1402" w:type="pct"/>
            <w:vMerge/>
            <w:vAlign w:val="center"/>
          </w:tcPr>
          <w:p w14:paraId="10A14D07" w14:textId="77777777" w:rsidR="00F2307D" w:rsidRDefault="00F2307D">
            <w:pPr>
              <w:widowControl/>
              <w:jc w:val="center"/>
              <w:rPr>
                <w:rFonts w:ascii="Times New Roman" w:hAnsi="Times New Roman"/>
                <w:color w:val="000000"/>
                <w:kern w:val="0"/>
                <w:szCs w:val="21"/>
              </w:rPr>
            </w:pPr>
          </w:p>
        </w:tc>
      </w:tr>
      <w:tr w:rsidR="00F2307D" w14:paraId="022C8CCD" w14:textId="77777777" w:rsidTr="00202714">
        <w:trPr>
          <w:trHeight w:val="454"/>
          <w:jc w:val="center"/>
        </w:trPr>
        <w:tc>
          <w:tcPr>
            <w:tcW w:w="462" w:type="pct"/>
            <w:vAlign w:val="center"/>
          </w:tcPr>
          <w:p w14:paraId="1397492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32</w:t>
            </w:r>
          </w:p>
        </w:tc>
        <w:tc>
          <w:tcPr>
            <w:tcW w:w="1030" w:type="pct"/>
            <w:vMerge/>
            <w:vAlign w:val="center"/>
          </w:tcPr>
          <w:p w14:paraId="2DDD67FB"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21EADEBA" w14:textId="77777777" w:rsidR="00F2307D" w:rsidRDefault="00F2307D">
            <w:pPr>
              <w:widowControl/>
              <w:jc w:val="center"/>
              <w:rPr>
                <w:rFonts w:ascii="Times New Roman" w:hAnsi="Times New Roman"/>
                <w:color w:val="000000"/>
                <w:kern w:val="0"/>
                <w:szCs w:val="21"/>
              </w:rPr>
            </w:pPr>
          </w:p>
        </w:tc>
        <w:tc>
          <w:tcPr>
            <w:tcW w:w="1217" w:type="pct"/>
            <w:vAlign w:val="center"/>
          </w:tcPr>
          <w:p w14:paraId="4A6F578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DNOP</w:t>
            </w:r>
          </w:p>
        </w:tc>
        <w:tc>
          <w:tcPr>
            <w:tcW w:w="1402" w:type="pct"/>
            <w:vMerge/>
            <w:vAlign w:val="center"/>
          </w:tcPr>
          <w:p w14:paraId="2C7E3E66" w14:textId="77777777" w:rsidR="00F2307D" w:rsidRDefault="00F2307D">
            <w:pPr>
              <w:widowControl/>
              <w:jc w:val="center"/>
              <w:rPr>
                <w:rFonts w:ascii="Times New Roman" w:hAnsi="Times New Roman"/>
                <w:color w:val="000000"/>
                <w:kern w:val="0"/>
                <w:szCs w:val="21"/>
              </w:rPr>
            </w:pPr>
          </w:p>
        </w:tc>
      </w:tr>
      <w:tr w:rsidR="00F2307D" w14:paraId="6F2C25D9" w14:textId="77777777" w:rsidTr="00202714">
        <w:trPr>
          <w:trHeight w:val="454"/>
          <w:jc w:val="center"/>
        </w:trPr>
        <w:tc>
          <w:tcPr>
            <w:tcW w:w="462" w:type="pct"/>
            <w:vAlign w:val="center"/>
          </w:tcPr>
          <w:p w14:paraId="02223B5D"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33</w:t>
            </w:r>
          </w:p>
        </w:tc>
        <w:tc>
          <w:tcPr>
            <w:tcW w:w="1030" w:type="pct"/>
            <w:vMerge/>
            <w:vAlign w:val="center"/>
          </w:tcPr>
          <w:p w14:paraId="764C1CAD"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60F50B08" w14:textId="77777777" w:rsidR="00F2307D" w:rsidRDefault="00F2307D">
            <w:pPr>
              <w:widowControl/>
              <w:jc w:val="center"/>
              <w:rPr>
                <w:rFonts w:ascii="Times New Roman" w:hAnsi="Times New Roman"/>
                <w:color w:val="000000"/>
                <w:kern w:val="0"/>
                <w:szCs w:val="21"/>
              </w:rPr>
            </w:pPr>
          </w:p>
        </w:tc>
        <w:tc>
          <w:tcPr>
            <w:tcW w:w="1217" w:type="pct"/>
            <w:vAlign w:val="center"/>
          </w:tcPr>
          <w:p w14:paraId="33B523B9"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DINP</w:t>
            </w:r>
          </w:p>
        </w:tc>
        <w:tc>
          <w:tcPr>
            <w:tcW w:w="1402" w:type="pct"/>
            <w:vMerge/>
            <w:vAlign w:val="center"/>
          </w:tcPr>
          <w:p w14:paraId="472846AD" w14:textId="77777777" w:rsidR="00F2307D" w:rsidRDefault="00F2307D">
            <w:pPr>
              <w:widowControl/>
              <w:jc w:val="center"/>
              <w:rPr>
                <w:rFonts w:ascii="Times New Roman" w:hAnsi="Times New Roman"/>
                <w:color w:val="000000"/>
                <w:kern w:val="0"/>
                <w:szCs w:val="21"/>
              </w:rPr>
            </w:pPr>
          </w:p>
        </w:tc>
      </w:tr>
      <w:tr w:rsidR="00F2307D" w14:paraId="5F568ED9" w14:textId="77777777" w:rsidTr="00202714">
        <w:trPr>
          <w:trHeight w:val="454"/>
          <w:jc w:val="center"/>
        </w:trPr>
        <w:tc>
          <w:tcPr>
            <w:tcW w:w="462" w:type="pct"/>
            <w:vAlign w:val="center"/>
          </w:tcPr>
          <w:p w14:paraId="0BB4EF38"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34</w:t>
            </w:r>
          </w:p>
        </w:tc>
        <w:tc>
          <w:tcPr>
            <w:tcW w:w="1030" w:type="pct"/>
            <w:vMerge/>
            <w:vAlign w:val="center"/>
          </w:tcPr>
          <w:p w14:paraId="3749F4B6"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2B3DBAE4" w14:textId="77777777" w:rsidR="00F2307D" w:rsidRDefault="00F2307D">
            <w:pPr>
              <w:widowControl/>
              <w:jc w:val="center"/>
              <w:rPr>
                <w:rFonts w:ascii="Times New Roman" w:hAnsi="Times New Roman"/>
                <w:color w:val="000000"/>
                <w:kern w:val="0"/>
                <w:szCs w:val="21"/>
              </w:rPr>
            </w:pPr>
          </w:p>
        </w:tc>
        <w:tc>
          <w:tcPr>
            <w:tcW w:w="1217" w:type="pct"/>
            <w:vAlign w:val="center"/>
          </w:tcPr>
          <w:p w14:paraId="7A378F5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DIDP</w:t>
            </w:r>
          </w:p>
        </w:tc>
        <w:tc>
          <w:tcPr>
            <w:tcW w:w="1402" w:type="pct"/>
            <w:vMerge/>
            <w:vAlign w:val="center"/>
          </w:tcPr>
          <w:p w14:paraId="40823C78" w14:textId="77777777" w:rsidR="00F2307D" w:rsidRDefault="00F2307D">
            <w:pPr>
              <w:widowControl/>
              <w:jc w:val="center"/>
              <w:rPr>
                <w:rFonts w:ascii="Times New Roman" w:hAnsi="Times New Roman"/>
                <w:color w:val="000000"/>
                <w:kern w:val="0"/>
                <w:szCs w:val="21"/>
              </w:rPr>
            </w:pPr>
          </w:p>
        </w:tc>
      </w:tr>
      <w:tr w:rsidR="00F2307D" w14:paraId="7506B5A6" w14:textId="77777777" w:rsidTr="00202714">
        <w:trPr>
          <w:trHeight w:val="454"/>
          <w:jc w:val="center"/>
        </w:trPr>
        <w:tc>
          <w:tcPr>
            <w:tcW w:w="462" w:type="pct"/>
            <w:vAlign w:val="center"/>
          </w:tcPr>
          <w:p w14:paraId="16B3111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35</w:t>
            </w:r>
          </w:p>
        </w:tc>
        <w:tc>
          <w:tcPr>
            <w:tcW w:w="1030" w:type="pct"/>
            <w:vMerge/>
            <w:vAlign w:val="center"/>
          </w:tcPr>
          <w:p w14:paraId="6EA2AB24" w14:textId="77777777" w:rsidR="00F2307D" w:rsidRDefault="00F2307D">
            <w:pPr>
              <w:widowControl/>
              <w:jc w:val="center"/>
              <w:rPr>
                <w:rFonts w:ascii="Times New Roman" w:hAnsi="Times New Roman"/>
                <w:color w:val="000000"/>
                <w:kern w:val="0"/>
                <w:szCs w:val="21"/>
              </w:rPr>
            </w:pPr>
          </w:p>
        </w:tc>
        <w:tc>
          <w:tcPr>
            <w:tcW w:w="889" w:type="pct"/>
            <w:vMerge w:val="restart"/>
            <w:noWrap/>
            <w:vAlign w:val="center"/>
          </w:tcPr>
          <w:p w14:paraId="718C687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重金属</w:t>
            </w:r>
          </w:p>
        </w:tc>
        <w:tc>
          <w:tcPr>
            <w:tcW w:w="1217" w:type="pct"/>
            <w:vAlign w:val="center"/>
          </w:tcPr>
          <w:p w14:paraId="32911FCF"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可溶性铅</w:t>
            </w:r>
          </w:p>
        </w:tc>
        <w:tc>
          <w:tcPr>
            <w:tcW w:w="1402" w:type="pct"/>
            <w:vMerge w:val="restart"/>
            <w:noWrap/>
            <w:vAlign w:val="center"/>
          </w:tcPr>
          <w:p w14:paraId="047E1C0C" w14:textId="397CED3D"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 28481</w:t>
            </w:r>
            <w:r w:rsidR="00F20354">
              <w:rPr>
                <w:rFonts w:hint="eastAsia"/>
              </w:rPr>
              <w:t>—</w:t>
            </w:r>
            <w:r>
              <w:rPr>
                <w:rFonts w:ascii="Times New Roman" w:hAnsi="Times New Roman"/>
                <w:color w:val="000000"/>
                <w:kern w:val="0"/>
                <w:szCs w:val="21"/>
              </w:rPr>
              <w:t>2012</w:t>
            </w:r>
          </w:p>
        </w:tc>
      </w:tr>
      <w:tr w:rsidR="00F2307D" w14:paraId="5584DBBF" w14:textId="77777777" w:rsidTr="00202714">
        <w:trPr>
          <w:trHeight w:val="454"/>
          <w:jc w:val="center"/>
        </w:trPr>
        <w:tc>
          <w:tcPr>
            <w:tcW w:w="462" w:type="pct"/>
            <w:vAlign w:val="center"/>
          </w:tcPr>
          <w:p w14:paraId="1D73917A"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1030" w:type="pct"/>
            <w:vMerge/>
            <w:vAlign w:val="center"/>
          </w:tcPr>
          <w:p w14:paraId="75A0A5A5"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2EFFB137" w14:textId="77777777" w:rsidR="00F2307D" w:rsidRDefault="00F2307D">
            <w:pPr>
              <w:widowControl/>
              <w:jc w:val="center"/>
              <w:rPr>
                <w:rFonts w:ascii="Times New Roman" w:hAnsi="Times New Roman"/>
                <w:color w:val="000000"/>
                <w:kern w:val="0"/>
                <w:szCs w:val="21"/>
              </w:rPr>
            </w:pPr>
          </w:p>
        </w:tc>
        <w:tc>
          <w:tcPr>
            <w:tcW w:w="1217" w:type="pct"/>
            <w:vAlign w:val="center"/>
          </w:tcPr>
          <w:p w14:paraId="223E51A4"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可溶性镉</w:t>
            </w:r>
          </w:p>
        </w:tc>
        <w:tc>
          <w:tcPr>
            <w:tcW w:w="1402" w:type="pct"/>
            <w:vMerge/>
            <w:vAlign w:val="center"/>
          </w:tcPr>
          <w:p w14:paraId="4BCEBF11" w14:textId="77777777" w:rsidR="00F2307D" w:rsidRDefault="00F2307D">
            <w:pPr>
              <w:widowControl/>
              <w:jc w:val="center"/>
              <w:rPr>
                <w:rFonts w:ascii="Times New Roman" w:hAnsi="Times New Roman"/>
                <w:color w:val="000000"/>
                <w:kern w:val="0"/>
                <w:szCs w:val="21"/>
              </w:rPr>
            </w:pPr>
          </w:p>
        </w:tc>
      </w:tr>
      <w:tr w:rsidR="00F2307D" w14:paraId="3A759040" w14:textId="77777777" w:rsidTr="00202714">
        <w:trPr>
          <w:trHeight w:val="454"/>
          <w:jc w:val="center"/>
        </w:trPr>
        <w:tc>
          <w:tcPr>
            <w:tcW w:w="462" w:type="pct"/>
            <w:vAlign w:val="center"/>
          </w:tcPr>
          <w:p w14:paraId="64EF0FC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37</w:t>
            </w:r>
          </w:p>
        </w:tc>
        <w:tc>
          <w:tcPr>
            <w:tcW w:w="1030" w:type="pct"/>
            <w:vMerge/>
            <w:vAlign w:val="center"/>
          </w:tcPr>
          <w:p w14:paraId="423DBDAE"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55A29B5E" w14:textId="77777777" w:rsidR="00F2307D" w:rsidRDefault="00F2307D">
            <w:pPr>
              <w:widowControl/>
              <w:jc w:val="center"/>
              <w:rPr>
                <w:rFonts w:ascii="Times New Roman" w:hAnsi="Times New Roman"/>
                <w:color w:val="000000"/>
                <w:kern w:val="0"/>
                <w:szCs w:val="21"/>
              </w:rPr>
            </w:pPr>
          </w:p>
        </w:tc>
        <w:tc>
          <w:tcPr>
            <w:tcW w:w="1217" w:type="pct"/>
            <w:vAlign w:val="center"/>
          </w:tcPr>
          <w:p w14:paraId="5A2F5936"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可溶性铬</w:t>
            </w:r>
          </w:p>
        </w:tc>
        <w:tc>
          <w:tcPr>
            <w:tcW w:w="1402" w:type="pct"/>
            <w:vMerge/>
            <w:vAlign w:val="center"/>
          </w:tcPr>
          <w:p w14:paraId="657E5451" w14:textId="77777777" w:rsidR="00F2307D" w:rsidRDefault="00F2307D">
            <w:pPr>
              <w:widowControl/>
              <w:jc w:val="center"/>
              <w:rPr>
                <w:rFonts w:ascii="Times New Roman" w:hAnsi="Times New Roman"/>
                <w:color w:val="000000"/>
                <w:kern w:val="0"/>
                <w:szCs w:val="21"/>
              </w:rPr>
            </w:pPr>
          </w:p>
        </w:tc>
      </w:tr>
      <w:tr w:rsidR="00F2307D" w14:paraId="5ADE06ED" w14:textId="77777777" w:rsidTr="00202714">
        <w:trPr>
          <w:trHeight w:val="454"/>
          <w:jc w:val="center"/>
        </w:trPr>
        <w:tc>
          <w:tcPr>
            <w:tcW w:w="462" w:type="pct"/>
            <w:vAlign w:val="center"/>
          </w:tcPr>
          <w:p w14:paraId="4B2BC58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38</w:t>
            </w:r>
          </w:p>
        </w:tc>
        <w:tc>
          <w:tcPr>
            <w:tcW w:w="1030" w:type="pct"/>
            <w:vMerge/>
            <w:vAlign w:val="center"/>
          </w:tcPr>
          <w:p w14:paraId="6944F965"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16208A7C" w14:textId="77777777" w:rsidR="00F2307D" w:rsidRDefault="00F2307D">
            <w:pPr>
              <w:widowControl/>
              <w:jc w:val="center"/>
              <w:rPr>
                <w:rFonts w:ascii="Times New Roman" w:hAnsi="Times New Roman"/>
                <w:color w:val="000000"/>
                <w:kern w:val="0"/>
                <w:szCs w:val="21"/>
              </w:rPr>
            </w:pPr>
          </w:p>
        </w:tc>
        <w:tc>
          <w:tcPr>
            <w:tcW w:w="1217" w:type="pct"/>
            <w:vAlign w:val="center"/>
          </w:tcPr>
          <w:p w14:paraId="796D750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可溶性汞</w:t>
            </w:r>
          </w:p>
        </w:tc>
        <w:tc>
          <w:tcPr>
            <w:tcW w:w="1402" w:type="pct"/>
            <w:vMerge/>
            <w:vAlign w:val="center"/>
          </w:tcPr>
          <w:p w14:paraId="772ED63E" w14:textId="77777777" w:rsidR="00F2307D" w:rsidRDefault="00F2307D">
            <w:pPr>
              <w:widowControl/>
              <w:jc w:val="center"/>
              <w:rPr>
                <w:rFonts w:ascii="Times New Roman" w:hAnsi="Times New Roman"/>
                <w:color w:val="000000"/>
                <w:kern w:val="0"/>
                <w:szCs w:val="21"/>
              </w:rPr>
            </w:pPr>
          </w:p>
        </w:tc>
      </w:tr>
      <w:tr w:rsidR="00F2307D" w14:paraId="71AF41AE" w14:textId="77777777" w:rsidTr="00202714">
        <w:trPr>
          <w:trHeight w:val="454"/>
          <w:jc w:val="center"/>
        </w:trPr>
        <w:tc>
          <w:tcPr>
            <w:tcW w:w="462" w:type="pct"/>
            <w:vAlign w:val="center"/>
          </w:tcPr>
          <w:p w14:paraId="12BC9C6D"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39</w:t>
            </w:r>
          </w:p>
        </w:tc>
        <w:tc>
          <w:tcPr>
            <w:tcW w:w="1030" w:type="pct"/>
            <w:vMerge/>
            <w:vAlign w:val="center"/>
          </w:tcPr>
          <w:p w14:paraId="68C9AB68" w14:textId="77777777" w:rsidR="00F2307D" w:rsidRDefault="00F2307D">
            <w:pPr>
              <w:widowControl/>
              <w:jc w:val="center"/>
              <w:rPr>
                <w:rFonts w:ascii="Times New Roman" w:hAnsi="Times New Roman"/>
                <w:color w:val="000000"/>
                <w:kern w:val="0"/>
                <w:szCs w:val="21"/>
              </w:rPr>
            </w:pPr>
          </w:p>
        </w:tc>
        <w:tc>
          <w:tcPr>
            <w:tcW w:w="889" w:type="pct"/>
            <w:vMerge w:val="restart"/>
            <w:noWrap/>
            <w:vAlign w:val="center"/>
          </w:tcPr>
          <w:p w14:paraId="1BC19C4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多环芳烃</w:t>
            </w:r>
          </w:p>
        </w:tc>
        <w:tc>
          <w:tcPr>
            <w:tcW w:w="1217" w:type="pct"/>
            <w:vAlign w:val="center"/>
          </w:tcPr>
          <w:p w14:paraId="6D9463E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苯并</w:t>
            </w:r>
            <w:r>
              <w:rPr>
                <w:rFonts w:ascii="Times New Roman" w:hAnsi="Times New Roman"/>
                <w:color w:val="000000"/>
                <w:kern w:val="0"/>
                <w:szCs w:val="21"/>
              </w:rPr>
              <w:t>[α]</w:t>
            </w:r>
            <w:proofErr w:type="gramStart"/>
            <w:r>
              <w:rPr>
                <w:rFonts w:ascii="Times New Roman" w:hAnsi="Times New Roman"/>
                <w:color w:val="000000"/>
                <w:kern w:val="0"/>
                <w:szCs w:val="21"/>
              </w:rPr>
              <w:t>芘</w:t>
            </w:r>
            <w:proofErr w:type="gramEnd"/>
          </w:p>
        </w:tc>
        <w:tc>
          <w:tcPr>
            <w:tcW w:w="1402" w:type="pct"/>
            <w:vMerge w:val="restart"/>
            <w:noWrap/>
            <w:vAlign w:val="center"/>
          </w:tcPr>
          <w:p w14:paraId="70C932D0" w14:textId="78EE4A2C"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 28481</w:t>
            </w:r>
            <w:r w:rsidR="00F20354">
              <w:rPr>
                <w:rFonts w:hint="eastAsia"/>
              </w:rPr>
              <w:t>—</w:t>
            </w:r>
            <w:r>
              <w:rPr>
                <w:rFonts w:ascii="Times New Roman" w:hAnsi="Times New Roman"/>
                <w:color w:val="000000"/>
                <w:kern w:val="0"/>
                <w:szCs w:val="21"/>
              </w:rPr>
              <w:t>2012</w:t>
            </w:r>
          </w:p>
        </w:tc>
      </w:tr>
      <w:tr w:rsidR="00F2307D" w14:paraId="730FE98B" w14:textId="77777777" w:rsidTr="00202714">
        <w:trPr>
          <w:trHeight w:val="702"/>
          <w:jc w:val="center"/>
        </w:trPr>
        <w:tc>
          <w:tcPr>
            <w:tcW w:w="462" w:type="pct"/>
            <w:vAlign w:val="center"/>
          </w:tcPr>
          <w:p w14:paraId="6B77B49B"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1030" w:type="pct"/>
            <w:vMerge/>
            <w:vAlign w:val="center"/>
          </w:tcPr>
          <w:p w14:paraId="6A589D03" w14:textId="77777777" w:rsidR="00F2307D" w:rsidRDefault="00F2307D">
            <w:pPr>
              <w:widowControl/>
              <w:jc w:val="center"/>
              <w:rPr>
                <w:rFonts w:ascii="Times New Roman" w:hAnsi="Times New Roman"/>
                <w:color w:val="000000"/>
                <w:kern w:val="0"/>
                <w:szCs w:val="21"/>
              </w:rPr>
            </w:pPr>
          </w:p>
        </w:tc>
        <w:tc>
          <w:tcPr>
            <w:tcW w:w="889" w:type="pct"/>
            <w:vMerge/>
            <w:vAlign w:val="center"/>
          </w:tcPr>
          <w:p w14:paraId="648C5BEC" w14:textId="77777777" w:rsidR="00F2307D" w:rsidRDefault="00F2307D">
            <w:pPr>
              <w:widowControl/>
              <w:jc w:val="center"/>
              <w:rPr>
                <w:rFonts w:ascii="Times New Roman" w:hAnsi="Times New Roman"/>
                <w:color w:val="000000"/>
                <w:kern w:val="0"/>
                <w:szCs w:val="21"/>
              </w:rPr>
            </w:pPr>
          </w:p>
        </w:tc>
        <w:tc>
          <w:tcPr>
            <w:tcW w:w="1217" w:type="pct"/>
            <w:vAlign w:val="center"/>
          </w:tcPr>
          <w:p w14:paraId="77AF52C9"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16</w:t>
            </w:r>
            <w:r>
              <w:rPr>
                <w:rFonts w:ascii="Times New Roman" w:hAnsi="Times New Roman"/>
                <w:color w:val="000000"/>
                <w:kern w:val="0"/>
                <w:szCs w:val="21"/>
              </w:rPr>
              <w:t>种多环芳烃（</w:t>
            </w:r>
            <w:r>
              <w:rPr>
                <w:rFonts w:ascii="Times New Roman" w:hAnsi="Times New Roman"/>
                <w:color w:val="000000"/>
                <w:kern w:val="0"/>
                <w:szCs w:val="21"/>
              </w:rPr>
              <w:t>PAH</w:t>
            </w:r>
            <w:r>
              <w:rPr>
                <w:rFonts w:ascii="Times New Roman" w:hAnsi="Times New Roman"/>
                <w:color w:val="000000"/>
                <w:kern w:val="0"/>
                <w:szCs w:val="21"/>
              </w:rPr>
              <w:t>）总量</w:t>
            </w:r>
          </w:p>
        </w:tc>
        <w:tc>
          <w:tcPr>
            <w:tcW w:w="1402" w:type="pct"/>
            <w:vMerge/>
            <w:vAlign w:val="center"/>
          </w:tcPr>
          <w:p w14:paraId="1C07D1FF" w14:textId="77777777" w:rsidR="00F2307D" w:rsidRDefault="00F2307D">
            <w:pPr>
              <w:widowControl/>
              <w:jc w:val="center"/>
              <w:rPr>
                <w:rFonts w:ascii="Times New Roman" w:hAnsi="Times New Roman"/>
                <w:color w:val="000000"/>
                <w:kern w:val="0"/>
                <w:szCs w:val="21"/>
              </w:rPr>
            </w:pPr>
          </w:p>
        </w:tc>
      </w:tr>
      <w:tr w:rsidR="00F2307D" w14:paraId="29F9B1D7" w14:textId="77777777" w:rsidTr="00202714">
        <w:trPr>
          <w:trHeight w:val="454"/>
          <w:jc w:val="center"/>
        </w:trPr>
        <w:tc>
          <w:tcPr>
            <w:tcW w:w="462" w:type="pct"/>
            <w:vAlign w:val="center"/>
          </w:tcPr>
          <w:p w14:paraId="447F6565"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41</w:t>
            </w:r>
          </w:p>
        </w:tc>
        <w:tc>
          <w:tcPr>
            <w:tcW w:w="1030" w:type="pct"/>
            <w:vMerge/>
            <w:vAlign w:val="center"/>
          </w:tcPr>
          <w:p w14:paraId="66619CBF" w14:textId="77777777" w:rsidR="00F2307D" w:rsidRDefault="00F2307D">
            <w:pPr>
              <w:widowControl/>
              <w:jc w:val="center"/>
              <w:rPr>
                <w:rFonts w:ascii="Times New Roman" w:hAnsi="Times New Roman"/>
                <w:color w:val="000000"/>
                <w:kern w:val="0"/>
                <w:szCs w:val="21"/>
              </w:rPr>
            </w:pPr>
          </w:p>
        </w:tc>
        <w:tc>
          <w:tcPr>
            <w:tcW w:w="2106" w:type="pct"/>
            <w:gridSpan w:val="2"/>
            <w:noWrap/>
            <w:vAlign w:val="center"/>
          </w:tcPr>
          <w:p w14:paraId="49C7290C"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多溴联苯（</w:t>
            </w:r>
            <w:r>
              <w:rPr>
                <w:rFonts w:ascii="Times New Roman" w:hAnsi="Times New Roman"/>
                <w:color w:val="000000"/>
                <w:kern w:val="0"/>
                <w:szCs w:val="21"/>
              </w:rPr>
              <w:t>PBB</w:t>
            </w:r>
            <w:r>
              <w:rPr>
                <w:rFonts w:ascii="Times New Roman" w:hAnsi="Times New Roman"/>
                <w:color w:val="000000"/>
                <w:kern w:val="0"/>
                <w:szCs w:val="21"/>
              </w:rPr>
              <w:t>）</w:t>
            </w:r>
          </w:p>
        </w:tc>
        <w:tc>
          <w:tcPr>
            <w:tcW w:w="1402" w:type="pct"/>
            <w:noWrap/>
            <w:vAlign w:val="center"/>
          </w:tcPr>
          <w:p w14:paraId="787E8D25" w14:textId="1F4357FE"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 28481</w:t>
            </w:r>
            <w:r w:rsidR="00F20354">
              <w:rPr>
                <w:rFonts w:hint="eastAsia"/>
              </w:rPr>
              <w:t>—</w:t>
            </w:r>
            <w:r>
              <w:rPr>
                <w:rFonts w:ascii="Times New Roman" w:hAnsi="Times New Roman"/>
                <w:color w:val="000000"/>
                <w:kern w:val="0"/>
                <w:szCs w:val="21"/>
              </w:rPr>
              <w:t>2012</w:t>
            </w:r>
          </w:p>
        </w:tc>
      </w:tr>
      <w:tr w:rsidR="00F2307D" w14:paraId="136F7F07" w14:textId="77777777" w:rsidTr="00202714">
        <w:trPr>
          <w:trHeight w:val="454"/>
          <w:jc w:val="center"/>
        </w:trPr>
        <w:tc>
          <w:tcPr>
            <w:tcW w:w="462" w:type="pct"/>
            <w:vAlign w:val="center"/>
          </w:tcPr>
          <w:p w14:paraId="6B284012" w14:textId="77777777"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42</w:t>
            </w:r>
          </w:p>
        </w:tc>
        <w:tc>
          <w:tcPr>
            <w:tcW w:w="1030" w:type="pct"/>
            <w:vMerge/>
            <w:vAlign w:val="center"/>
          </w:tcPr>
          <w:p w14:paraId="022EF0DF" w14:textId="77777777" w:rsidR="00F2307D" w:rsidRDefault="00F2307D">
            <w:pPr>
              <w:widowControl/>
              <w:jc w:val="center"/>
              <w:rPr>
                <w:rFonts w:ascii="Times New Roman" w:hAnsi="Times New Roman"/>
                <w:color w:val="000000"/>
                <w:kern w:val="0"/>
                <w:szCs w:val="21"/>
              </w:rPr>
            </w:pPr>
          </w:p>
        </w:tc>
        <w:tc>
          <w:tcPr>
            <w:tcW w:w="2106" w:type="pct"/>
            <w:gridSpan w:val="2"/>
            <w:noWrap/>
            <w:vAlign w:val="center"/>
          </w:tcPr>
          <w:p w14:paraId="5DDB5814" w14:textId="77777777" w:rsidR="00F2307D" w:rsidRDefault="00E755C7">
            <w:pPr>
              <w:jc w:val="center"/>
              <w:rPr>
                <w:rFonts w:ascii="Times New Roman" w:hAnsi="Times New Roman"/>
                <w:color w:val="000000"/>
                <w:kern w:val="0"/>
                <w:szCs w:val="21"/>
              </w:rPr>
            </w:pPr>
            <w:r>
              <w:rPr>
                <w:rFonts w:ascii="Times New Roman" w:hAnsi="Times New Roman"/>
                <w:color w:val="000000"/>
                <w:kern w:val="0"/>
                <w:szCs w:val="21"/>
              </w:rPr>
              <w:t>多溴二苯醚（</w:t>
            </w:r>
            <w:r>
              <w:rPr>
                <w:rFonts w:ascii="Times New Roman" w:hAnsi="Times New Roman"/>
                <w:color w:val="000000"/>
                <w:kern w:val="0"/>
                <w:szCs w:val="21"/>
              </w:rPr>
              <w:t>PBDE</w:t>
            </w:r>
            <w:r>
              <w:rPr>
                <w:rFonts w:ascii="Times New Roman" w:hAnsi="Times New Roman"/>
                <w:color w:val="000000"/>
                <w:kern w:val="0"/>
                <w:szCs w:val="21"/>
              </w:rPr>
              <w:t>）</w:t>
            </w:r>
          </w:p>
        </w:tc>
        <w:tc>
          <w:tcPr>
            <w:tcW w:w="1402" w:type="pct"/>
            <w:noWrap/>
            <w:vAlign w:val="center"/>
          </w:tcPr>
          <w:p w14:paraId="42CED288" w14:textId="0DCFA844" w:rsidR="00F2307D" w:rsidRDefault="00E755C7">
            <w:pPr>
              <w:widowControl/>
              <w:jc w:val="center"/>
              <w:rPr>
                <w:rFonts w:ascii="Times New Roman" w:hAnsi="Times New Roman"/>
                <w:color w:val="000000"/>
                <w:kern w:val="0"/>
                <w:szCs w:val="21"/>
              </w:rPr>
            </w:pPr>
            <w:r>
              <w:rPr>
                <w:rFonts w:ascii="Times New Roman" w:hAnsi="Times New Roman"/>
                <w:color w:val="000000"/>
                <w:kern w:val="0"/>
                <w:szCs w:val="21"/>
              </w:rPr>
              <w:t>GB 28481</w:t>
            </w:r>
            <w:r w:rsidR="00F20354">
              <w:rPr>
                <w:rFonts w:hint="eastAsia"/>
              </w:rPr>
              <w:t>—</w:t>
            </w:r>
            <w:r>
              <w:rPr>
                <w:rFonts w:ascii="Times New Roman" w:hAnsi="Times New Roman"/>
                <w:color w:val="000000"/>
                <w:kern w:val="0"/>
                <w:szCs w:val="21"/>
              </w:rPr>
              <w:t>2012</w:t>
            </w:r>
          </w:p>
        </w:tc>
      </w:tr>
    </w:tbl>
    <w:p w14:paraId="3768FE4B" w14:textId="77777777" w:rsidR="00F2307D" w:rsidRDefault="00E755C7">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rPr>
        <w:t>执行企业标准、团体标准、地方标准的产品，检验项目参照上述内容执行。</w:t>
      </w:r>
    </w:p>
    <w:p w14:paraId="51F0596A" w14:textId="77777777"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凡是注日期的文件，其随后所有的修改单（不包括勘误的内容）或修订版不适用于本细则。凡是不注日期的文件，其最新版本适用于本细则。</w:t>
      </w:r>
    </w:p>
    <w:p w14:paraId="0CA30D01" w14:textId="77777777" w:rsidR="00F2307D" w:rsidRDefault="00F2307D">
      <w:pPr>
        <w:snapToGrid w:val="0"/>
        <w:spacing w:line="440" w:lineRule="exact"/>
        <w:ind w:firstLineChars="171" w:firstLine="359"/>
        <w:rPr>
          <w:rFonts w:ascii="Times New Roman" w:hAnsi="Times New Roman"/>
          <w:color w:val="000000"/>
          <w:szCs w:val="21"/>
        </w:rPr>
      </w:pPr>
    </w:p>
    <w:p w14:paraId="66369C81" w14:textId="77777777" w:rsidR="00F2307D" w:rsidRDefault="00E755C7">
      <w:pPr>
        <w:spacing w:line="360" w:lineRule="auto"/>
        <w:rPr>
          <w:rFonts w:ascii="Times New Roman" w:eastAsia="黑体" w:hAnsi="Times New Roman"/>
          <w:color w:val="000000"/>
          <w:szCs w:val="21"/>
        </w:rPr>
      </w:pPr>
      <w:r>
        <w:rPr>
          <w:rFonts w:ascii="Times New Roman" w:eastAsia="黑体" w:hAnsi="Times New Roman"/>
          <w:color w:val="000000"/>
          <w:szCs w:val="21"/>
        </w:rPr>
        <w:t xml:space="preserve">3 </w:t>
      </w:r>
      <w:r>
        <w:rPr>
          <w:rFonts w:ascii="Times New Roman" w:eastAsia="黑体" w:hAnsi="Times New Roman" w:hint="eastAsia"/>
          <w:color w:val="000000"/>
          <w:szCs w:val="21"/>
        </w:rPr>
        <w:t>判定规则</w:t>
      </w:r>
    </w:p>
    <w:p w14:paraId="581EE318" w14:textId="77777777" w:rsidR="00F2307D" w:rsidRDefault="00E755C7">
      <w:pPr>
        <w:snapToGrid w:val="0"/>
        <w:spacing w:line="440" w:lineRule="exact"/>
        <w:rPr>
          <w:rFonts w:ascii="Times New Roman" w:hAnsi="Times New Roman"/>
          <w:color w:val="000000"/>
          <w:szCs w:val="21"/>
        </w:rPr>
      </w:pPr>
      <w:r>
        <w:rPr>
          <w:rFonts w:ascii="Times New Roman" w:hAnsi="Times New Roman"/>
          <w:color w:val="000000"/>
          <w:szCs w:val="21"/>
        </w:rPr>
        <w:t>3.1</w:t>
      </w:r>
      <w:r>
        <w:rPr>
          <w:rFonts w:ascii="Times New Roman" w:hAnsi="Times New Roman"/>
          <w:color w:val="000000"/>
          <w:szCs w:val="21"/>
        </w:rPr>
        <w:t>依据标准</w:t>
      </w:r>
    </w:p>
    <w:p w14:paraId="33FAEE94" w14:textId="479B57A6"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color w:val="000000"/>
          <w:szCs w:val="21"/>
        </w:rPr>
        <w:t>GB 28481</w:t>
      </w:r>
      <w:r w:rsidR="00F20354">
        <w:rPr>
          <w:rFonts w:hint="eastAsia"/>
        </w:rPr>
        <w:t>—</w:t>
      </w:r>
      <w:r>
        <w:rPr>
          <w:rFonts w:ascii="Times New Roman" w:hAnsi="Times New Roman"/>
          <w:color w:val="000000"/>
          <w:szCs w:val="21"/>
        </w:rPr>
        <w:t>2012</w:t>
      </w:r>
      <w:r>
        <w:rPr>
          <w:rFonts w:ascii="Times New Roman" w:hAnsi="Times New Roman" w:hint="eastAsia"/>
          <w:color w:val="000000"/>
          <w:szCs w:val="21"/>
        </w:rPr>
        <w:t xml:space="preserve"> </w:t>
      </w:r>
      <w:r>
        <w:rPr>
          <w:rFonts w:ascii="Times New Roman" w:hAnsi="Times New Roman" w:hint="eastAsia"/>
          <w:color w:val="000000"/>
          <w:szCs w:val="21"/>
        </w:rPr>
        <w:t>塑料家具中有害物质限量</w:t>
      </w:r>
    </w:p>
    <w:p w14:paraId="3C9F7BF5" w14:textId="704AC4DA"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color w:val="000000"/>
          <w:szCs w:val="21"/>
        </w:rPr>
        <w:t>GB/T 32487</w:t>
      </w:r>
      <w:r w:rsidR="00F20354">
        <w:rPr>
          <w:rFonts w:hint="eastAsia"/>
        </w:rPr>
        <w:t>—</w:t>
      </w:r>
      <w:r>
        <w:rPr>
          <w:rFonts w:ascii="Times New Roman" w:hAnsi="Times New Roman"/>
          <w:color w:val="000000"/>
          <w:szCs w:val="21"/>
        </w:rPr>
        <w:t>2016</w:t>
      </w:r>
      <w:r>
        <w:rPr>
          <w:rFonts w:ascii="Times New Roman" w:hAnsi="Times New Roman" w:hint="eastAsia"/>
          <w:color w:val="000000"/>
          <w:szCs w:val="21"/>
        </w:rPr>
        <w:t xml:space="preserve"> </w:t>
      </w:r>
      <w:r>
        <w:rPr>
          <w:rFonts w:ascii="Times New Roman" w:hAnsi="Times New Roman" w:hint="eastAsia"/>
          <w:color w:val="000000"/>
          <w:szCs w:val="21"/>
        </w:rPr>
        <w:t>塑料家具通用技术条件</w:t>
      </w:r>
    </w:p>
    <w:p w14:paraId="4D6337D3" w14:textId="77777777"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color w:val="000000"/>
          <w:szCs w:val="21"/>
        </w:rPr>
        <w:t>现行有效的企业标准、团体标准、地方标准及产品明示质量要求</w:t>
      </w:r>
    </w:p>
    <w:p w14:paraId="726180FA" w14:textId="77777777" w:rsidR="00F2307D" w:rsidRDefault="00E755C7">
      <w:pPr>
        <w:snapToGrid w:val="0"/>
        <w:spacing w:line="440" w:lineRule="exact"/>
        <w:rPr>
          <w:rFonts w:ascii="Times New Roman" w:hAnsi="Times New Roman"/>
          <w:color w:val="000000"/>
          <w:szCs w:val="21"/>
        </w:rPr>
      </w:pPr>
      <w:r>
        <w:rPr>
          <w:rFonts w:ascii="Times New Roman" w:hAnsi="Times New Roman"/>
          <w:color w:val="000000"/>
          <w:szCs w:val="21"/>
        </w:rPr>
        <w:t>3.2</w:t>
      </w:r>
      <w:r>
        <w:rPr>
          <w:rFonts w:ascii="Times New Roman" w:hAnsi="Times New Roman"/>
          <w:color w:val="000000"/>
          <w:szCs w:val="21"/>
        </w:rPr>
        <w:t>判定原则</w:t>
      </w:r>
    </w:p>
    <w:p w14:paraId="219DE32B" w14:textId="77777777"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经检验，检验项目全部合格，判定为被抽查产品所检项目未发现不合格；检验项目中任一项或一项以上不合格，判定为被抽查产品不合格。</w:t>
      </w:r>
    </w:p>
    <w:p w14:paraId="4120B546" w14:textId="77777777" w:rsidR="00F2307D" w:rsidRDefault="00E755C7">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14:paraId="1ED7114D" w14:textId="77777777" w:rsidR="00F2307D" w:rsidRDefault="00E755C7">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14:paraId="3BBF8CC4" w14:textId="77777777" w:rsidR="00F2307D" w:rsidRDefault="00E755C7">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若被检产品明示的质量要求低于或包含本细则中检验项目依据的推荐性标准要求时，应以被检产品明示的质量要求判定。</w:t>
      </w:r>
    </w:p>
    <w:p w14:paraId="3E881438" w14:textId="77777777" w:rsidR="00F2307D" w:rsidRDefault="00E755C7">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p w14:paraId="057C7A18" w14:textId="77777777" w:rsidR="00F2307D" w:rsidRDefault="00E755C7">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若被检产品明示的质量要求缺少本细则中检验项目依据的推荐性标准要求时，该项目不参与判定。</w:t>
      </w:r>
    </w:p>
    <w:p w14:paraId="1364A4B7" w14:textId="77777777" w:rsidR="00F2307D" w:rsidRDefault="00F2307D">
      <w:pPr>
        <w:spacing w:line="440" w:lineRule="exact"/>
        <w:rPr>
          <w:rFonts w:ascii="Times New Roman" w:eastAsia="黑体" w:hAnsi="Times New Roman"/>
          <w:color w:val="000000"/>
          <w:szCs w:val="21"/>
        </w:rPr>
      </w:pPr>
    </w:p>
    <w:p w14:paraId="170FCA96" w14:textId="77777777" w:rsidR="00F2307D" w:rsidRDefault="00E755C7">
      <w:pPr>
        <w:spacing w:line="440" w:lineRule="exact"/>
        <w:rPr>
          <w:rFonts w:ascii="Times New Roman" w:eastAsia="黑体" w:hAnsi="Times New Roman"/>
          <w:color w:val="000000"/>
          <w:szCs w:val="21"/>
        </w:rPr>
      </w:pPr>
      <w:r>
        <w:rPr>
          <w:rFonts w:ascii="Times New Roman" w:eastAsia="黑体" w:hAnsi="Times New Roman"/>
          <w:color w:val="000000"/>
          <w:szCs w:val="21"/>
        </w:rPr>
        <w:t xml:space="preserve">4 </w:t>
      </w:r>
      <w:r>
        <w:rPr>
          <w:rFonts w:ascii="Times New Roman" w:eastAsia="黑体" w:hAnsi="Times New Roman" w:hint="eastAsia"/>
          <w:color w:val="000000"/>
          <w:szCs w:val="21"/>
        </w:rPr>
        <w:t>附则</w:t>
      </w:r>
    </w:p>
    <w:p w14:paraId="53DBA89E" w14:textId="77777777" w:rsidR="00F2307D" w:rsidRDefault="00E755C7">
      <w:pPr>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本细则首次发布。</w:t>
      </w:r>
    </w:p>
    <w:p w14:paraId="2CE0A438" w14:textId="77777777" w:rsidR="00F2307D" w:rsidRDefault="00F2307D">
      <w:pPr>
        <w:snapToGrid w:val="0"/>
        <w:spacing w:line="440" w:lineRule="exact"/>
        <w:rPr>
          <w:rFonts w:ascii="Times New Roman" w:hAnsi="Times New Roman"/>
          <w:color w:val="FF0000"/>
          <w:szCs w:val="21"/>
        </w:rPr>
      </w:pPr>
    </w:p>
    <w:sectPr w:rsidR="00F2307D" w:rsidSect="0045715B">
      <w:headerReference w:type="default" r:id="rId7"/>
      <w:footerReference w:type="even" r:id="rId8"/>
      <w:footerReference w:type="default" r:id="rId9"/>
      <w:pgSz w:w="11906" w:h="16838"/>
      <w:pgMar w:top="1985" w:right="1474" w:bottom="164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3948" w14:textId="77777777" w:rsidR="00576798" w:rsidRDefault="00576798">
      <w:r>
        <w:separator/>
      </w:r>
    </w:p>
  </w:endnote>
  <w:endnote w:type="continuationSeparator" w:id="0">
    <w:p w14:paraId="0B2EB5C4" w14:textId="77777777" w:rsidR="00576798" w:rsidRDefault="0057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EBF" w14:textId="77777777" w:rsidR="00F2307D" w:rsidRDefault="0045715B">
    <w:pPr>
      <w:pStyle w:val="a7"/>
      <w:framePr w:wrap="around" w:vAnchor="text" w:hAnchor="margin" w:xAlign="center" w:y="1"/>
      <w:rPr>
        <w:rStyle w:val="ad"/>
      </w:rPr>
    </w:pPr>
    <w:r>
      <w:fldChar w:fldCharType="begin"/>
    </w:r>
    <w:r w:rsidR="00E755C7">
      <w:rPr>
        <w:rStyle w:val="ad"/>
      </w:rPr>
      <w:instrText xml:space="preserve">PAGE  </w:instrText>
    </w:r>
    <w:r>
      <w:fldChar w:fldCharType="separate"/>
    </w:r>
    <w:r w:rsidR="00E755C7">
      <w:rPr>
        <w:rStyle w:val="ad"/>
      </w:rPr>
      <w:t>2</w:t>
    </w:r>
    <w:r>
      <w:fldChar w:fldCharType="end"/>
    </w:r>
  </w:p>
  <w:p w14:paraId="12CAD6A7" w14:textId="77777777" w:rsidR="00F2307D" w:rsidRDefault="00F2307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8747" w14:textId="77777777" w:rsidR="00F2307D" w:rsidRDefault="0045715B">
    <w:pPr>
      <w:pStyle w:val="a7"/>
      <w:jc w:val="center"/>
    </w:pPr>
    <w:r>
      <w:rPr>
        <w:lang w:val="zh-CN"/>
      </w:rPr>
      <w:fldChar w:fldCharType="begin"/>
    </w:r>
    <w:r w:rsidR="00E755C7">
      <w:rPr>
        <w:lang w:val="zh-CN"/>
      </w:rPr>
      <w:instrText xml:space="preserve"> PAGE   \* MERGEFORMAT </w:instrText>
    </w:r>
    <w:r>
      <w:rPr>
        <w:lang w:val="zh-CN"/>
      </w:rPr>
      <w:fldChar w:fldCharType="separate"/>
    </w:r>
    <w:r w:rsidR="00202714" w:rsidRPr="00202714">
      <w:rPr>
        <w:noProof/>
      </w:rPr>
      <w:t>3</w:t>
    </w:r>
    <w:r>
      <w:rPr>
        <w:lang w:val="zh-CN"/>
      </w:rPr>
      <w:fldChar w:fldCharType="end"/>
    </w:r>
  </w:p>
  <w:p w14:paraId="6A107539" w14:textId="77777777" w:rsidR="00F2307D" w:rsidRDefault="00F2307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6006" w14:textId="77777777" w:rsidR="00576798" w:rsidRDefault="00576798">
      <w:r>
        <w:separator/>
      </w:r>
    </w:p>
  </w:footnote>
  <w:footnote w:type="continuationSeparator" w:id="0">
    <w:p w14:paraId="059BD0B3" w14:textId="77777777" w:rsidR="00576798" w:rsidRDefault="0057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2293" w14:textId="77777777" w:rsidR="00F2307D" w:rsidRDefault="00F2307D">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DRmZDlmMjdkNDI1NjEzMmI2Y2M4ZTAxODQ5YmJlMTYifQ=="/>
  </w:docVars>
  <w:rsids>
    <w:rsidRoot w:val="00172A27"/>
    <w:rsid w:val="00016815"/>
    <w:rsid w:val="00051A44"/>
    <w:rsid w:val="0007052B"/>
    <w:rsid w:val="00081CBD"/>
    <w:rsid w:val="000976DE"/>
    <w:rsid w:val="000E0654"/>
    <w:rsid w:val="000E3240"/>
    <w:rsid w:val="00123D1C"/>
    <w:rsid w:val="00125FE2"/>
    <w:rsid w:val="00155AA7"/>
    <w:rsid w:val="00172A27"/>
    <w:rsid w:val="001735B2"/>
    <w:rsid w:val="001809DD"/>
    <w:rsid w:val="00202714"/>
    <w:rsid w:val="002063BA"/>
    <w:rsid w:val="00232530"/>
    <w:rsid w:val="00241BBA"/>
    <w:rsid w:val="00245B45"/>
    <w:rsid w:val="00253624"/>
    <w:rsid w:val="002672D1"/>
    <w:rsid w:val="002B56CE"/>
    <w:rsid w:val="002D7F8A"/>
    <w:rsid w:val="002E0D1D"/>
    <w:rsid w:val="003203A3"/>
    <w:rsid w:val="00365CBE"/>
    <w:rsid w:val="003A7D30"/>
    <w:rsid w:val="003C388C"/>
    <w:rsid w:val="003D0562"/>
    <w:rsid w:val="003D09A1"/>
    <w:rsid w:val="003E61BF"/>
    <w:rsid w:val="004104AC"/>
    <w:rsid w:val="004377C4"/>
    <w:rsid w:val="00445E86"/>
    <w:rsid w:val="0045434D"/>
    <w:rsid w:val="0045715B"/>
    <w:rsid w:val="00474E04"/>
    <w:rsid w:val="004D0C5A"/>
    <w:rsid w:val="004D184C"/>
    <w:rsid w:val="004D6C1C"/>
    <w:rsid w:val="004E1396"/>
    <w:rsid w:val="004E6C21"/>
    <w:rsid w:val="00563EBC"/>
    <w:rsid w:val="00576798"/>
    <w:rsid w:val="00620F47"/>
    <w:rsid w:val="00694515"/>
    <w:rsid w:val="006E1171"/>
    <w:rsid w:val="006F0971"/>
    <w:rsid w:val="00710BE1"/>
    <w:rsid w:val="0072334C"/>
    <w:rsid w:val="007A23BB"/>
    <w:rsid w:val="007E0488"/>
    <w:rsid w:val="007F0BDA"/>
    <w:rsid w:val="00895BEA"/>
    <w:rsid w:val="008A3497"/>
    <w:rsid w:val="008D07D7"/>
    <w:rsid w:val="00917A54"/>
    <w:rsid w:val="00921385"/>
    <w:rsid w:val="009423C5"/>
    <w:rsid w:val="009B3B8C"/>
    <w:rsid w:val="009F1566"/>
    <w:rsid w:val="00A23D98"/>
    <w:rsid w:val="00A4285D"/>
    <w:rsid w:val="00A43553"/>
    <w:rsid w:val="00A83687"/>
    <w:rsid w:val="00AC5391"/>
    <w:rsid w:val="00B50605"/>
    <w:rsid w:val="00B65F23"/>
    <w:rsid w:val="00BB5D59"/>
    <w:rsid w:val="00BD6386"/>
    <w:rsid w:val="00BF2B8C"/>
    <w:rsid w:val="00C02974"/>
    <w:rsid w:val="00C15E97"/>
    <w:rsid w:val="00C26074"/>
    <w:rsid w:val="00C5359C"/>
    <w:rsid w:val="00C72960"/>
    <w:rsid w:val="00C83B0A"/>
    <w:rsid w:val="00C913A8"/>
    <w:rsid w:val="00CE1E0C"/>
    <w:rsid w:val="00CE277E"/>
    <w:rsid w:val="00CE30A3"/>
    <w:rsid w:val="00D3394B"/>
    <w:rsid w:val="00D375EE"/>
    <w:rsid w:val="00D56867"/>
    <w:rsid w:val="00E02A7F"/>
    <w:rsid w:val="00E07880"/>
    <w:rsid w:val="00E755C7"/>
    <w:rsid w:val="00E82621"/>
    <w:rsid w:val="00EE09A4"/>
    <w:rsid w:val="00F20354"/>
    <w:rsid w:val="00F2307D"/>
    <w:rsid w:val="00F61C34"/>
    <w:rsid w:val="00F77C9A"/>
    <w:rsid w:val="00F83847"/>
    <w:rsid w:val="00FB576C"/>
    <w:rsid w:val="00FB76BB"/>
    <w:rsid w:val="00FD2AA6"/>
    <w:rsid w:val="00FE7E8A"/>
    <w:rsid w:val="00FF5723"/>
    <w:rsid w:val="1C840C02"/>
    <w:rsid w:val="2C5A3613"/>
    <w:rsid w:val="333D5BAF"/>
    <w:rsid w:val="375D0B88"/>
    <w:rsid w:val="49557320"/>
    <w:rsid w:val="4FC76963"/>
    <w:rsid w:val="59F2531F"/>
    <w:rsid w:val="68033ED7"/>
    <w:rsid w:val="7A1D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32463"/>
  <w15:docId w15:val="{19ACFF8F-08DD-42E6-A486-50C388C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1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45715B"/>
    <w:pPr>
      <w:jc w:val="left"/>
    </w:pPr>
  </w:style>
  <w:style w:type="paragraph" w:styleId="a5">
    <w:name w:val="Balloon Text"/>
    <w:basedOn w:val="a"/>
    <w:link w:val="a6"/>
    <w:uiPriority w:val="99"/>
    <w:unhideWhenUsed/>
    <w:rsid w:val="0045715B"/>
    <w:rPr>
      <w:sz w:val="18"/>
      <w:szCs w:val="18"/>
    </w:rPr>
  </w:style>
  <w:style w:type="paragraph" w:styleId="a7">
    <w:name w:val="footer"/>
    <w:basedOn w:val="a"/>
    <w:link w:val="a8"/>
    <w:uiPriority w:val="99"/>
    <w:unhideWhenUsed/>
    <w:rsid w:val="0045715B"/>
    <w:pPr>
      <w:tabs>
        <w:tab w:val="center" w:pos="4153"/>
        <w:tab w:val="right" w:pos="8306"/>
      </w:tabs>
      <w:snapToGrid w:val="0"/>
      <w:jc w:val="left"/>
    </w:pPr>
    <w:rPr>
      <w:sz w:val="18"/>
      <w:szCs w:val="18"/>
    </w:rPr>
  </w:style>
  <w:style w:type="paragraph" w:styleId="a9">
    <w:name w:val="header"/>
    <w:basedOn w:val="a"/>
    <w:link w:val="aa"/>
    <w:unhideWhenUsed/>
    <w:rsid w:val="0045715B"/>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rsid w:val="0045715B"/>
    <w:rPr>
      <w:b/>
      <w:bCs/>
    </w:rPr>
  </w:style>
  <w:style w:type="character" w:styleId="ad">
    <w:name w:val="page number"/>
    <w:basedOn w:val="a0"/>
    <w:rsid w:val="0045715B"/>
  </w:style>
  <w:style w:type="character" w:styleId="ae">
    <w:name w:val="annotation reference"/>
    <w:uiPriority w:val="99"/>
    <w:unhideWhenUsed/>
    <w:rsid w:val="0045715B"/>
    <w:rPr>
      <w:sz w:val="21"/>
      <w:szCs w:val="21"/>
    </w:rPr>
  </w:style>
  <w:style w:type="character" w:customStyle="1" w:styleId="a8">
    <w:name w:val="页脚 字符"/>
    <w:link w:val="a7"/>
    <w:uiPriority w:val="99"/>
    <w:rsid w:val="0045715B"/>
    <w:rPr>
      <w:kern w:val="2"/>
      <w:sz w:val="18"/>
      <w:szCs w:val="18"/>
    </w:rPr>
  </w:style>
  <w:style w:type="character" w:customStyle="1" w:styleId="a4">
    <w:name w:val="批注文字 字符"/>
    <w:link w:val="a3"/>
    <w:uiPriority w:val="99"/>
    <w:semiHidden/>
    <w:rsid w:val="0045715B"/>
    <w:rPr>
      <w:kern w:val="2"/>
      <w:sz w:val="21"/>
      <w:szCs w:val="24"/>
    </w:rPr>
  </w:style>
  <w:style w:type="character" w:customStyle="1" w:styleId="a6">
    <w:name w:val="批注框文本 字符"/>
    <w:link w:val="a5"/>
    <w:uiPriority w:val="99"/>
    <w:semiHidden/>
    <w:rsid w:val="0045715B"/>
    <w:rPr>
      <w:kern w:val="2"/>
      <w:sz w:val="18"/>
      <w:szCs w:val="18"/>
    </w:rPr>
  </w:style>
  <w:style w:type="character" w:customStyle="1" w:styleId="aa">
    <w:name w:val="页眉 字符"/>
    <w:link w:val="a9"/>
    <w:uiPriority w:val="99"/>
    <w:semiHidden/>
    <w:qFormat/>
    <w:rsid w:val="0045715B"/>
    <w:rPr>
      <w:kern w:val="2"/>
      <w:sz w:val="18"/>
      <w:szCs w:val="18"/>
    </w:rPr>
  </w:style>
  <w:style w:type="character" w:customStyle="1" w:styleId="ac">
    <w:name w:val="批注主题 字符"/>
    <w:link w:val="ab"/>
    <w:uiPriority w:val="99"/>
    <w:semiHidden/>
    <w:qFormat/>
    <w:rsid w:val="0045715B"/>
    <w:rPr>
      <w:b/>
      <w:bCs/>
      <w:kern w:val="2"/>
      <w:sz w:val="21"/>
      <w:szCs w:val="24"/>
    </w:rPr>
  </w:style>
  <w:style w:type="paragraph" w:customStyle="1" w:styleId="1">
    <w:name w:val="列出段落1"/>
    <w:basedOn w:val="a"/>
    <w:uiPriority w:val="34"/>
    <w:qFormat/>
    <w:rsid w:val="0045715B"/>
    <w:pPr>
      <w:ind w:firstLineChars="200" w:firstLine="420"/>
    </w:pPr>
    <w:rPr>
      <w:szCs w:val="22"/>
    </w:rPr>
  </w:style>
  <w:style w:type="paragraph" w:styleId="af">
    <w:name w:val="Revision"/>
    <w:hidden/>
    <w:uiPriority w:val="99"/>
    <w:semiHidden/>
    <w:rsid w:val="00437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238</Words>
  <Characters>1357</Characters>
  <Application>Microsoft Office Word</Application>
  <DocSecurity>0</DocSecurity>
  <Lines>11</Lines>
  <Paragraphs>3</Paragraphs>
  <ScaleCrop>false</ScaleCrop>
  <Company>Legend (Beijing) Limited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JY</cp:lastModifiedBy>
  <cp:revision>21</cp:revision>
  <cp:lastPrinted>2019-12-05T07:53:00Z</cp:lastPrinted>
  <dcterms:created xsi:type="dcterms:W3CDTF">2022-05-05T05:45:00Z</dcterms:created>
  <dcterms:modified xsi:type="dcterms:W3CDTF">2022-06-10T07:22:00Z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commondata">
    <vt:lpwstr>eyJoZGlkIjoiNDRmZDlmMjdkNDI1NjEzMmI2Y2M4ZTAxODQ5YmJlMTYifQ==</vt:lpwstr>
  </property>
  <property fmtid="{D5CDD505-2E9C-101B-9397-08002B2CF9AE}" pid="4" name="ICV">
    <vt:lpwstr>D3D96C295FD64629A1A4BD47F8A6D055</vt:lpwstr>
  </property>
</Properties>
</file>