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1" w:lineRule="exact"/>
        <w:textAlignment w:val="center"/>
      </w:pPr>
      <w:bookmarkStart w:id="0" w:name="_GoBack"/>
      <w:bookmarkEnd w:id="0"/>
      <w:r>
        <w:drawing>
          <wp:inline distT="0" distB="0" distL="0" distR="0">
            <wp:extent cx="3368675" cy="247713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8871" cy="247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7142" w:lineRule="exact"/>
        <w:ind w:firstLine="4465"/>
        <w:textAlignment w:val="center"/>
      </w:pPr>
      <w:r>
        <w:drawing>
          <wp:inline distT="0" distB="0" distL="0" distR="0">
            <wp:extent cx="4708525" cy="453517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8727" cy="453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2246" w:h="16498"/>
          <w:pgMar w:top="939" w:right="0" w:bottom="1105" w:left="364" w:header="0" w:footer="778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149.8pt;margin-top:66.85pt;height:1pt;width:462.5pt;mso-position-horizontal-relative:page;mso-position-vertical-relative:page;z-index:251661312;mso-width-relative:page;mso-height-relative:page;" fillcolor="#2D4E81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0pt;margin-top:729.7pt;height:95.15pt;width:612.3pt;mso-position-horizontal-relative:page;mso-position-vertical-relative:page;z-index:251659264;mso-width-relative:page;mso-height-relative:page;" fillcolor="#1B5399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1696085" cy="11303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6381" cy="1130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4434840</wp:posOffset>
            </wp:positionH>
            <wp:positionV relativeFrom="page">
              <wp:posOffset>3145155</wp:posOffset>
            </wp:positionV>
            <wp:extent cx="3341370" cy="311277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1179" cy="311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7" w:line="188" w:lineRule="auto"/>
        <w:ind w:left="1242"/>
        <w:rPr>
          <w:rFonts w:ascii="黑体" w:hAnsi="黑体" w:eastAsia="黑体" w:cs="黑体"/>
          <w:sz w:val="32"/>
          <w:szCs w:val="32"/>
        </w:rPr>
      </w:pPr>
      <w:r>
        <w:rPr>
          <w:rFonts w:ascii="Arial" w:hAnsi="Arial" w:eastAsia="Arial" w:cs="Arial"/>
          <w:color w:val="2D5FAC"/>
          <w:sz w:val="32"/>
          <w:szCs w:val="32"/>
          <w14:textOutline w14:w="5803" w14:cap="flat" w14:cmpd="sng">
            <w14:solidFill>
              <w14:srgbClr w14:val="2D5FAC"/>
            </w14:solidFill>
            <w14:prstDash w14:val="solid"/>
            <w14:miter w14:val="10"/>
          </w14:textOutline>
        </w:rPr>
        <w:t>CM</w:t>
      </w:r>
      <w:r>
        <w:rPr>
          <w:rFonts w:ascii="Arial" w:hAnsi="Arial" w:eastAsia="Arial" w:cs="Arial"/>
          <w:color w:val="2D5FAC"/>
          <w:spacing w:val="12"/>
          <w:sz w:val="32"/>
          <w:szCs w:val="32"/>
          <w14:textOutline w14:w="5803" w14:cap="flat" w14:cmpd="sng">
            <w14:solidFill>
              <w14:srgbClr w14:val="2D5FAC"/>
            </w14:solidFill>
            <w14:prstDash w14:val="solid"/>
            <w14:miter w14:val="10"/>
          </w14:textOutline>
        </w:rPr>
        <w:t>-</w:t>
      </w:r>
      <w:r>
        <w:rPr>
          <w:rFonts w:ascii="微软雅黑" w:hAnsi="微软雅黑" w:eastAsia="微软雅黑" w:cs="微软雅黑"/>
          <w:color w:val="2D5FAC"/>
          <w:spacing w:val="12"/>
          <w:sz w:val="32"/>
          <w:szCs w:val="32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9</w:t>
      </w:r>
      <w:r>
        <w:rPr>
          <w:rFonts w:ascii="Arial" w:hAnsi="Arial" w:eastAsia="Arial" w:cs="Arial"/>
          <w:color w:val="2D5FAC"/>
          <w:spacing w:val="12"/>
          <w:sz w:val="32"/>
          <w:szCs w:val="32"/>
          <w14:textOutline w14:w="5803" w14:cap="flat" w14:cmpd="sng">
            <w14:solidFill>
              <w14:srgbClr w14:val="2D5FAC"/>
            </w14:solidFill>
            <w14:prstDash w14:val="solid"/>
            <w14:miter w14:val="10"/>
          </w14:textOutline>
        </w:rPr>
        <w:t>6</w:t>
      </w:r>
      <w:r>
        <w:rPr>
          <w:rFonts w:ascii="Arial" w:hAnsi="Arial" w:eastAsia="Arial" w:cs="Arial"/>
          <w:color w:val="2D5FAC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2D5FAC"/>
          <w:spacing w:val="12"/>
          <w:sz w:val="32"/>
          <w:szCs w:val="32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氮吹浓缩</w:t>
      </w:r>
      <w:r>
        <w:rPr>
          <w:rFonts w:ascii="黑体" w:hAnsi="黑体" w:eastAsia="黑体" w:cs="黑体"/>
          <w:color w:val="2D5FAC"/>
          <w:spacing w:val="10"/>
          <w:sz w:val="32"/>
          <w:szCs w:val="32"/>
          <w14:textOutline w14:w="5803" w14:cap="flat" w14:cmpd="sng">
            <w14:solidFill>
              <w14:srgbClr w14:val="2D5FAC"/>
            </w14:solidFill>
            <w14:prstDash w14:val="solid"/>
            <w14:miter w14:val="10"/>
          </w14:textOutline>
        </w:rPr>
        <w:t>仪</w:t>
      </w:r>
    </w:p>
    <w:p>
      <w:pPr>
        <w:spacing w:before="241" w:line="286" w:lineRule="auto"/>
        <w:ind w:left="1236" w:right="1240" w:firstLine="4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color w:val="231F20"/>
          <w:sz w:val="20"/>
          <w:szCs w:val="20"/>
        </w:rPr>
        <w:t>CM</w:t>
      </w:r>
      <w:r>
        <w:rPr>
          <w:rFonts w:ascii="Arial" w:hAnsi="Arial" w:eastAsia="Arial" w:cs="Arial"/>
          <w:color w:val="231F20"/>
          <w:spacing w:val="4"/>
          <w:sz w:val="20"/>
          <w:szCs w:val="20"/>
        </w:rPr>
        <w:t xml:space="preserve"> -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96双氮吹浓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缩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仪专为快速高效蒸发96孔板中的溶剂而设计，广泛应用于农残分析、商检食品、环境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、制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药、生物制品等行业。由于 96 孔板为聚乙烯材料制成，导热不好，无法加热均匀，导致吹干效率和一致性不佳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Arial" w:hAnsi="Arial" w:eastAsia="Arial" w:cs="Arial"/>
          <w:color w:val="231F20"/>
          <w:sz w:val="20"/>
          <w:szCs w:val="20"/>
        </w:rPr>
        <w:t>CM</w:t>
      </w:r>
      <w:r>
        <w:rPr>
          <w:rFonts w:ascii="Arial" w:hAnsi="Arial" w:eastAsia="Arial" w:cs="Arial"/>
          <w:color w:val="231F20"/>
          <w:spacing w:val="4"/>
          <w:sz w:val="20"/>
          <w:szCs w:val="20"/>
        </w:rPr>
        <w:t>-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96双氮吹采浓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缩仪用最先进的氮气直接加热方式,  其效率远高于底板金属域加热方式,  同时加热均匀性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>高、一致性好。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21" w:line="180" w:lineRule="auto"/>
        <w:ind w:left="124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Arial" w:hAnsi="Arial" w:eastAsia="Arial" w:cs="Arial"/>
          <w:color w:val="2D5FAC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CM</w:t>
      </w:r>
      <w:r>
        <w:rPr>
          <w:rFonts w:ascii="Arial" w:hAnsi="Arial" w:eastAsia="Arial" w:cs="Arial"/>
          <w:color w:val="2D5FAC"/>
          <w:spacing w:val="4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-</w:t>
      </w:r>
      <w:r>
        <w:rPr>
          <w:rFonts w:ascii="微软雅黑" w:hAnsi="微软雅黑" w:eastAsia="微软雅黑" w:cs="微软雅黑"/>
          <w:color w:val="2D5FAC"/>
          <w:spacing w:val="4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96</w:t>
      </w:r>
      <w:r>
        <w:rPr>
          <w:rFonts w:ascii="微软雅黑" w:hAnsi="微软雅黑" w:eastAsia="微软雅黑" w:cs="微软雅黑"/>
          <w:color w:val="2D5FAC"/>
          <w:spacing w:val="2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双氮吹浓缩仪应用领域</w:t>
      </w:r>
    </w:p>
    <w:p>
      <w:pPr>
        <w:spacing w:before="179" w:line="177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3"/>
          <w:sz w:val="20"/>
          <w:szCs w:val="20"/>
        </w:rPr>
        <w:t>●</w:t>
      </w:r>
      <w:r>
        <w:rPr>
          <w:rFonts w:ascii="微软雅黑" w:hAnsi="微软雅黑" w:eastAsia="微软雅黑" w:cs="微软雅黑"/>
          <w:color w:val="2D5FAC"/>
          <w:spacing w:val="-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法庭科学：毒化检验</w:t>
      </w:r>
    </w:p>
    <w:p>
      <w:pPr>
        <w:spacing w:before="197" w:line="175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5"/>
          <w:sz w:val="20"/>
          <w:szCs w:val="20"/>
        </w:rPr>
        <w:t>●</w:t>
      </w:r>
      <w:r>
        <w:rPr>
          <w:rFonts w:ascii="微软雅黑" w:hAnsi="微软雅黑" w:eastAsia="微软雅黑" w:cs="微软雅黑"/>
          <w:color w:val="2D5FAC"/>
          <w:spacing w:val="-14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生化分析：血清、血浆、尿液</w:t>
      </w:r>
    </w:p>
    <w:p>
      <w:pPr>
        <w:spacing w:before="197" w:line="175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5"/>
          <w:sz w:val="20"/>
          <w:szCs w:val="20"/>
        </w:rPr>
        <w:t>●</w:t>
      </w:r>
      <w:r>
        <w:rPr>
          <w:rFonts w:ascii="微软雅黑" w:hAnsi="微软雅黑" w:eastAsia="微软雅黑" w:cs="微软雅黑"/>
          <w:color w:val="2D5FAC"/>
          <w:spacing w:val="-14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农残分析：烟草、水果、谷物</w:t>
      </w:r>
    </w:p>
    <w:p>
      <w:pPr>
        <w:spacing w:before="197" w:line="179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5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>食品饮料：牛奶，酒、饮料</w:t>
      </w:r>
    </w:p>
    <w:p>
      <w:pPr>
        <w:spacing w:before="192" w:line="175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2"/>
          <w:sz w:val="20"/>
          <w:szCs w:val="20"/>
        </w:rPr>
        <w:t>●</w:t>
      </w:r>
      <w:r>
        <w:rPr>
          <w:rFonts w:ascii="微软雅黑" w:hAnsi="微软雅黑" w:eastAsia="微软雅黑" w:cs="微软雅黑"/>
          <w:color w:val="2D5FAC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D5FAC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环境分析：自来水水质、污水的处理</w:t>
      </w:r>
    </w:p>
    <w:p>
      <w:pPr>
        <w:spacing w:before="198" w:line="176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3"/>
          <w:sz w:val="20"/>
          <w:szCs w:val="20"/>
        </w:rPr>
        <w:t>●</w:t>
      </w:r>
      <w:r>
        <w:rPr>
          <w:rFonts w:ascii="微软雅黑" w:hAnsi="微软雅黑" w:eastAsia="微软雅黑" w:cs="微软雅黑"/>
          <w:color w:val="2D5FAC"/>
          <w:spacing w:val="-8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>制药药检：制药、生物制品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21" w:line="178" w:lineRule="auto"/>
        <w:ind w:left="124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Arial" w:hAnsi="Arial" w:eastAsia="Arial" w:cs="Arial"/>
          <w:color w:val="2D5FAC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CM</w:t>
      </w:r>
      <w:r>
        <w:rPr>
          <w:rFonts w:ascii="Arial" w:hAnsi="Arial" w:eastAsia="Arial" w:cs="Arial"/>
          <w:color w:val="2D5FAC"/>
          <w:spacing w:val="3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-</w:t>
      </w:r>
      <w:r>
        <w:rPr>
          <w:rFonts w:ascii="微软雅黑" w:hAnsi="微软雅黑" w:eastAsia="微软雅黑" w:cs="微软雅黑"/>
          <w:color w:val="2D5FAC"/>
          <w:spacing w:val="3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96双氮吹浓缩仪特</w:t>
      </w:r>
      <w:r>
        <w:rPr>
          <w:rFonts w:ascii="微软雅黑" w:hAnsi="微软雅黑" w:eastAsia="微软雅黑" w:cs="微软雅黑"/>
          <w:color w:val="2D5FAC"/>
          <w:spacing w:val="2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点</w:t>
      </w:r>
    </w:p>
    <w:p>
      <w:pPr>
        <w:spacing w:before="223" w:line="179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7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操作简洁、灵活、控温方便，可以不受约束地随时调节浓缩的过程</w:t>
      </w:r>
    </w:p>
    <w:p>
      <w:pPr>
        <w:spacing w:before="191" w:line="179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6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操作界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面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采用彩色温控屏，可灵活设置温度和运行时间，实时显示温度</w:t>
      </w:r>
    </w:p>
    <w:p>
      <w:pPr>
        <w:spacing w:before="190" w:line="175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2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96 位模块采用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喷砂氧化方式(标准 96 孔板尺寸)</w:t>
      </w:r>
    </w:p>
    <w:p>
      <w:pPr>
        <w:spacing w:before="201" w:line="175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6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采用配气系统加热方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式</w:t>
      </w:r>
    </w:p>
    <w:p>
      <w:pPr>
        <w:spacing w:before="198" w:line="175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4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可根据不同样品要求精确调节吹扫压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力</w:t>
      </w:r>
    </w:p>
    <w:p>
      <w:pPr>
        <w:spacing w:before="197" w:line="175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6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可精确调节吹扫气流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量</w:t>
      </w:r>
    </w:p>
    <w:p>
      <w:pPr>
        <w:spacing w:before="198" w:line="176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3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可调整升降高度以满足不同高度的96孔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板</w:t>
      </w:r>
    </w:p>
    <w:p>
      <w:pPr>
        <w:spacing w:before="196" w:line="179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2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针头安装板可自行拆卸，用户可更换清洗</w:t>
      </w:r>
    </w:p>
    <w:p>
      <w:pPr>
        <w:spacing w:before="192" w:line="179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6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一台主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机箱配置两个96位吹扫针头，实现同时吹两块96孔板，相同的气体流量可节约时间</w:t>
      </w:r>
    </w:p>
    <w:p>
      <w:pPr>
        <w:spacing w:before="192" w:line="179" w:lineRule="auto"/>
        <w:ind w:left="12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5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96孔板升降调节为电动按钮控制，方便简捷、美观实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用</w:t>
      </w:r>
    </w:p>
    <w:p>
      <w:pPr>
        <w:sectPr>
          <w:footerReference r:id="rId6" w:type="default"/>
          <w:pgSz w:w="12246" w:h="16498"/>
          <w:pgMar w:top="120" w:right="0" w:bottom="400" w:left="0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pict>
          <v:rect id="_x0000_s1028" o:spid="_x0000_s1028" o:spt="1" style="position:absolute;left:0pt;margin-left:0pt;margin-top:66.85pt;height:1pt;width:465.65pt;mso-position-horizontal-relative:page;mso-position-vertical-relative:page;z-index:251665408;mso-width-relative:page;mso-height-relative:page;" fillcolor="#2D4E81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5925820</wp:posOffset>
            </wp:positionH>
            <wp:positionV relativeFrom="page">
              <wp:posOffset>290195</wp:posOffset>
            </wp:positionV>
            <wp:extent cx="1769745" cy="126619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9737" cy="1265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5115560</wp:posOffset>
            </wp:positionH>
            <wp:positionV relativeFrom="page">
              <wp:posOffset>4359275</wp:posOffset>
            </wp:positionV>
            <wp:extent cx="1398270" cy="158877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8244" cy="158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449" w:lineRule="exact"/>
        <w:ind w:firstLine="9722"/>
        <w:textAlignment w:val="center"/>
      </w:pPr>
      <w:r>
        <w:drawing>
          <wp:inline distT="0" distB="0" distL="0" distR="0">
            <wp:extent cx="99695" cy="28448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913" cy="2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20" w:line="179" w:lineRule="auto"/>
        <w:ind w:left="103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2D5FAC"/>
          <w:spacing w:val="-2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技术参</w:t>
      </w:r>
      <w:r>
        <w:rPr>
          <w:rFonts w:ascii="微软雅黑" w:hAnsi="微软雅黑" w:eastAsia="微软雅黑" w:cs="微软雅黑"/>
          <w:color w:val="2D5FAC"/>
          <w:spacing w:val="-1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数</w:t>
      </w:r>
    </w:p>
    <w:p>
      <w:pPr>
        <w:spacing w:line="146" w:lineRule="exact"/>
      </w:pPr>
    </w:p>
    <w:tbl>
      <w:tblPr>
        <w:tblStyle w:val="4"/>
        <w:tblW w:w="10237" w:type="dxa"/>
        <w:tblInd w:w="103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2"/>
        <w:gridCol w:w="5345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4892" w:type="dxa"/>
            <w:shd w:val="clear" w:color="auto" w:fill="1B5399"/>
            <w:vAlign w:val="top"/>
          </w:tcPr>
          <w:p>
            <w:pPr>
              <w:spacing w:before="67" w:line="160" w:lineRule="auto"/>
              <w:ind w:left="224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2"/>
                <w:sz w:val="20"/>
                <w:szCs w:val="20"/>
              </w:rPr>
              <w:t>项</w:t>
            </w:r>
            <w:r>
              <w:rPr>
                <w:rFonts w:ascii="微软雅黑" w:hAnsi="微软雅黑" w:eastAsia="微软雅黑" w:cs="微软雅黑"/>
                <w:color w:val="FFFFFF"/>
                <w:spacing w:val="-1"/>
                <w:sz w:val="20"/>
                <w:szCs w:val="20"/>
              </w:rPr>
              <w:t>目</w:t>
            </w:r>
          </w:p>
        </w:tc>
        <w:tc>
          <w:tcPr>
            <w:tcW w:w="5345" w:type="dxa"/>
            <w:shd w:val="clear" w:color="auto" w:fill="1B5399"/>
            <w:vAlign w:val="top"/>
          </w:tcPr>
          <w:p>
            <w:pPr>
              <w:spacing w:before="57" w:line="167" w:lineRule="auto"/>
              <w:ind w:left="224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2"/>
                <w:sz w:val="20"/>
                <w:szCs w:val="20"/>
              </w:rPr>
              <w:t>参</w:t>
            </w:r>
            <w:r>
              <w:rPr>
                <w:rFonts w:ascii="微软雅黑" w:hAnsi="微软雅黑" w:eastAsia="微软雅黑" w:cs="微软雅黑"/>
                <w:color w:val="FFFFFF"/>
                <w:spacing w:val="-1"/>
                <w:sz w:val="20"/>
                <w:szCs w:val="20"/>
              </w:rPr>
              <w:t>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3" w:line="165" w:lineRule="auto"/>
              <w:ind w:left="201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8"/>
                <w:sz w:val="20"/>
                <w:szCs w:val="20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20"/>
                <w:szCs w:val="20"/>
              </w:rPr>
              <w:t>6 位模块</w:t>
            </w:r>
          </w:p>
        </w:tc>
        <w:tc>
          <w:tcPr>
            <w:tcW w:w="5345" w:type="dxa"/>
            <w:vAlign w:val="top"/>
          </w:tcPr>
          <w:p>
            <w:pPr>
              <w:spacing w:before="44" w:line="164" w:lineRule="auto"/>
              <w:ind w:left="148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3"/>
                <w:sz w:val="20"/>
                <w:szCs w:val="20"/>
              </w:rPr>
              <w:t>标准尺寸 96 孔板尺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4" w:line="164" w:lineRule="auto"/>
              <w:ind w:left="22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3"/>
                <w:sz w:val="20"/>
                <w:szCs w:val="20"/>
              </w:rPr>
              <w:t>管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路</w:t>
            </w:r>
          </w:p>
        </w:tc>
        <w:tc>
          <w:tcPr>
            <w:tcW w:w="5345" w:type="dxa"/>
            <w:vAlign w:val="top"/>
          </w:tcPr>
          <w:p>
            <w:pPr>
              <w:spacing w:before="44" w:line="164" w:lineRule="auto"/>
              <w:ind w:left="194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9"/>
                <w:sz w:val="20"/>
                <w:szCs w:val="20"/>
              </w:rPr>
              <w:t>PU</w:t>
            </w:r>
            <w:r>
              <w:rPr>
                <w:rFonts w:ascii="微软雅黑" w:hAnsi="微软雅黑" w:eastAsia="微软雅黑" w:cs="微软雅黑"/>
                <w:color w:val="231F20"/>
                <w:spacing w:val="-12"/>
                <w:sz w:val="20"/>
                <w:szCs w:val="20"/>
              </w:rPr>
              <w:t>+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sz w:val="20"/>
                <w:szCs w:val="20"/>
              </w:rPr>
              <w:t xml:space="preserve"> 保温层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4" w:line="164" w:lineRule="auto"/>
              <w:ind w:left="18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流量</w:t>
            </w: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>是否可调</w:t>
            </w:r>
          </w:p>
        </w:tc>
        <w:tc>
          <w:tcPr>
            <w:tcW w:w="5345" w:type="dxa"/>
            <w:vAlign w:val="top"/>
          </w:tcPr>
          <w:p>
            <w:pPr>
              <w:spacing w:before="50" w:line="160" w:lineRule="auto"/>
              <w:ind w:left="225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3"/>
                <w:sz w:val="20"/>
                <w:szCs w:val="20"/>
              </w:rPr>
              <w:t>可调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4" w:line="164" w:lineRule="auto"/>
              <w:ind w:left="18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>气体流量范围</w:t>
            </w:r>
          </w:p>
        </w:tc>
        <w:tc>
          <w:tcPr>
            <w:tcW w:w="5345" w:type="dxa"/>
            <w:vAlign w:val="top"/>
          </w:tcPr>
          <w:p>
            <w:pPr>
              <w:spacing w:before="63" w:line="216" w:lineRule="exact"/>
              <w:ind w:left="199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2"/>
                <w:position w:val="-1"/>
                <w:sz w:val="20"/>
                <w:szCs w:val="20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-1"/>
                <w:sz w:val="20"/>
                <w:szCs w:val="20"/>
              </w:rPr>
              <w:t>-100LPM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4" w:line="164" w:lineRule="auto"/>
              <w:ind w:left="18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加热</w:t>
            </w: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>温度范围</w:t>
            </w:r>
          </w:p>
        </w:tc>
        <w:tc>
          <w:tcPr>
            <w:tcW w:w="5345" w:type="dxa"/>
            <w:vAlign w:val="top"/>
          </w:tcPr>
          <w:p>
            <w:pPr>
              <w:spacing w:before="60" w:line="219" w:lineRule="exact"/>
              <w:ind w:left="21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8"/>
                <w:position w:val="-1"/>
                <w:sz w:val="20"/>
                <w:szCs w:val="20"/>
              </w:rPr>
              <w:t>0-80℃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55" w:line="224" w:lineRule="exact"/>
              <w:ind w:left="225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3"/>
                <w:sz w:val="20"/>
                <w:szCs w:val="20"/>
              </w:rPr>
              <w:t>显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示</w:t>
            </w:r>
          </w:p>
        </w:tc>
        <w:tc>
          <w:tcPr>
            <w:tcW w:w="5345" w:type="dxa"/>
            <w:vAlign w:val="top"/>
          </w:tcPr>
          <w:p>
            <w:pPr>
              <w:spacing w:before="44" w:line="164" w:lineRule="auto"/>
              <w:ind w:left="184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>彩色温控界面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4" w:line="164" w:lineRule="auto"/>
              <w:ind w:left="20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温控精</w:t>
            </w: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>度</w:t>
            </w:r>
          </w:p>
        </w:tc>
        <w:tc>
          <w:tcPr>
            <w:tcW w:w="5345" w:type="dxa"/>
            <w:vAlign w:val="top"/>
          </w:tcPr>
          <w:p>
            <w:pPr>
              <w:spacing w:before="51" w:line="159" w:lineRule="auto"/>
              <w:ind w:left="2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>±3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0"/>
                <w:szCs w:val="20"/>
              </w:rPr>
              <w:t>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4" w:line="164" w:lineRule="auto"/>
              <w:ind w:left="205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3"/>
                <w:sz w:val="20"/>
                <w:szCs w:val="20"/>
              </w:rPr>
              <w:t>工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作环境</w:t>
            </w:r>
          </w:p>
        </w:tc>
        <w:tc>
          <w:tcPr>
            <w:tcW w:w="5345" w:type="dxa"/>
            <w:vAlign w:val="top"/>
          </w:tcPr>
          <w:p>
            <w:pPr>
              <w:spacing w:before="41" w:line="166" w:lineRule="auto"/>
              <w:ind w:left="1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0"/>
                <w:szCs w:val="20"/>
              </w:rPr>
              <w:t>实验室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0"/>
                <w:szCs w:val="20"/>
              </w:rPr>
              <w:t>环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0"/>
                <w:szCs w:val="20"/>
              </w:rPr>
              <w:t>境(温度最好 20-25℃，相对湿度≤ 85%)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5" w:line="163" w:lineRule="auto"/>
              <w:ind w:left="205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3"/>
                <w:sz w:val="20"/>
                <w:szCs w:val="20"/>
              </w:rPr>
              <w:t>工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作电压</w:t>
            </w:r>
          </w:p>
        </w:tc>
        <w:tc>
          <w:tcPr>
            <w:tcW w:w="5345" w:type="dxa"/>
            <w:vAlign w:val="top"/>
          </w:tcPr>
          <w:p>
            <w:pPr>
              <w:spacing w:before="64" w:line="215" w:lineRule="exact"/>
              <w:ind w:left="222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1"/>
                <w:position w:val="-1"/>
                <w:sz w:val="20"/>
                <w:szCs w:val="20"/>
              </w:rPr>
              <w:t>2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position w:val="-1"/>
                <w:sz w:val="20"/>
                <w:szCs w:val="20"/>
              </w:rPr>
              <w:t>20V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92" w:type="dxa"/>
            <w:vAlign w:val="top"/>
          </w:tcPr>
          <w:p>
            <w:pPr>
              <w:spacing w:before="44" w:line="163" w:lineRule="auto"/>
              <w:ind w:left="22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3"/>
                <w:sz w:val="20"/>
                <w:szCs w:val="20"/>
              </w:rPr>
              <w:t>功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率</w:t>
            </w:r>
          </w:p>
        </w:tc>
        <w:tc>
          <w:tcPr>
            <w:tcW w:w="5345" w:type="dxa"/>
            <w:vAlign w:val="top"/>
          </w:tcPr>
          <w:p>
            <w:pPr>
              <w:spacing w:before="64" w:line="214" w:lineRule="exact"/>
              <w:ind w:left="215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0"/>
                <w:position w:val="-1"/>
                <w:sz w:val="20"/>
                <w:szCs w:val="20"/>
              </w:rPr>
              <w:t>1000W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92" w:type="dxa"/>
            <w:vAlign w:val="top"/>
          </w:tcPr>
          <w:p>
            <w:pPr>
              <w:spacing w:before="47" w:line="162" w:lineRule="auto"/>
              <w:ind w:left="20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控制</w:t>
            </w:r>
            <w:r>
              <w:rPr>
                <w:rFonts w:ascii="微软雅黑" w:hAnsi="微软雅黑" w:eastAsia="微软雅黑" w:cs="微软雅黑"/>
                <w:color w:val="231F20"/>
                <w:spacing w:val="-1"/>
                <w:sz w:val="20"/>
                <w:szCs w:val="20"/>
              </w:rPr>
              <w:t>电压</w:t>
            </w:r>
          </w:p>
        </w:tc>
        <w:tc>
          <w:tcPr>
            <w:tcW w:w="5345" w:type="dxa"/>
            <w:vAlign w:val="top"/>
          </w:tcPr>
          <w:p>
            <w:pPr>
              <w:spacing w:before="65" w:line="214" w:lineRule="exact"/>
              <w:ind w:left="222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1"/>
                <w:position w:val="-1"/>
                <w:sz w:val="20"/>
                <w:szCs w:val="20"/>
              </w:rPr>
              <w:t>2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position w:val="-1"/>
                <w:sz w:val="20"/>
                <w:szCs w:val="20"/>
              </w:rPr>
              <w:t>20V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92" w:type="dxa"/>
            <w:vAlign w:val="top"/>
          </w:tcPr>
          <w:p>
            <w:pPr>
              <w:spacing w:before="47" w:line="163" w:lineRule="auto"/>
              <w:ind w:left="225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2"/>
                <w:sz w:val="20"/>
                <w:szCs w:val="20"/>
              </w:rPr>
              <w:t>体积</w:t>
            </w:r>
          </w:p>
        </w:tc>
        <w:tc>
          <w:tcPr>
            <w:tcW w:w="5345" w:type="dxa"/>
            <w:vAlign w:val="top"/>
          </w:tcPr>
          <w:p>
            <w:pPr>
              <w:spacing w:before="45" w:line="165" w:lineRule="auto"/>
              <w:ind w:left="6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8"/>
                <w:sz w:val="20"/>
                <w:szCs w:val="20"/>
              </w:rPr>
              <w:t>424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20"/>
                <w:szCs w:val="20"/>
              </w:rPr>
              <w:t>mm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20"/>
                <w:szCs w:val="20"/>
              </w:rPr>
              <w:t>长 )X250mm( 宽 )X400mm( 高 )</w:t>
            </w: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before="120" w:line="186" w:lineRule="auto"/>
        <w:ind w:left="104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2D5FAC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SariVa</w:t>
      </w:r>
      <w:r>
        <w:rPr>
          <w:rFonts w:ascii="微软雅黑" w:hAnsi="微软雅黑" w:eastAsia="微软雅黑" w:cs="微软雅黑"/>
          <w:color w:val="2D5FAC"/>
          <w:spacing w:val="14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9</w:t>
      </w:r>
      <w:r>
        <w:rPr>
          <w:rFonts w:ascii="微软雅黑" w:hAnsi="微软雅黑" w:eastAsia="微软雅黑" w:cs="微软雅黑"/>
          <w:color w:val="2D5FAC"/>
          <w:spacing w:val="9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6</w:t>
      </w:r>
      <w:r>
        <w:rPr>
          <w:rFonts w:ascii="微软雅黑" w:hAnsi="微软雅黑" w:eastAsia="微软雅黑" w:cs="微软雅黑"/>
          <w:color w:val="2D5FAC"/>
          <w:spacing w:val="9"/>
          <w:sz w:val="28"/>
          <w:szCs w:val="28"/>
        </w:rPr>
        <w:t xml:space="preserve"> </w:t>
      </w:r>
      <w:r>
        <w:rPr>
          <w:rFonts w:ascii="Arial" w:hAnsi="Arial" w:eastAsia="Arial" w:cs="Arial"/>
          <w:color w:val="2D5FAC"/>
          <w:spacing w:val="9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96</w:t>
      </w:r>
      <w:r>
        <w:rPr>
          <w:rFonts w:ascii="宋体" w:hAnsi="宋体" w:eastAsia="宋体" w:cs="宋体"/>
          <w:color w:val="2D5FAC"/>
          <w:spacing w:val="9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孔板</w:t>
      </w:r>
      <w:r>
        <w:rPr>
          <w:rFonts w:ascii="微软雅黑" w:hAnsi="微软雅黑" w:eastAsia="微软雅黑" w:cs="微软雅黑"/>
          <w:color w:val="2D5FAC"/>
          <w:spacing w:val="9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氮吹浓缩仪</w:t>
      </w:r>
    </w:p>
    <w:p>
      <w:pPr>
        <w:spacing w:before="138" w:line="182" w:lineRule="auto"/>
        <w:ind w:left="145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z w:val="20"/>
          <w:szCs w:val="20"/>
        </w:rPr>
        <w:t>SariVap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96 96</w:t>
      </w:r>
      <w:r>
        <w:rPr>
          <w:rFonts w:ascii="宋体" w:hAnsi="宋体" w:eastAsia="宋体" w:cs="宋体"/>
          <w:color w:val="231F20"/>
          <w:spacing w:val="4"/>
          <w:sz w:val="20"/>
          <w:szCs w:val="20"/>
        </w:rPr>
        <w:t>孔板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氮吹浓缩仪是采用微电脑处理和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PID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控制方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式</w:t>
      </w:r>
    </w:p>
    <w:p>
      <w:pPr>
        <w:spacing w:before="141" w:line="400" w:lineRule="exact"/>
        <w:ind w:left="103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5"/>
          <w:position w:val="15"/>
          <w:sz w:val="20"/>
          <w:szCs w:val="20"/>
        </w:rPr>
        <w:t>结</w:t>
      </w:r>
      <w:r>
        <w:rPr>
          <w:rFonts w:ascii="微软雅黑" w:hAnsi="微软雅黑" w:eastAsia="微软雅黑" w:cs="微软雅黑"/>
          <w:color w:val="231F20"/>
          <w:spacing w:val="4"/>
          <w:position w:val="15"/>
          <w:sz w:val="20"/>
          <w:szCs w:val="20"/>
        </w:rPr>
        <w:t>合而形成的高精度温度控制仪器, 其工作原理是将热氮气快</w:t>
      </w:r>
    </w:p>
    <w:p>
      <w:pPr>
        <w:spacing w:before="2" w:line="178" w:lineRule="auto"/>
        <w:ind w:left="103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>速、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连续、可控地吹到加热样品表面，根据被浓缩溶剂的蒸发速</w:t>
      </w:r>
    </w:p>
    <w:p>
      <w:pPr>
        <w:spacing w:before="144" w:line="179" w:lineRule="auto"/>
        <w:ind w:left="10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>度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>和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沸点，设定加热温度，实现大量样品的快速浓缩。本仪器采</w:t>
      </w:r>
    </w:p>
    <w:p>
      <w:pPr>
        <w:spacing w:before="144" w:line="179" w:lineRule="auto"/>
        <w:ind w:left="103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>用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>铝板加热+氮气加热，双层温控模块，其传热性好、传热均匀，</w:t>
      </w:r>
    </w:p>
    <w:p>
      <w:pPr>
        <w:spacing w:before="144" w:line="179" w:lineRule="auto"/>
        <w:ind w:left="10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这利于快速加热和快速温控。将热氮气吹到样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品表面，实现液</w:t>
      </w:r>
    </w:p>
    <w:p>
      <w:pPr>
        <w:spacing w:before="143" w:line="401" w:lineRule="exact"/>
        <w:ind w:left="1035"/>
        <w:rPr>
          <w:rFonts w:ascii="微软雅黑" w:hAnsi="微软雅黑" w:eastAsia="微软雅黑" w:cs="微软雅黑"/>
          <w:sz w:val="20"/>
          <w:szCs w:val="20"/>
        </w:rPr>
      </w:pPr>
      <w:r>
        <w:pict>
          <v:shape id="_x0000_s1029" o:spid="_x0000_s1029" o:spt="202" type="#_x0000_t202" style="position:absolute;left:0pt;margin-left:349.6pt;margin-top:-2.2pt;height:229.7pt;width:216.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284" w:type="dxa"/>
                    <w:tblInd w:w="22" w:type="dxa"/>
                    <w:tblBorders>
                      <w:top w:val="single" w:color="231F20" w:sz="2" w:space="0"/>
                      <w:left w:val="single" w:color="231F20" w:sz="2" w:space="0"/>
                      <w:bottom w:val="single" w:color="231F20" w:sz="2" w:space="0"/>
                      <w:right w:val="single" w:color="231F20" w:sz="2" w:space="0"/>
                      <w:insideH w:val="single" w:color="231F20" w:sz="2" w:space="0"/>
                      <w:insideV w:val="single" w:color="231F2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2"/>
                    <w:gridCol w:w="2472"/>
                  </w:tblGrid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</w:tblPrEx>
                    <w:trPr>
                      <w:trHeight w:val="281" w:hRule="atLeast"/>
                    </w:trPr>
                    <w:tc>
                      <w:tcPr>
                        <w:tcW w:w="1812" w:type="dxa"/>
                        <w:shd w:val="clear" w:color="auto" w:fill="2D5FAC"/>
                        <w:vAlign w:val="top"/>
                      </w:tcPr>
                      <w:p>
                        <w:pPr>
                          <w:spacing w:before="50" w:line="161" w:lineRule="auto"/>
                          <w:ind w:left="707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FFFFFF"/>
                            <w:spacing w:val="-2"/>
                            <w:sz w:val="20"/>
                            <w:szCs w:val="20"/>
                          </w:rPr>
                          <w:t>项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FFFF"/>
                            <w:spacing w:val="-1"/>
                            <w:sz w:val="20"/>
                            <w:szCs w:val="20"/>
                          </w:rPr>
                          <w:t>目</w:t>
                        </w:r>
                      </w:p>
                    </w:tc>
                    <w:tc>
                      <w:tcPr>
                        <w:tcW w:w="2472" w:type="dxa"/>
                        <w:shd w:val="clear" w:color="auto" w:fill="2D5FAC"/>
                        <w:vAlign w:val="top"/>
                      </w:tcPr>
                      <w:p>
                        <w:pPr>
                          <w:spacing w:before="40" w:line="168" w:lineRule="auto"/>
                          <w:ind w:left="1038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FFFFFF"/>
                            <w:spacing w:val="-2"/>
                            <w:sz w:val="20"/>
                            <w:szCs w:val="20"/>
                          </w:rPr>
                          <w:t>参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FFFF"/>
                            <w:spacing w:val="-1"/>
                            <w:sz w:val="20"/>
                            <w:szCs w:val="20"/>
                          </w:rPr>
                          <w:t>数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3" w:line="165" w:lineRule="auto"/>
                          <w:ind w:left="309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气源控温范围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41" w:line="166" w:lineRule="auto"/>
                          <w:ind w:left="541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4"/>
                            <w:sz w:val="20"/>
                            <w:szCs w:val="20"/>
                          </w:rPr>
                          <w:t>室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9"/>
                            <w:sz w:val="20"/>
                            <w:szCs w:val="20"/>
                          </w:rPr>
                          <w:t>温 +5℃ -80℃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4" w:line="164" w:lineRule="auto"/>
                          <w:ind w:left="115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下放辅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助加热范围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43" w:line="165" w:lineRule="auto"/>
                          <w:ind w:left="855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6"/>
                            <w:sz w:val="20"/>
                            <w:szCs w:val="20"/>
                          </w:rPr>
                          <w:t>0-50 度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3" w:line="165" w:lineRule="auto"/>
                          <w:ind w:left="510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控温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精度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40" w:line="167" w:lineRule="auto"/>
                          <w:ind w:left="499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3"/>
                            <w:sz w:val="20"/>
                            <w:szCs w:val="20"/>
                          </w:rPr>
                          <w:t>±1℃(@40℃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3" w:line="165" w:lineRule="auto"/>
                          <w:ind w:left="510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控温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精度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40" w:line="167" w:lineRule="auto"/>
                          <w:ind w:left="499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3"/>
                            <w:sz w:val="20"/>
                            <w:szCs w:val="20"/>
                          </w:rPr>
                          <w:t>±1℃(@80℃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3" w:line="165" w:lineRule="auto"/>
                          <w:ind w:left="512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显示精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59" w:line="220" w:lineRule="exact"/>
                          <w:ind w:left="1004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position w:val="-1"/>
                            <w:sz w:val="20"/>
                            <w:szCs w:val="20"/>
                          </w:rPr>
                          <w:t>0.1℃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3" w:line="165" w:lineRule="auto"/>
                          <w:ind w:left="511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定时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范围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53" w:line="158" w:lineRule="auto"/>
                          <w:ind w:left="532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8"/>
                            <w:sz w:val="20"/>
                            <w:szCs w:val="20"/>
                          </w:rPr>
                          <w:t>1-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7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4"/>
                            <w:sz w:val="20"/>
                            <w:szCs w:val="20"/>
                          </w:rPr>
                          <w:t>9h59min/ ∞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5" w:line="163" w:lineRule="auto"/>
                          <w:ind w:left="512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升温时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间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41" w:line="166" w:lineRule="auto"/>
                          <w:ind w:left="48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0"/>
                            <w:sz w:val="20"/>
                            <w:szCs w:val="20"/>
                          </w:rPr>
                          <w:t>≤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5"/>
                            <w:sz w:val="20"/>
                            <w:szCs w:val="20"/>
                          </w:rPr>
                          <w:t>20 分钟(25℃至 80℃)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5" w:line="163" w:lineRule="auto"/>
                          <w:ind w:left="31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最大升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降行程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63" w:line="215" w:lineRule="exact"/>
                          <w:ind w:left="899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7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6"/>
                            <w:position w:val="-1"/>
                            <w:sz w:val="20"/>
                            <w:szCs w:val="20"/>
                          </w:rPr>
                          <w:t>00mm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4" w:line="164" w:lineRule="auto"/>
                          <w:ind w:left="31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最大气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体流量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54" w:line="157" w:lineRule="auto"/>
                          <w:ind w:left="865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4"/>
                            <w:sz w:val="20"/>
                            <w:szCs w:val="20"/>
                          </w:rPr>
                          <w:t>15L/min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5" w:line="163" w:lineRule="auto"/>
                          <w:ind w:left="31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最大气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体压力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64" w:line="214" w:lineRule="exact"/>
                          <w:ind w:left="851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8"/>
                            <w:position w:val="-1"/>
                            <w:sz w:val="20"/>
                            <w:szCs w:val="20"/>
                          </w:rPr>
                          <w:t>.05Mpa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5" w:line="163" w:lineRule="auto"/>
                          <w:ind w:left="510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模块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"/>
                            <w:sz w:val="20"/>
                            <w:szCs w:val="20"/>
                          </w:rPr>
                          <w:t>数量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67" w:line="211" w:lineRule="exact"/>
                          <w:ind w:left="1195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4" w:line="164" w:lineRule="auto"/>
                          <w:ind w:left="51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最大功率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64" w:line="214" w:lineRule="exact"/>
                          <w:ind w:left="990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0"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9"/>
                            <w:position w:val="-1"/>
                            <w:sz w:val="20"/>
                            <w:szCs w:val="20"/>
                          </w:rPr>
                          <w:t>00W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5" w:line="163" w:lineRule="auto"/>
                          <w:ind w:left="529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5"/>
                            <w:sz w:val="20"/>
                            <w:szCs w:val="20"/>
                          </w:rPr>
                          <w:t>电压规格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54" w:line="157" w:lineRule="auto"/>
                          <w:ind w:left="61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13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8"/>
                            <w:sz w:val="20"/>
                            <w:szCs w:val="20"/>
                          </w:rPr>
                          <w:t>20V 50/60Hz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5" w:line="163" w:lineRule="auto"/>
                          <w:ind w:left="710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尺寸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54" w:line="157" w:lineRule="auto"/>
                          <w:ind w:left="46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8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4"/>
                            <w:sz w:val="20"/>
                            <w:szCs w:val="20"/>
                          </w:rPr>
                          <w:t>0*290*310mm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2" w:space="0"/>
                        <w:left w:val="single" w:color="231F20" w:sz="2" w:space="0"/>
                        <w:bottom w:val="single" w:color="231F20" w:sz="2" w:space="0"/>
                        <w:right w:val="single" w:color="231F20" w:sz="2" w:space="0"/>
                        <w:insideH w:val="single" w:color="231F20" w:sz="2" w:space="0"/>
                        <w:insideV w:val="single" w:color="231F2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1812" w:type="dxa"/>
                        <w:vAlign w:val="top"/>
                      </w:tcPr>
                      <w:p>
                        <w:pPr>
                          <w:spacing w:before="47" w:line="163" w:lineRule="auto"/>
                          <w:ind w:left="714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4"/>
                            <w:sz w:val="20"/>
                            <w:szCs w:val="20"/>
                          </w:rPr>
                          <w:t>重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2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2472" w:type="dxa"/>
                        <w:vAlign w:val="top"/>
                      </w:tcPr>
                      <w:p>
                        <w:pPr>
                          <w:spacing w:before="67" w:line="214" w:lineRule="exact"/>
                          <w:ind w:left="983"/>
                          <w:rPr>
                            <w:rFonts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6"/>
                            <w:position w:val="-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-4"/>
                            <w:position w:val="-1"/>
                            <w:sz w:val="20"/>
                            <w:szCs w:val="20"/>
                          </w:rPr>
                          <w:t>.5Kg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color w:val="231F20"/>
          <w:spacing w:val="-12"/>
          <w:position w:val="15"/>
          <w:sz w:val="20"/>
          <w:szCs w:val="20"/>
        </w:rPr>
        <w:t>体</w:t>
      </w:r>
      <w:r>
        <w:rPr>
          <w:rFonts w:ascii="微软雅黑" w:hAnsi="微软雅黑" w:eastAsia="微软雅黑" w:cs="微软雅黑"/>
          <w:color w:val="231F20"/>
          <w:spacing w:val="-10"/>
          <w:position w:val="15"/>
          <w:sz w:val="20"/>
          <w:szCs w:val="20"/>
        </w:rPr>
        <w:t>样</w:t>
      </w:r>
      <w:r>
        <w:rPr>
          <w:rFonts w:ascii="微软雅黑" w:hAnsi="微软雅黑" w:eastAsia="微软雅黑" w:cs="微软雅黑"/>
          <w:color w:val="231F20"/>
          <w:spacing w:val="-6"/>
          <w:position w:val="15"/>
          <w:sz w:val="20"/>
          <w:szCs w:val="20"/>
        </w:rPr>
        <w:t>品的无氧浓缩。吹管相互独立，不会引起交叉污染。系统具</w:t>
      </w:r>
    </w:p>
    <w:p>
      <w:pPr>
        <w:spacing w:before="1" w:line="175" w:lineRule="auto"/>
        <w:ind w:left="10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>有控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>温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精度高、控温范围广、温度数控数显、温度校准方便。产</w:t>
      </w:r>
    </w:p>
    <w:p>
      <w:pPr>
        <w:spacing w:before="148" w:line="180" w:lineRule="auto"/>
        <w:ind w:left="104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品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外型美观大方，使用操作简单，使用安全、可靠。</w:t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120" w:line="181" w:lineRule="auto"/>
        <w:ind w:left="104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2D5FAC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SariVap</w:t>
      </w:r>
      <w:r>
        <w:rPr>
          <w:rFonts w:ascii="微软雅黑" w:hAnsi="微软雅黑" w:eastAsia="微软雅黑" w:cs="微软雅黑"/>
          <w:color w:val="2D5FAC"/>
          <w:spacing w:val="11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9</w:t>
      </w:r>
      <w:r>
        <w:rPr>
          <w:rFonts w:ascii="微软雅黑" w:hAnsi="微软雅黑" w:eastAsia="微软雅黑" w:cs="微软雅黑"/>
          <w:color w:val="2D5FAC"/>
          <w:spacing w:val="8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6</w:t>
      </w:r>
      <w:r>
        <w:rPr>
          <w:rFonts w:ascii="微软雅黑" w:hAnsi="微软雅黑" w:eastAsia="微软雅黑" w:cs="微软雅黑"/>
          <w:color w:val="2D5FAC"/>
          <w:spacing w:val="8"/>
          <w:sz w:val="28"/>
          <w:szCs w:val="28"/>
        </w:rPr>
        <w:t xml:space="preserve"> </w:t>
      </w:r>
      <w:r>
        <w:rPr>
          <w:rFonts w:ascii="Arial" w:hAnsi="Arial" w:eastAsia="Arial" w:cs="Arial"/>
          <w:color w:val="2D5FAC"/>
          <w:spacing w:val="8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96</w:t>
      </w:r>
      <w:r>
        <w:rPr>
          <w:rFonts w:ascii="宋体" w:hAnsi="宋体" w:eastAsia="宋体" w:cs="宋体"/>
          <w:color w:val="2D5FAC"/>
          <w:spacing w:val="8"/>
          <w:sz w:val="28"/>
          <w:szCs w:val="28"/>
          <w14:textOutline w14:w="5080" w14:cap="flat" w14:cmpd="sng">
            <w14:solidFill>
              <w14:srgbClr w14:val="2D5FAC"/>
            </w14:solidFill>
            <w14:prstDash w14:val="solid"/>
            <w14:miter w14:val="10"/>
          </w14:textOutline>
        </w:rPr>
        <w:t>孔板</w:t>
      </w:r>
      <w:r>
        <w:rPr>
          <w:rFonts w:ascii="微软雅黑" w:hAnsi="微软雅黑" w:eastAsia="微软雅黑" w:cs="微软雅黑"/>
          <w:color w:val="2D5FAC"/>
          <w:spacing w:val="8"/>
          <w:sz w:val="28"/>
          <w:szCs w:val="28"/>
          <w14:textOutline w14:w="3175" w14:cap="flat" w14:cmpd="sng">
            <w14:solidFill>
              <w14:srgbClr w14:val="2D5FAC"/>
            </w14:solidFill>
            <w14:prstDash w14:val="solid"/>
            <w14:miter w14:val="0"/>
          </w14:textOutline>
        </w:rPr>
        <w:t>氮吹仪应用领域</w:t>
      </w:r>
    </w:p>
    <w:p>
      <w:pPr>
        <w:spacing w:before="158" w:line="175" w:lineRule="auto"/>
        <w:ind w:left="103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28"/>
          <w:sz w:val="20"/>
          <w:szCs w:val="20"/>
        </w:rPr>
        <w:t>●</w:t>
      </w:r>
      <w:r>
        <w:rPr>
          <w:rFonts w:ascii="微软雅黑" w:hAnsi="微软雅黑" w:eastAsia="微软雅黑" w:cs="微软雅黑"/>
          <w:color w:val="2D5FAC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D5FAC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农残分析：如蔬菜、水果、谷物、植物组织</w:t>
      </w:r>
    </w:p>
    <w:p>
      <w:pPr>
        <w:spacing w:before="197" w:line="176" w:lineRule="auto"/>
        <w:ind w:left="103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0"/>
          <w:sz w:val="20"/>
          <w:szCs w:val="20"/>
        </w:rPr>
        <w:t xml:space="preserve">● </w:t>
      </w:r>
      <w:r>
        <w:rPr>
          <w:rFonts w:ascii="微软雅黑" w:hAnsi="微软雅黑" w:eastAsia="微软雅黑" w:cs="微软雅黑"/>
          <w:color w:val="2D5FAC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环境分析：如饮引用水、地下水和污染水水样</w:t>
      </w:r>
    </w:p>
    <w:p>
      <w:pPr>
        <w:spacing w:before="198" w:line="175" w:lineRule="auto"/>
        <w:ind w:left="103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4"/>
          <w:sz w:val="20"/>
          <w:szCs w:val="20"/>
        </w:rPr>
        <w:t xml:space="preserve">● </w:t>
      </w:r>
      <w:r>
        <w:rPr>
          <w:rFonts w:ascii="微软雅黑" w:hAnsi="微软雅黑" w:eastAsia="微软雅黑" w:cs="微软雅黑"/>
          <w:color w:val="2D5FAC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生物分析：如激素分析、液相、气相及质谱分析中的样品制备</w:t>
      </w:r>
    </w:p>
    <w:p>
      <w:pPr>
        <w:spacing w:before="197" w:line="176" w:lineRule="auto"/>
        <w:ind w:left="103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17"/>
          <w:sz w:val="20"/>
          <w:szCs w:val="20"/>
        </w:rPr>
        <w:t>●</w:t>
      </w:r>
      <w:r>
        <w:rPr>
          <w:rFonts w:ascii="微软雅黑" w:hAnsi="微软雅黑" w:eastAsia="微软雅黑" w:cs="微软雅黑"/>
          <w:color w:val="2D5FAC"/>
          <w:spacing w:val="-13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>食品饮料：如牛奶、酒、啤酒等</w:t>
      </w:r>
    </w:p>
    <w:p>
      <w:pPr>
        <w:spacing w:before="196" w:line="176" w:lineRule="auto"/>
        <w:ind w:left="103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D5FAC"/>
          <w:spacing w:val="-7"/>
          <w:sz w:val="20"/>
          <w:szCs w:val="20"/>
        </w:rPr>
        <w:t xml:space="preserve">●  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制药药检：如中药制药、药物筛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选</w:t>
      </w:r>
    </w:p>
    <w:p>
      <w:pPr>
        <w:sectPr>
          <w:pgSz w:w="12246" w:h="16498"/>
          <w:pgMar w:top="457" w:right="0" w:bottom="400" w:left="0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947420</wp:posOffset>
            </wp:positionH>
            <wp:positionV relativeFrom="page">
              <wp:posOffset>9074150</wp:posOffset>
            </wp:positionV>
            <wp:extent cx="711200" cy="71120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o:spid="_x0000_s1030" o:spt="202" type="#_x0000_t202" style="position:absolute;left:0pt;margin-left:178.05pt;margin-top:332.7pt;height:45.2pt;width:252.8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7" w:lineRule="auto"/>
                    <w:ind w:left="40"/>
                    <w:rPr>
                      <w:rFonts w:ascii="微软雅黑" w:hAnsi="微软雅黑" w:eastAsia="微软雅黑" w:cs="微软雅黑"/>
                      <w:sz w:val="35"/>
                      <w:szCs w:val="35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5"/>
                      <w:sz w:val="35"/>
                      <w:szCs w:val="35"/>
                    </w:rPr>
                    <w:t>成为保障全球食品健康的领航者</w:t>
                  </w:r>
                </w:p>
                <w:p>
                  <w:pPr>
                    <w:spacing w:line="197" w:lineRule="auto"/>
                    <w:ind w:left="20"/>
                    <w:rPr>
                      <w:rFonts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z w:val="21"/>
                      <w:szCs w:val="21"/>
                    </w:rPr>
                    <w:t>Committed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6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1"/>
                      <w:szCs w:val="21"/>
                    </w:rPr>
                    <w:t>to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1"/>
                      <w:szCs w:val="21"/>
                    </w:rPr>
                    <w:t>safeguarding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1"/>
                      <w:szCs w:val="21"/>
                    </w:rPr>
                    <w:t>global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1"/>
                      <w:szCs w:val="21"/>
                    </w:rPr>
                    <w:t>food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1"/>
                      <w:szCs w:val="21"/>
                    </w:rPr>
                    <w:t>health</w:t>
                  </w:r>
                </w:p>
              </w:txbxContent>
            </v:textbox>
          </v:shape>
        </w:pic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77" w:line="175" w:lineRule="auto"/>
        <w:ind w:left="3032"/>
        <w:rPr>
          <w:rFonts w:ascii="Arial" w:hAnsi="Arial" w:eastAsia="Arial" w:cs="Arial"/>
          <w:sz w:val="18"/>
          <w:szCs w:val="18"/>
        </w:rPr>
      </w:pPr>
      <w:r>
        <w:pict>
          <v:rect id="_x0000_s1031" o:spid="_x0000_s1031" o:spt="1" style="position:absolute;left:0pt;margin-left:-236.7pt;margin-top:-711.5pt;height:828.4pt;width:935.15pt;z-index:251668480;mso-width-relative:page;mso-height-relative:page;" fillcolor="#1B539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 w:cs="微软雅黑"/>
          <w:color w:val="FFFFFF"/>
          <w:spacing w:val="4"/>
          <w:sz w:val="18"/>
          <w:szCs w:val="18"/>
        </w:rPr>
        <w:t>电话</w:t>
      </w:r>
      <w:r>
        <w:rPr>
          <w:rFonts w:ascii="微软雅黑" w:hAnsi="微软雅黑" w:eastAsia="微软雅黑" w:cs="微软雅黑"/>
          <w:color w:val="FFFFFF"/>
          <w:spacing w:val="3"/>
          <w:sz w:val="18"/>
          <w:szCs w:val="18"/>
        </w:rPr>
        <w:t>：</w:t>
      </w:r>
      <w:r>
        <w:rPr>
          <w:rFonts w:ascii="微软雅黑" w:hAnsi="微软雅黑" w:eastAsia="微软雅黑" w:cs="微软雅黑"/>
          <w:color w:val="FFFFFF"/>
          <w:spacing w:val="2"/>
          <w:sz w:val="18"/>
          <w:szCs w:val="18"/>
        </w:rPr>
        <w:t xml:space="preserve"> 1</w:t>
      </w:r>
      <w:r>
        <w:rPr>
          <w:rFonts w:ascii="Arial" w:hAnsi="Arial" w:eastAsia="Arial" w:cs="Arial"/>
          <w:color w:val="FFFFFF"/>
          <w:spacing w:val="2"/>
          <w:sz w:val="18"/>
          <w:szCs w:val="18"/>
        </w:rPr>
        <w:t>3811275639</w:t>
      </w:r>
    </w:p>
    <w:p>
      <w:pPr>
        <w:spacing w:before="80" w:line="210" w:lineRule="auto"/>
        <w:ind w:left="3025"/>
        <w:rPr>
          <w:rFonts w:ascii="Arial" w:hAnsi="Arial" w:eastAsia="Arial" w:cs="Arial"/>
          <w:sz w:val="18"/>
          <w:szCs w:val="18"/>
        </w:rPr>
      </w:pPr>
      <w:r>
        <w:rPr>
          <w:rFonts w:ascii="微软雅黑" w:hAnsi="微软雅黑" w:eastAsia="微软雅黑" w:cs="微软雅黑"/>
          <w:color w:val="FFFFFF"/>
          <w:spacing w:val="-4"/>
          <w:sz w:val="18"/>
          <w:szCs w:val="18"/>
        </w:rPr>
        <w:t>网址</w:t>
      </w:r>
      <w:r>
        <w:rPr>
          <w:rFonts w:ascii="微软雅黑" w:hAnsi="微软雅黑" w:eastAsia="微软雅黑" w:cs="微软雅黑"/>
          <w:color w:val="FFFFFF"/>
          <w:spacing w:val="-3"/>
          <w:sz w:val="18"/>
          <w:szCs w:val="18"/>
        </w:rPr>
        <w:t>：</w:t>
      </w:r>
      <w:r>
        <w:rPr>
          <w:rFonts w:ascii="微软雅黑" w:hAnsi="微软雅黑" w:eastAsia="微软雅黑" w:cs="微软雅黑"/>
          <w:color w:val="FFFFFF"/>
          <w:spacing w:val="-2"/>
          <w:sz w:val="18"/>
          <w:szCs w:val="18"/>
        </w:rPr>
        <w:t>www.</w:t>
      </w:r>
      <w:r>
        <w:rPr>
          <w:rFonts w:ascii="Arial" w:hAnsi="Arial" w:eastAsia="Arial" w:cs="Arial"/>
          <w:color w:val="FFFFFF"/>
          <w:spacing w:val="-2"/>
          <w:sz w:val="18"/>
          <w:szCs w:val="18"/>
        </w:rPr>
        <w:t>cm17.com.cn</w:t>
      </w:r>
    </w:p>
    <w:p>
      <w:pPr>
        <w:spacing w:line="217" w:lineRule="auto"/>
        <w:ind w:left="301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color w:val="FFFFFF"/>
          <w:spacing w:val="-1"/>
          <w:sz w:val="18"/>
          <w:szCs w:val="18"/>
        </w:rPr>
        <w:t>地址;北京市昌平</w:t>
      </w:r>
      <w:r>
        <w:rPr>
          <w:rFonts w:ascii="宋体" w:hAnsi="宋体" w:eastAsia="宋体" w:cs="宋体"/>
          <w:color w:val="FFFFFF"/>
          <w:sz w:val="18"/>
          <w:szCs w:val="18"/>
        </w:rPr>
        <w:t>区回龙观大街35号院1号楼1层142</w:t>
      </w:r>
    </w:p>
    <w:sectPr>
      <w:pgSz w:w="12246" w:h="16498"/>
      <w:pgMar w:top="0" w:right="0" w:bottom="40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auto"/>
      <w:ind w:left="8676" w:right="678" w:firstLine="842"/>
      <w:rPr>
        <w:rFonts w:ascii="微软雅黑" w:hAnsi="微软雅黑" w:eastAsia="微软雅黑" w:cs="微软雅黑"/>
        <w:sz w:val="11"/>
        <w:szCs w:val="11"/>
      </w:rPr>
    </w:pPr>
    <w:r>
      <w:rPr>
        <w:rFonts w:ascii="微软雅黑" w:hAnsi="微软雅黑" w:eastAsia="微软雅黑" w:cs="微软雅黑"/>
        <w:color w:val="1B5399"/>
        <w:spacing w:val="1"/>
        <w:sz w:val="12"/>
        <w:szCs w:val="12"/>
      </w:rPr>
      <w:t>成为</w:t>
    </w:r>
    <w:r>
      <w:rPr>
        <w:rFonts w:ascii="微软雅黑" w:hAnsi="微软雅黑" w:eastAsia="微软雅黑" w:cs="微软雅黑"/>
        <w:color w:val="1B5399"/>
        <w:sz w:val="12"/>
        <w:szCs w:val="12"/>
      </w:rPr>
      <w:t xml:space="preserve">保障全球食品健康的领航者 </w:t>
    </w:r>
    <w:r>
      <w:rPr>
        <w:rFonts w:ascii="微软雅黑" w:hAnsi="微软雅黑" w:eastAsia="微软雅黑" w:cs="微软雅黑"/>
        <w:color w:val="1B5399"/>
        <w:sz w:val="11"/>
        <w:szCs w:val="11"/>
      </w:rPr>
      <w:t>Committed</w:t>
    </w:r>
    <w:r>
      <w:rPr>
        <w:rFonts w:ascii="微软雅黑" w:hAnsi="微软雅黑" w:eastAsia="微软雅黑" w:cs="微软雅黑"/>
        <w:color w:val="1B5399"/>
        <w:spacing w:val="12"/>
        <w:sz w:val="11"/>
        <w:szCs w:val="11"/>
      </w:rPr>
      <w:t xml:space="preserve"> </w:t>
    </w:r>
    <w:r>
      <w:rPr>
        <w:rFonts w:ascii="微软雅黑" w:hAnsi="微软雅黑" w:eastAsia="微软雅黑" w:cs="微软雅黑"/>
        <w:color w:val="1B5399"/>
        <w:sz w:val="11"/>
        <w:szCs w:val="11"/>
      </w:rPr>
      <w:t>to</w:t>
    </w:r>
    <w:r>
      <w:rPr>
        <w:rFonts w:ascii="微软雅黑" w:hAnsi="微软雅黑" w:eastAsia="微软雅黑" w:cs="微软雅黑"/>
        <w:color w:val="1B5399"/>
        <w:spacing w:val="12"/>
        <w:sz w:val="11"/>
        <w:szCs w:val="11"/>
      </w:rPr>
      <w:t xml:space="preserve"> </w:t>
    </w:r>
    <w:r>
      <w:rPr>
        <w:rFonts w:ascii="微软雅黑" w:hAnsi="微软雅黑" w:eastAsia="微软雅黑" w:cs="微软雅黑"/>
        <w:color w:val="1B5399"/>
        <w:sz w:val="11"/>
        <w:szCs w:val="11"/>
      </w:rPr>
      <w:t>safeguarding</w:t>
    </w:r>
    <w:r>
      <w:rPr>
        <w:rFonts w:ascii="微软雅黑" w:hAnsi="微软雅黑" w:eastAsia="微软雅黑" w:cs="微软雅黑"/>
        <w:color w:val="1B5399"/>
        <w:spacing w:val="12"/>
        <w:sz w:val="11"/>
        <w:szCs w:val="11"/>
      </w:rPr>
      <w:t xml:space="preserve"> </w:t>
    </w:r>
    <w:r>
      <w:rPr>
        <w:rFonts w:ascii="微软雅黑" w:hAnsi="微软雅黑" w:eastAsia="微软雅黑" w:cs="微软雅黑"/>
        <w:color w:val="1B5399"/>
        <w:sz w:val="11"/>
        <w:szCs w:val="11"/>
      </w:rPr>
      <w:t>global</w:t>
    </w:r>
    <w:r>
      <w:rPr>
        <w:rFonts w:ascii="微软雅黑" w:hAnsi="微软雅黑" w:eastAsia="微软雅黑" w:cs="微软雅黑"/>
        <w:color w:val="1B5399"/>
        <w:spacing w:val="12"/>
        <w:sz w:val="11"/>
        <w:szCs w:val="11"/>
      </w:rPr>
      <w:t xml:space="preserve"> </w:t>
    </w:r>
    <w:r>
      <w:rPr>
        <w:rFonts w:ascii="微软雅黑" w:hAnsi="微软雅黑" w:eastAsia="微软雅黑" w:cs="微软雅黑"/>
        <w:color w:val="1B5399"/>
        <w:sz w:val="11"/>
        <w:szCs w:val="11"/>
      </w:rPr>
      <w:t>food</w:t>
    </w:r>
    <w:r>
      <w:rPr>
        <w:rFonts w:ascii="微软雅黑" w:hAnsi="微软雅黑" w:eastAsia="微软雅黑" w:cs="微软雅黑"/>
        <w:color w:val="1B5399"/>
        <w:spacing w:val="12"/>
        <w:sz w:val="11"/>
        <w:szCs w:val="11"/>
      </w:rPr>
      <w:t xml:space="preserve"> </w:t>
    </w:r>
    <w:r>
      <w:rPr>
        <w:rFonts w:ascii="微软雅黑" w:hAnsi="微软雅黑" w:eastAsia="微软雅黑" w:cs="微软雅黑"/>
        <w:color w:val="1B5399"/>
        <w:sz w:val="11"/>
        <w:szCs w:val="11"/>
      </w:rPr>
      <w:t>health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FjZWJiMmMzMmI1ZTFkOWEwZGY5NjQ0NTc2NDgzMzkifQ=="/>
  </w:docVars>
  <w:rsids>
    <w:rsidRoot w:val="00000000"/>
    <w:rsid w:val="4BC85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983</Words>
  <Characters>1115</Characters>
  <TotalTime>0</TotalTime>
  <ScaleCrop>false</ScaleCrop>
  <LinksUpToDate>false</LinksUpToDate>
  <CharactersWithSpaces>1190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2022-05-19T08:18:00Z</dcterms:created>
  <dc:creator>1</dc:creator>
  <cp:lastModifiedBy>WPS_1527896917</cp:lastModifiedBy>
  <dcterms:modified xsi:type="dcterms:W3CDTF">2022-05-19T01:02:58Z</dcterms:modified>
  <dc:title>双位氮吹浓缩仪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2022-05-19T08:20:22Z</vt:filetime>
  </property>
  <property fmtid="{D5CDD505-2E9C-101B-9397-08002B2CF9AE}" pid="4" name="KSOProductBuildVer">
    <vt:lpwstr>2052-11.1.0.11636</vt:lpwstr>
  </property>
  <property fmtid="{D5CDD505-2E9C-101B-9397-08002B2CF9AE}" pid="5" name="ICV">
    <vt:lpwstr>BB662736CD6C4402934D59C676E3AAC3</vt:lpwstr>
  </property>
</Properties>
</file>