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Cs w:val="36"/>
        </w:rPr>
      </w:pPr>
      <w:r>
        <w:rPr>
          <w:rFonts w:ascii="宋体" w:hAnsi="宋体" w:cs="宋体"/>
          <w:szCs w:val="36"/>
        </w:rPr>
        <w:t>总</w:t>
      </w:r>
      <w:r>
        <w:rPr>
          <w:rFonts w:hint="eastAsia" w:ascii="宋体" w:hAnsi="宋体" w:cs="宋体"/>
          <w:szCs w:val="36"/>
        </w:rPr>
        <w:t>氮</w:t>
      </w:r>
      <w:r>
        <w:rPr>
          <w:rFonts w:ascii="宋体" w:hAnsi="宋体" w:cs="宋体"/>
          <w:szCs w:val="36"/>
        </w:rPr>
        <w:t>在线</w:t>
      </w:r>
      <w:r>
        <w:rPr>
          <w:rFonts w:hint="eastAsia" w:ascii="宋体" w:hAnsi="宋体" w:cs="宋体"/>
          <w:szCs w:val="36"/>
        </w:rPr>
        <w:t>分析仪</w:t>
      </w:r>
    </w:p>
    <w:p>
      <w:pPr>
        <w:spacing w:line="360" w:lineRule="auto"/>
        <w:rPr>
          <w:b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测量原理</w:t>
      </w:r>
      <w:r>
        <w:rPr>
          <w:rFonts w:hint="eastAsia"/>
          <w:b/>
          <w:color w:val="000000" w:themeColor="text1"/>
          <w:sz w:val="24"/>
          <w:lang w:val="zh-CN"/>
        </w:rPr>
        <w:t>Principle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过硫酸钾氧化，紫外分光光度法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-587375</wp:posOffset>
            </wp:positionV>
            <wp:extent cx="1503680" cy="3234055"/>
            <wp:effectExtent l="0" t="0" r="1270" b="4445"/>
            <wp:wrapSquare wrapText="bothSides"/>
            <wp:docPr id="1" name="图片 1" descr="大表-中性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表-中性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lang w:val="zh-CN"/>
        </w:rPr>
        <w:t>水样中含氮化合物在过硫酸钾存在下，经过充分氧化消解反应，将水样中的含氮化合物氧化成硝酸根离子，再经过紫外分光光度法测出的吸光</w:t>
      </w:r>
      <w:bookmarkStart w:id="0" w:name="_GoBack"/>
      <w:bookmarkEnd w:id="0"/>
      <w:r>
        <w:rPr>
          <w:rFonts w:hint="eastAsia"/>
          <w:color w:val="auto"/>
          <w:sz w:val="24"/>
          <w:lang w:val="zh-CN"/>
        </w:rPr>
        <w:t>度，推算出总氮的含量</w:t>
      </w:r>
      <w:r>
        <w:rPr>
          <w:color w:val="auto"/>
          <w:sz w:val="24"/>
        </w:rPr>
        <w:t>。</w:t>
      </w:r>
    </w:p>
    <w:p>
      <w:pPr>
        <w:spacing w:line="360" w:lineRule="auto"/>
        <w:rPr>
          <w:b/>
          <w:color w:val="auto"/>
          <w:sz w:val="24"/>
          <w:lang w:val="zh-CN"/>
        </w:rPr>
      </w:pPr>
      <w:r>
        <w:rPr>
          <w:b/>
          <w:bCs/>
          <w:color w:val="auto"/>
          <w:sz w:val="24"/>
        </w:rPr>
        <w:t>主要特点</w:t>
      </w:r>
      <w:r>
        <w:rPr>
          <w:rFonts w:hint="eastAsia"/>
          <w:b/>
          <w:color w:val="auto"/>
          <w:sz w:val="24"/>
          <w:lang w:val="zh-CN"/>
        </w:rPr>
        <w:t>Features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采用蓝宝石阀芯的十通阀，耐磨系数高，耐强酸强碱，耐有机溶剂，使用寿命强，稳定性高；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采用</w:t>
      </w:r>
      <w:r>
        <w:rPr>
          <w:rFonts w:hint="eastAsia" w:ascii="宋体" w:hAnsi="宋体"/>
          <w:color w:val="auto"/>
          <w:sz w:val="24"/>
        </w:rPr>
        <w:t>特殊设计的</w:t>
      </w:r>
      <w:r>
        <w:rPr>
          <w:rFonts w:ascii="宋体" w:hAnsi="宋体"/>
          <w:color w:val="auto"/>
          <w:sz w:val="24"/>
        </w:rPr>
        <w:t>参比方式，消解池轻度位移和消解池轻度污染均不影响测量值</w:t>
      </w:r>
      <w:r>
        <w:rPr>
          <w:rFonts w:hint="eastAsia" w:ascii="宋体" w:hAnsi="宋体"/>
          <w:color w:val="auto"/>
          <w:sz w:val="24"/>
        </w:rPr>
        <w:t xml:space="preserve">； 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具有废液分离功能，实现高浓度反应废液和低浓度清洗废液分开存放；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具有自动稀释功能，可根据现场实际水质自动调节量程档；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具有内置加标回收、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零点核查、标样核查、平行样测试等质控功能，且可实现自动、手动、远程等方式启动质控功能；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具备故障自动诊断和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异常信息上传、记录功能，如零部件故障、超量程报警、超标报警、缺试剂报警等信息</w:t>
      </w:r>
      <w:r>
        <w:rPr>
          <w:rFonts w:hint="eastAsia" w:ascii="宋体" w:hAnsi="宋体"/>
          <w:color w:val="auto"/>
          <w:sz w:val="24"/>
        </w:rPr>
        <w:t>；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具有过热保护：加热温度过高，加热器自动断电；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异常复位和断电后来电，仪器自动排出仪器内残留反应物，自动恢复到初始工作状态。具备上电报警功能，断电后重新上电时仪器会生成报警信息；</w:t>
      </w:r>
    </w:p>
    <w:p>
      <w:pPr>
        <w:pStyle w:val="10"/>
        <w:numPr>
          <w:ilvl w:val="0"/>
          <w:numId w:val="1"/>
        </w:numPr>
        <w:tabs>
          <w:tab w:val="left" w:pos="420"/>
        </w:tabs>
        <w:spacing w:line="360" w:lineRule="auto"/>
        <w:ind w:left="420" w:leftChars="0" w:hanging="420" w:firstLineChars="0"/>
        <w:rPr>
          <w:rFonts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具有分析仪器过程日志及测量数据记录及报警信息存储功能，每小时记录一次数据计算，可存储3年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以上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，并可</w:t>
      </w:r>
      <w:r>
        <w:rPr>
          <w:rFonts w:ascii="宋体" w:hAnsi="宋体" w:cs="宋体"/>
          <w:color w:val="auto"/>
          <w:kern w:val="0"/>
          <w:sz w:val="24"/>
          <w:lang w:val="zh-CN"/>
        </w:rPr>
        <w:t>U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盘快速导出数据</w:t>
      </w:r>
      <w:r>
        <w:rPr>
          <w:rFonts w:hint="eastAsia" w:ascii="宋体" w:hAnsi="宋体"/>
          <w:color w:val="auto"/>
          <w:sz w:val="24"/>
        </w:rPr>
        <w:t>；</w:t>
      </w:r>
    </w:p>
    <w:p>
      <w:pPr>
        <w:pStyle w:val="1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line="360" w:lineRule="auto"/>
        <w:ind w:left="420" w:leftChars="0" w:hanging="420" w:firstLineChars="0"/>
        <w:jc w:val="left"/>
        <w:rPr>
          <w:rFonts w:ascii="宋体" w:hAnsi="宋体" w:cs="Arial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zh-CN"/>
        </w:rPr>
        <w:t>具有三级管理权限</w:t>
      </w:r>
      <w:r>
        <w:rPr>
          <w:rFonts w:hint="eastAsia" w:ascii="宋体" w:hAnsi="宋体"/>
          <w:color w:val="auto"/>
          <w:sz w:val="24"/>
        </w:rPr>
        <w:t>；</w:t>
      </w:r>
    </w:p>
    <w:p>
      <w:pPr>
        <w:spacing w:line="360" w:lineRule="auto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典型应用</w:t>
      </w:r>
      <w:r>
        <w:rPr>
          <w:rFonts w:hint="eastAsia"/>
          <w:b/>
          <w:color w:val="auto"/>
          <w:sz w:val="24"/>
          <w:lang w:val="zh-CN"/>
        </w:rPr>
        <w:t>Application</w:t>
      </w:r>
    </w:p>
    <w:p>
      <w:pPr>
        <w:numPr>
          <w:ilvl w:val="0"/>
          <w:numId w:val="2"/>
        </w:num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饮用水、地表水的</w:t>
      </w:r>
      <w:r>
        <w:rPr>
          <w:rFonts w:hint="eastAsia"/>
          <w:color w:val="auto"/>
          <w:sz w:val="24"/>
        </w:rPr>
        <w:t>总氮</w:t>
      </w:r>
      <w:r>
        <w:rPr>
          <w:color w:val="auto"/>
          <w:sz w:val="24"/>
        </w:rPr>
        <w:t>浓度在线监测</w:t>
      </w:r>
      <w:r>
        <w:rPr>
          <w:rFonts w:hint="eastAsia"/>
          <w:color w:val="auto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市政污水进出口、污染源排放口，工业废水出口</w:t>
      </w:r>
      <w:r>
        <w:rPr>
          <w:rFonts w:hint="eastAsia"/>
          <w:color w:val="auto"/>
          <w:sz w:val="24"/>
        </w:rPr>
        <w:t>总氮</w:t>
      </w:r>
      <w:r>
        <w:rPr>
          <w:color w:val="auto"/>
          <w:sz w:val="24"/>
        </w:rPr>
        <w:t>浓度在线监测</w:t>
      </w:r>
      <w:r>
        <w:rPr>
          <w:rFonts w:hint="eastAsia"/>
          <w:color w:val="auto"/>
          <w:sz w:val="24"/>
        </w:rPr>
        <w:t>。</w:t>
      </w:r>
    </w:p>
    <w:p>
      <w:pPr>
        <w:spacing w:line="360" w:lineRule="auto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技术参数</w:t>
      </w:r>
      <w:r>
        <w:rPr>
          <w:rFonts w:hint="eastAsia"/>
          <w:b/>
          <w:color w:val="auto"/>
          <w:sz w:val="24"/>
          <w:lang w:val="zh-CN"/>
        </w:rPr>
        <w:t>Specification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6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量程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rPr>
                <w:color w:val="auto"/>
                <w:szCs w:val="21"/>
              </w:rPr>
            </w:pPr>
            <w:r>
              <w:rPr>
                <w:color w:val="auto"/>
                <w:sz w:val="24"/>
              </w:rPr>
              <w:t>0</w:t>
            </w:r>
            <w:r>
              <w:rPr>
                <w:rFonts w:hint="eastAsia"/>
                <w:color w:val="auto"/>
                <w:sz w:val="24"/>
              </w:rPr>
              <w:t>~100</w:t>
            </w:r>
            <w:r>
              <w:rPr>
                <w:color w:val="auto"/>
                <w:sz w:val="24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准确度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spacing w:line="360" w:lineRule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重复性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spacing w:line="360" w:lineRule="auto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不超过2%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分辨率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0.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0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color w:val="auto"/>
                <w:kern w:val="0"/>
                <w:szCs w:val="21"/>
                <w:highlight w:val="none"/>
              </w:rPr>
              <w:t>1mg/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显示</w:t>
            </w:r>
          </w:p>
        </w:tc>
        <w:tc>
          <w:tcPr>
            <w:tcW w:w="6268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color w:val="auto"/>
                <w:kern w:val="0"/>
                <w:szCs w:val="21"/>
              </w:rPr>
              <w:t>7寸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0"/>
                <w:szCs w:val="21"/>
              </w:rPr>
              <w:t>采样周期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周期测量（1h~30d可调）、整点测量模式、外部触发模式可选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0"/>
                <w:szCs w:val="21"/>
              </w:rPr>
              <w:t>校准模式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手动校准和自动校准两种模式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维护周期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一般每月一次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电源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220VAC±10%，50HZ±10%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输出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4~20mA输出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通讯方式</w:t>
            </w:r>
          </w:p>
        </w:tc>
        <w:tc>
          <w:tcPr>
            <w:tcW w:w="6268" w:type="dxa"/>
            <w:vAlign w:val="center"/>
          </w:tcPr>
          <w:p>
            <w:pPr>
              <w:widowControl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MODBUS RS-232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color w:val="auto"/>
                <w:kern w:val="0"/>
                <w:szCs w:val="21"/>
                <w:highlight w:val="none"/>
              </w:rPr>
              <w:t>RS-485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环境条件</w:t>
            </w:r>
          </w:p>
        </w:tc>
        <w:tc>
          <w:tcPr>
            <w:tcW w:w="6268" w:type="dxa"/>
            <w:vAlign w:val="center"/>
          </w:tcPr>
          <w:p>
            <w:pPr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</w:rPr>
              <w:t>温度可调的室内，</w:t>
            </w:r>
            <w:r>
              <w:rPr>
                <w:rFonts w:hint="eastAsia" w:ascii="宋体" w:hAnsi="宋体"/>
                <w:szCs w:val="21"/>
              </w:rPr>
              <w:t>建议温度+5～40℃；湿度≤</w:t>
            </w:r>
            <w:r>
              <w:rPr>
                <w:rFonts w:ascii="宋体" w:hAnsi="宋体"/>
                <w:szCs w:val="21"/>
              </w:rPr>
              <w:t>85</w:t>
            </w:r>
            <w:r>
              <w:rPr>
                <w:rFonts w:hint="eastAsia" w:ascii="宋体" w:hAnsi="宋体"/>
                <w:szCs w:val="21"/>
              </w:rPr>
              <w:t>%（不结露）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0"/>
                <w:szCs w:val="21"/>
              </w:rPr>
              <w:t>尺寸</w:t>
            </w:r>
          </w:p>
        </w:tc>
        <w:tc>
          <w:tcPr>
            <w:tcW w:w="6265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kern w:val="0"/>
                <w:szCs w:val="21"/>
              </w:rPr>
              <w:t>*3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90</w:t>
            </w:r>
            <w:r>
              <w:rPr>
                <w:rFonts w:ascii="宋体" w:hAnsi="宋体" w:eastAsia="宋体" w:cs="宋体"/>
                <w:kern w:val="0"/>
                <w:szCs w:val="21"/>
              </w:rPr>
              <w:t>*147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kern w:val="0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t>长*宽*高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B43"/>
    <w:multiLevelType w:val="multilevel"/>
    <w:tmpl w:val="068D7B4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eastAsia="宋体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eastAsia="宋体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eastAsia="宋体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eastAsia="宋体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eastAsia="宋体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eastAsia="宋体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eastAsia="宋体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eastAsia="宋体"/>
      </w:rPr>
    </w:lvl>
  </w:abstractNum>
  <w:abstractNum w:abstractNumId="1">
    <w:nsid w:val="6CB1EBE7"/>
    <w:multiLevelType w:val="singleLevel"/>
    <w:tmpl w:val="6CB1EBE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791"/>
    <w:rsid w:val="0001690D"/>
    <w:rsid w:val="00133ED8"/>
    <w:rsid w:val="00652714"/>
    <w:rsid w:val="00B67A6D"/>
    <w:rsid w:val="00E95791"/>
    <w:rsid w:val="4EEC1751"/>
    <w:rsid w:val="651902A8"/>
    <w:rsid w:val="71630CA3"/>
    <w:rsid w:val="76A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100" w:after="100" w:line="360" w:lineRule="auto"/>
      <w:jc w:val="center"/>
      <w:outlineLvl w:val="1"/>
    </w:pPr>
    <w:rPr>
      <w:rFonts w:ascii="Times New Roman" w:hAnsi="Times New Roman" w:eastAsia="宋体" w:cs="Times New Roman"/>
      <w:b/>
      <w:sz w:val="36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0"/>
    <w:rPr>
      <w:rFonts w:ascii="Times New Roman" w:hAnsi="Times New Roman" w:eastAsia="宋体" w:cs="Times New Roman"/>
      <w:b/>
      <w:sz w:val="36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2019-08-29T06:49:00Z</dcterms:created>
  <dc:creator>User</dc:creator>
  <cp:lastModifiedBy>晨小妞</cp:lastModifiedBy>
  <dcterms:modified xsi:type="dcterms:W3CDTF">2021-03-29T02:04:08Z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