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7"/>
        <w:tblW w:w="9521" w:type="dxa"/>
        <w:jc w:val="center"/>
        <w:tblBorders>
          <w:top w:val="double" w:color="auto" w:sz="4" w:space="0"/>
          <w:left w:val="none" w:color="auto" w:sz="0" w:space="0"/>
          <w:bottom w:val="double" w:color="auto" w:sz="4" w:space="0"/>
          <w:right w:val="none" w:color="auto" w:sz="0" w:space="0"/>
          <w:insideH w:val="dashSmallGap" w:color="auto" w:sz="4" w:space="0"/>
          <w:insideV w:val="dashSmallGap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9"/>
        <w:gridCol w:w="3549"/>
        <w:gridCol w:w="2007"/>
        <w:gridCol w:w="2186"/>
      </w:tblGrid>
      <w:tr>
        <w:tblPrEx>
          <w:tblBorders>
            <w:top w:val="double" w:color="auto" w:sz="4" w:space="0"/>
            <w:left w:val="none" w:color="auto" w:sz="0" w:space="0"/>
            <w:bottom w:val="double" w:color="auto" w:sz="4" w:space="0"/>
            <w:right w:val="none" w:color="auto" w:sz="0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9" w:type="dxa"/>
          </w:tcPr>
          <w:p>
            <w:pPr>
              <w:spacing w:line="340" w:lineRule="exact"/>
            </w:pPr>
            <w:bookmarkStart w:id="2" w:name="_GoBack"/>
            <w:bookmarkEnd w:id="2"/>
            <w:r>
              <w:rPr>
                <w:rFonts w:hint="eastAsia"/>
              </w:rPr>
              <w:t>收件人（Attn）：</w:t>
            </w:r>
          </w:p>
        </w:tc>
        <w:tc>
          <w:tcPr>
            <w:tcW w:w="3549" w:type="dxa"/>
          </w:tcPr>
          <w:p>
            <w:pPr>
              <w:spacing w:line="340" w:lineRule="exact"/>
            </w:pPr>
          </w:p>
        </w:tc>
        <w:tc>
          <w:tcPr>
            <w:tcW w:w="2007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发件人（From）：</w:t>
            </w:r>
          </w:p>
        </w:tc>
        <w:tc>
          <w:tcPr>
            <w:tcW w:w="2186" w:type="dxa"/>
          </w:tcPr>
          <w:p>
            <w:pPr>
              <w:spacing w:line="340" w:lineRule="exact"/>
            </w:pPr>
          </w:p>
        </w:tc>
      </w:tr>
      <w:tr>
        <w:tblPrEx>
          <w:tblBorders>
            <w:top w:val="double" w:color="auto" w:sz="4" w:space="0"/>
            <w:left w:val="none" w:color="auto" w:sz="0" w:space="0"/>
            <w:bottom w:val="double" w:color="auto" w:sz="4" w:space="0"/>
            <w:right w:val="none" w:color="auto" w:sz="0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9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单　位（Dep）：</w:t>
            </w:r>
          </w:p>
        </w:tc>
        <w:tc>
          <w:tcPr>
            <w:tcW w:w="3549" w:type="dxa"/>
          </w:tcPr>
          <w:p>
            <w:pPr>
              <w:spacing w:line="340" w:lineRule="exact"/>
            </w:pPr>
          </w:p>
        </w:tc>
        <w:tc>
          <w:tcPr>
            <w:tcW w:w="2007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部　门（Dep）：</w:t>
            </w:r>
          </w:p>
        </w:tc>
        <w:tc>
          <w:tcPr>
            <w:tcW w:w="2186" w:type="dxa"/>
          </w:tcPr>
          <w:p>
            <w:pPr>
              <w:spacing w:line="340" w:lineRule="exact"/>
            </w:pPr>
          </w:p>
        </w:tc>
      </w:tr>
      <w:tr>
        <w:tblPrEx>
          <w:tblBorders>
            <w:top w:val="double" w:color="auto" w:sz="4" w:space="0"/>
            <w:left w:val="none" w:color="auto" w:sz="0" w:space="0"/>
            <w:bottom w:val="double" w:color="auto" w:sz="4" w:space="0"/>
            <w:right w:val="none" w:color="auto" w:sz="0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9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电　话（Tel）：</w:t>
            </w:r>
          </w:p>
        </w:tc>
        <w:tc>
          <w:tcPr>
            <w:tcW w:w="3549" w:type="dxa"/>
          </w:tcPr>
          <w:p>
            <w:pPr>
              <w:spacing w:line="340" w:lineRule="exact"/>
            </w:pPr>
          </w:p>
        </w:tc>
        <w:tc>
          <w:tcPr>
            <w:tcW w:w="2007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电　话（Tel）：</w:t>
            </w:r>
          </w:p>
        </w:tc>
        <w:tc>
          <w:tcPr>
            <w:tcW w:w="2186" w:type="dxa"/>
          </w:tcPr>
          <w:p>
            <w:pPr>
              <w:spacing w:line="340" w:lineRule="exact"/>
            </w:pPr>
          </w:p>
        </w:tc>
      </w:tr>
      <w:tr>
        <w:tblPrEx>
          <w:tblBorders>
            <w:top w:val="double" w:color="auto" w:sz="4" w:space="0"/>
            <w:left w:val="none" w:color="auto" w:sz="0" w:space="0"/>
            <w:bottom w:val="double" w:color="auto" w:sz="4" w:space="0"/>
            <w:right w:val="none" w:color="auto" w:sz="0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79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日  期（Data）：</w:t>
            </w:r>
          </w:p>
        </w:tc>
        <w:tc>
          <w:tcPr>
            <w:tcW w:w="3549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202</w:t>
            </w:r>
            <w:r>
              <w:t>2</w:t>
            </w:r>
            <w:r>
              <w:rPr>
                <w:rFonts w:hint="eastAsia"/>
              </w:rPr>
              <w:t>年</w:t>
            </w:r>
            <w:r>
              <w:t>3</w:t>
            </w:r>
            <w:r>
              <w:rPr>
                <w:rFonts w:hint="eastAsia"/>
              </w:rPr>
              <w:t>月</w:t>
            </w:r>
            <w:r>
              <w:t>5</w:t>
            </w:r>
            <w:r>
              <w:rPr>
                <w:rFonts w:hint="eastAsia"/>
              </w:rPr>
              <w:t>日</w:t>
            </w:r>
          </w:p>
        </w:tc>
        <w:tc>
          <w:tcPr>
            <w:tcW w:w="2007" w:type="dxa"/>
          </w:tcPr>
          <w:p>
            <w:pPr>
              <w:spacing w:line="340" w:lineRule="exact"/>
            </w:pPr>
            <w:r>
              <w:rPr>
                <w:rFonts w:hint="eastAsia"/>
              </w:rPr>
              <w:t>页　数（Page）：</w:t>
            </w:r>
          </w:p>
        </w:tc>
        <w:tc>
          <w:tcPr>
            <w:tcW w:w="2186" w:type="dxa"/>
          </w:tcPr>
          <w:p>
            <w:pPr>
              <w:spacing w:line="340" w:lineRule="exact"/>
            </w:pPr>
            <w:r>
              <w:t>4</w:t>
            </w:r>
          </w:p>
        </w:tc>
      </w:tr>
    </w:tbl>
    <w:p>
      <w:pPr>
        <w:jc w:val="center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报价</w:t>
      </w:r>
      <w:r>
        <w:rPr>
          <w:rFonts w:hint="eastAsia" w:ascii="宋体" w:hAnsi="宋体"/>
          <w:sz w:val="28"/>
          <w:szCs w:val="28"/>
          <w:lang w:val="en-US" w:eastAsia="zh-CN"/>
        </w:rPr>
        <w:t>单</w:t>
      </w:r>
    </w:p>
    <w:tbl>
      <w:tblPr>
        <w:tblStyle w:val="7"/>
        <w:tblW w:w="9766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1418"/>
        <w:gridCol w:w="1789"/>
        <w:gridCol w:w="890"/>
        <w:gridCol w:w="992"/>
        <w:gridCol w:w="39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3" w:hRule="atLeast"/>
        </w:trPr>
        <w:tc>
          <w:tcPr>
            <w:tcW w:w="723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名称</w:t>
            </w:r>
          </w:p>
        </w:tc>
        <w:tc>
          <w:tcPr>
            <w:tcW w:w="1789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型号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数量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宋体" w:hAnsi="宋体"/>
                <w:b/>
                <w:color w:val="FF0000"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价格</w:t>
            </w:r>
          </w:p>
        </w:tc>
        <w:tc>
          <w:tcPr>
            <w:tcW w:w="3954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备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723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418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气相色谱仪</w:t>
            </w:r>
          </w:p>
        </w:tc>
        <w:tc>
          <w:tcPr>
            <w:tcW w:w="1789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APL-GC</w:t>
            </w:r>
            <w:r>
              <w:rPr>
                <w:rFonts w:hint="eastAsia" w:ascii="宋体" w:hAnsi="宋体"/>
                <w:sz w:val="24"/>
              </w:rPr>
              <w:t>-901</w:t>
            </w:r>
          </w:p>
        </w:tc>
        <w:tc>
          <w:tcPr>
            <w:tcW w:w="89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1套</w:t>
            </w:r>
          </w:p>
        </w:tc>
        <w:tc>
          <w:tcPr>
            <w:tcW w:w="992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10</w:t>
            </w:r>
            <w:r>
              <w:rPr>
                <w:rFonts w:ascii="宋体" w:hAnsi="宋体"/>
                <w:sz w:val="24"/>
              </w:rPr>
              <w:t>00</w:t>
            </w:r>
            <w:r>
              <w:rPr>
                <w:rFonts w:hint="eastAsia" w:ascii="宋体" w:hAnsi="宋体"/>
                <w:sz w:val="24"/>
              </w:rPr>
              <w:t>00</w:t>
            </w:r>
          </w:p>
        </w:tc>
        <w:tc>
          <w:tcPr>
            <w:tcW w:w="3954" w:type="dxa"/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color w:val="FF0000"/>
                <w:sz w:val="24"/>
              </w:rPr>
              <w:t>全E</w:t>
            </w:r>
            <w:r>
              <w:rPr>
                <w:rFonts w:ascii="宋体" w:hAnsi="宋体"/>
                <w:color w:val="FF0000"/>
                <w:sz w:val="24"/>
              </w:rPr>
              <w:t>PC</w:t>
            </w:r>
            <w:r>
              <w:rPr>
                <w:rFonts w:hint="eastAsia" w:ascii="宋体" w:hAnsi="宋体"/>
                <w:color w:val="FF0000"/>
                <w:sz w:val="24"/>
              </w:rPr>
              <w:t>控制；</w:t>
            </w:r>
            <w:r>
              <w:rPr>
                <w:rFonts w:ascii="宋体" w:hAnsi="宋体"/>
                <w:sz w:val="24"/>
              </w:rPr>
              <w:t>FID</w:t>
            </w:r>
            <w:r>
              <w:rPr>
                <w:rFonts w:hint="eastAsia" w:ascii="宋体" w:hAnsi="宋体"/>
                <w:sz w:val="24"/>
              </w:rPr>
              <w:t>检测器+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E</w:t>
            </w:r>
            <w:r>
              <w:rPr>
                <w:rFonts w:ascii="宋体" w:hAnsi="宋体"/>
                <w:sz w:val="24"/>
              </w:rPr>
              <w:t>CD</w:t>
            </w:r>
            <w:r>
              <w:rPr>
                <w:rFonts w:hint="eastAsia" w:ascii="宋体" w:hAnsi="宋体"/>
                <w:sz w:val="24"/>
              </w:rPr>
              <w:t>检测器。</w:t>
            </w:r>
            <w:r>
              <w:rPr>
                <w:rFonts w:ascii="宋体" w:hAnsi="宋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9766" w:type="dxa"/>
            <w:gridSpan w:val="6"/>
            <w:vAlign w:val="center"/>
          </w:tcPr>
          <w:p>
            <w:pPr>
              <w:jc w:val="right"/>
              <w:rPr>
                <w:rFonts w:ascii="黑体" w:hAnsi="宋体" w:eastAsia="黑体"/>
                <w:b/>
                <w:sz w:val="24"/>
                <w:szCs w:val="20"/>
              </w:rPr>
            </w:pPr>
            <w:r>
              <w:rPr>
                <w:rFonts w:hint="eastAsia" w:ascii="黑体" w:hAnsi="宋体" w:eastAsia="黑体"/>
                <w:b/>
                <w:sz w:val="24"/>
              </w:rPr>
              <w:t>合计：</w:t>
            </w:r>
            <w:r>
              <w:rPr>
                <w:rFonts w:hint="eastAsia" w:ascii="黑体" w:hAnsi="宋体" w:eastAsia="黑体"/>
                <w:b/>
                <w:sz w:val="24"/>
                <w:lang w:val="en-US" w:eastAsia="zh-CN"/>
              </w:rPr>
              <w:t>壹拾</w:t>
            </w:r>
            <w:r>
              <w:rPr>
                <w:rFonts w:hint="eastAsia" w:ascii="黑体" w:hAnsi="宋体" w:eastAsia="黑体"/>
                <w:b/>
                <w:sz w:val="24"/>
              </w:rPr>
              <w:t>万元整；（￥：</w:t>
            </w:r>
            <w:r>
              <w:rPr>
                <w:rFonts w:hint="eastAsia" w:ascii="黑体" w:hAnsi="宋体" w:eastAsia="黑体"/>
                <w:b/>
                <w:sz w:val="24"/>
                <w:lang w:val="en-US" w:eastAsia="zh-CN"/>
              </w:rPr>
              <w:t>10</w:t>
            </w:r>
            <w:r>
              <w:rPr>
                <w:rFonts w:ascii="黑体" w:hAnsi="宋体" w:eastAsia="黑体"/>
                <w:b/>
                <w:sz w:val="24"/>
              </w:rPr>
              <w:t>0000</w:t>
            </w:r>
            <w:r>
              <w:rPr>
                <w:rFonts w:hint="eastAsia" w:ascii="黑体" w:hAnsi="宋体" w:eastAsia="黑体"/>
                <w:b/>
                <w:sz w:val="24"/>
              </w:rPr>
              <w:t>.00元）；含13%增值税专用发票。</w:t>
            </w:r>
          </w:p>
        </w:tc>
      </w:tr>
    </w:tbl>
    <w:p>
      <w:pPr>
        <w:jc w:val="left"/>
      </w:pPr>
    </w:p>
    <w:p>
      <w:pPr>
        <w:ind w:firstLine="48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4"/>
          <w:szCs w:val="24"/>
        </w:rPr>
        <w:t>我公司仪器符合国家标准，质量三包，保修壹年，终身维修，含包装、运费，安装、调试、现场培训，长期提供技术咨询。</w:t>
      </w:r>
    </w:p>
    <w:p>
      <w:pPr>
        <w:pStyle w:val="12"/>
        <w:numPr>
          <w:ilvl w:val="0"/>
          <w:numId w:val="0"/>
        </w:numPr>
        <w:ind w:leftChars="0"/>
        <w:jc w:val="left"/>
        <w:rPr>
          <w:rFonts w:hint="eastAsia" w:cs="宋体" w:asciiTheme="minorEastAsia" w:hAnsiTheme="minorEastAsia" w:eastAsiaTheme="minorEastAsia"/>
          <w:b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0"/>
        </w:numPr>
        <w:ind w:leftChars="0"/>
        <w:jc w:val="left"/>
        <w:rPr>
          <w:rFonts w:cs="宋体" w:asciiTheme="minorEastAsia" w:hAnsiTheme="minorEastAsia" w:eastAsiaTheme="minorEastAsia"/>
          <w:b/>
          <w:sz w:val="24"/>
          <w:szCs w:val="24"/>
        </w:rPr>
      </w:pPr>
      <w:r>
        <w:rPr>
          <w:rFonts w:hint="eastAsia" w:cs="宋体" w:asciiTheme="minorEastAsia" w:hAnsiTheme="minorEastAsia" w:eastAsiaTheme="minorEastAsia"/>
          <w:b/>
          <w:sz w:val="24"/>
          <w:szCs w:val="24"/>
          <w:lang w:val="en-US" w:eastAsia="zh-CN"/>
        </w:rPr>
        <w:t>一、</w:t>
      </w:r>
      <w:r>
        <w:rPr>
          <w:rFonts w:hint="eastAsia" w:cs="宋体" w:asciiTheme="minorEastAsia" w:hAnsiTheme="minorEastAsia" w:eastAsiaTheme="minorEastAsia"/>
          <w:b/>
          <w:sz w:val="24"/>
          <w:szCs w:val="24"/>
        </w:rPr>
        <w:t xml:space="preserve">气相色谱仪配置 </w:t>
      </w:r>
      <w:r>
        <w:rPr>
          <w:rFonts w:cs="宋体" w:asciiTheme="minorEastAsia" w:hAnsiTheme="minorEastAsia" w:eastAsiaTheme="minorEastAsia"/>
          <w:b/>
          <w:sz w:val="24"/>
          <w:szCs w:val="24"/>
        </w:rPr>
        <w:t xml:space="preserve">  </w:t>
      </w:r>
      <w:r>
        <w:rPr>
          <w:rFonts w:hint="eastAsia" w:cs="宋体" w:asciiTheme="minorEastAsia" w:hAnsiTheme="minorEastAsia" w:eastAsiaTheme="minorEastAsia"/>
          <w:b/>
          <w:color w:val="FF0000"/>
          <w:sz w:val="24"/>
          <w:szCs w:val="24"/>
        </w:rPr>
        <w:t>F</w:t>
      </w:r>
      <w:r>
        <w:rPr>
          <w:rFonts w:cs="宋体" w:asciiTheme="minorEastAsia" w:hAnsiTheme="minorEastAsia" w:eastAsiaTheme="minorEastAsia"/>
          <w:b/>
          <w:color w:val="FF0000"/>
          <w:sz w:val="24"/>
          <w:szCs w:val="24"/>
        </w:rPr>
        <w:t>ID</w:t>
      </w:r>
      <w:r>
        <w:rPr>
          <w:rFonts w:hint="eastAsia" w:cs="宋体" w:asciiTheme="minorEastAsia" w:hAnsiTheme="minorEastAsia" w:eastAsiaTheme="minorEastAsia"/>
          <w:b/>
          <w:color w:val="FF0000"/>
          <w:sz w:val="24"/>
          <w:szCs w:val="24"/>
        </w:rPr>
        <w:t>检测器+</w:t>
      </w:r>
      <w:r>
        <w:rPr>
          <w:rFonts w:cs="宋体" w:asciiTheme="minorEastAsia" w:hAnsiTheme="minorEastAsia" w:eastAsiaTheme="minorEastAsia"/>
          <w:b/>
          <w:color w:val="FF0000"/>
          <w:sz w:val="24"/>
          <w:szCs w:val="24"/>
        </w:rPr>
        <w:t>ECD</w:t>
      </w:r>
      <w:r>
        <w:rPr>
          <w:rFonts w:hint="eastAsia" w:cs="宋体" w:asciiTheme="minorEastAsia" w:hAnsiTheme="minorEastAsia" w:eastAsiaTheme="minorEastAsia"/>
          <w:b/>
          <w:color w:val="FF0000"/>
          <w:sz w:val="24"/>
          <w:szCs w:val="24"/>
        </w:rPr>
        <w:t>检测器</w:t>
      </w:r>
    </w:p>
    <w:tbl>
      <w:tblPr>
        <w:tblStyle w:val="7"/>
        <w:tblW w:w="1015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ashSmallGap" w:color="auto" w:sz="4" w:space="0"/>
          <w:insideV w:val="dashSmallGap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2256"/>
        <w:gridCol w:w="5105"/>
        <w:gridCol w:w="873"/>
        <w:gridCol w:w="12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序号</w:t>
            </w:r>
          </w:p>
        </w:tc>
        <w:tc>
          <w:tcPr>
            <w:tcW w:w="2256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名　称</w:t>
            </w:r>
          </w:p>
        </w:tc>
        <w:tc>
          <w:tcPr>
            <w:tcW w:w="510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性能描述</w:t>
            </w:r>
          </w:p>
        </w:tc>
        <w:tc>
          <w:tcPr>
            <w:tcW w:w="87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数量</w:t>
            </w:r>
          </w:p>
        </w:tc>
        <w:tc>
          <w:tcPr>
            <w:tcW w:w="122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小计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155" w:type="dxa"/>
            <w:gridSpan w:val="5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rPr>
                <w:rFonts w:ascii="黑体" w:hAnsi="宋体" w:eastAsia="黑体"/>
                <w:b/>
                <w:sz w:val="22"/>
                <w:szCs w:val="22"/>
              </w:rPr>
            </w:pP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一、</w:t>
            </w:r>
            <w:r>
              <w:rPr>
                <w:rFonts w:ascii="黑体" w:hAnsi="宋体" w:eastAsia="黑体"/>
                <w:b/>
                <w:sz w:val="22"/>
                <w:szCs w:val="22"/>
              </w:rPr>
              <w:t>HF-901</w:t>
            </w: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型气相色谱仪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tcBorders>
              <w:top w:val="single" w:color="auto" w:sz="12" w:space="0"/>
            </w:tcBorders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-76200</wp:posOffset>
                  </wp:positionV>
                  <wp:extent cx="872490" cy="708660"/>
                  <wp:effectExtent l="19050" t="0" r="3810" b="0"/>
                  <wp:wrapSquare wrapText="bothSides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70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主机</w:t>
            </w:r>
          </w:p>
        </w:tc>
        <w:tc>
          <w:tcPr>
            <w:tcW w:w="5105" w:type="dxa"/>
            <w:tcBorders>
              <w:top w:val="single" w:color="auto" w:sz="12" w:space="0"/>
            </w:tcBorders>
            <w:vAlign w:val="center"/>
          </w:tcPr>
          <w:p>
            <w:pPr>
              <w:tabs>
                <w:tab w:val="left" w:pos="360"/>
              </w:tabs>
              <w:spacing w:line="300" w:lineRule="exact"/>
              <w:rPr>
                <w:rFonts w:ascii="宋体" w:hAnsi="宋体"/>
                <w:sz w:val="20"/>
                <w:szCs w:val="20"/>
              </w:rPr>
            </w:pPr>
            <w:r>
              <w:rPr>
                <w:rFonts w:ascii="黑体" w:hAnsi="宋体" w:eastAsia="黑体"/>
                <w:b/>
                <w:sz w:val="22"/>
                <w:szCs w:val="22"/>
              </w:rPr>
              <w:t>HF-901</w:t>
            </w:r>
            <w:r>
              <w:rPr>
                <w:rFonts w:hint="eastAsia" w:ascii="黑体" w:hAnsi="宋体" w:eastAsia="黑体"/>
                <w:b/>
                <w:sz w:val="22"/>
                <w:szCs w:val="22"/>
              </w:rPr>
              <w:t>型气相色谱仪主机</w:t>
            </w:r>
          </w:p>
        </w:tc>
        <w:tc>
          <w:tcPr>
            <w:tcW w:w="873" w:type="dxa"/>
            <w:tcBorders>
              <w:top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1台</w:t>
            </w:r>
          </w:p>
        </w:tc>
        <w:tc>
          <w:tcPr>
            <w:tcW w:w="1222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vMerge w:val="restart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  <w:tc>
          <w:tcPr>
            <w:tcW w:w="2256" w:type="dxa"/>
            <w:vMerge w:val="restart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检测器</w:t>
            </w:r>
          </w:p>
        </w:tc>
        <w:tc>
          <w:tcPr>
            <w:tcW w:w="5105" w:type="dxa"/>
            <w:vAlign w:val="center"/>
          </w:tcPr>
          <w:p>
            <w:pPr>
              <w:spacing w:line="300" w:lineRule="exact"/>
              <w:rPr>
                <w:rFonts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sz w:val="20"/>
                <w:szCs w:val="20"/>
              </w:rPr>
              <w:t>氢火焰检测器（FID）</w:t>
            </w:r>
            <w:r>
              <w:rPr>
                <w:rFonts w:hint="eastAsia" w:ascii="宋体" w:hAnsi="宋体"/>
                <w:b/>
                <w:color w:val="FF0000"/>
                <w:sz w:val="20"/>
                <w:szCs w:val="20"/>
              </w:rPr>
              <w:t xml:space="preserve">带自动点火 </w:t>
            </w:r>
            <w:r>
              <w:rPr>
                <w:rFonts w:ascii="宋体" w:hAnsi="宋体"/>
                <w:b/>
                <w:color w:val="FF0000"/>
                <w:sz w:val="20"/>
                <w:szCs w:val="20"/>
              </w:rPr>
              <w:t xml:space="preserve"> 对数放大器</w:t>
            </w:r>
          </w:p>
        </w:tc>
        <w:tc>
          <w:tcPr>
            <w:tcW w:w="873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套</w:t>
            </w:r>
          </w:p>
        </w:tc>
        <w:tc>
          <w:tcPr>
            <w:tcW w:w="122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vMerge w:val="continue"/>
            <w:vAlign w:val="center"/>
          </w:tcPr>
          <w:p>
            <w:pPr>
              <w:tabs>
                <w:tab w:val="left" w:pos="420"/>
              </w:tabs>
              <w:spacing w:line="380" w:lineRule="exact"/>
              <w:ind w:left="420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  <w:tc>
          <w:tcPr>
            <w:tcW w:w="2256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  <w:tc>
          <w:tcPr>
            <w:tcW w:w="5105" w:type="dxa"/>
            <w:vAlign w:val="center"/>
          </w:tcPr>
          <w:p>
            <w:pPr>
              <w:spacing w:line="300" w:lineRule="exact"/>
              <w:rPr>
                <w:rFonts w:ascii="宋体" w:hAnsi="宋体"/>
                <w:b/>
                <w:sz w:val="20"/>
                <w:szCs w:val="20"/>
              </w:rPr>
            </w:pPr>
            <w:r>
              <w:rPr>
                <w:rFonts w:hint="eastAsia" w:ascii="宋体" w:hAnsi="宋体"/>
                <w:b/>
                <w:sz w:val="20"/>
                <w:szCs w:val="20"/>
              </w:rPr>
              <w:t>电子捕获检测器（E</w:t>
            </w:r>
            <w:r>
              <w:rPr>
                <w:rFonts w:ascii="宋体" w:hAnsi="宋体"/>
                <w:b/>
                <w:sz w:val="20"/>
                <w:szCs w:val="20"/>
              </w:rPr>
              <w:t>CD</w:t>
            </w:r>
            <w:r>
              <w:rPr>
                <w:rFonts w:hint="eastAsia" w:ascii="宋体" w:hAnsi="宋体"/>
                <w:b/>
                <w:sz w:val="20"/>
                <w:szCs w:val="20"/>
              </w:rPr>
              <w:t>）</w:t>
            </w:r>
          </w:p>
        </w:tc>
        <w:tc>
          <w:tcPr>
            <w:tcW w:w="873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1</w:t>
            </w:r>
            <w:r>
              <w:rPr>
                <w:rFonts w:hint="eastAsia" w:ascii="宋体" w:hAnsi="宋体"/>
                <w:sz w:val="20"/>
                <w:szCs w:val="20"/>
              </w:rPr>
              <w:t>套</w:t>
            </w:r>
          </w:p>
        </w:tc>
        <w:tc>
          <w:tcPr>
            <w:tcW w:w="122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vAlign w:val="center"/>
          </w:tcPr>
          <w:p>
            <w:pPr>
              <w:numPr>
                <w:ilvl w:val="0"/>
                <w:numId w:val="1"/>
              </w:num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  <w:tc>
          <w:tcPr>
            <w:tcW w:w="2256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进样系统</w:t>
            </w:r>
          </w:p>
        </w:tc>
        <w:tc>
          <w:tcPr>
            <w:tcW w:w="5105" w:type="dxa"/>
            <w:vAlign w:val="center"/>
          </w:tcPr>
          <w:p>
            <w:pPr>
              <w:spacing w:line="300" w:lineRule="exact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毛细柱进样系统</w:t>
            </w:r>
          </w:p>
        </w:tc>
        <w:tc>
          <w:tcPr>
            <w:tcW w:w="873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/>
                <w:sz w:val="20"/>
                <w:szCs w:val="20"/>
              </w:rPr>
              <w:t>2</w:t>
            </w:r>
            <w:r>
              <w:rPr>
                <w:rFonts w:hint="eastAsia" w:ascii="宋体" w:hAnsi="宋体"/>
                <w:sz w:val="20"/>
                <w:szCs w:val="20"/>
              </w:rPr>
              <w:t>套</w:t>
            </w:r>
          </w:p>
        </w:tc>
        <w:tc>
          <w:tcPr>
            <w:tcW w:w="122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vAlign w:val="center"/>
          </w:tcPr>
          <w:p>
            <w:pPr>
              <w:tabs>
                <w:tab w:val="left" w:pos="420"/>
              </w:tabs>
              <w:spacing w:line="380" w:lineRule="exact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4</w:t>
            </w:r>
            <w:r>
              <w:rPr>
                <w:rFonts w:ascii="黑体" w:hAnsi="宋体" w:eastAsia="黑体"/>
                <w:b/>
                <w:sz w:val="20"/>
                <w:szCs w:val="20"/>
              </w:rPr>
              <w:t>.</w:t>
            </w:r>
          </w:p>
        </w:tc>
        <w:tc>
          <w:tcPr>
            <w:tcW w:w="2256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脱氧管</w:t>
            </w:r>
          </w:p>
        </w:tc>
        <w:tc>
          <w:tcPr>
            <w:tcW w:w="5105" w:type="dxa"/>
            <w:vAlign w:val="center"/>
          </w:tcPr>
          <w:p>
            <w:pPr>
              <w:spacing w:line="380" w:lineRule="exact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载气脱氧管</w:t>
            </w:r>
          </w:p>
        </w:tc>
        <w:tc>
          <w:tcPr>
            <w:tcW w:w="873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1根</w:t>
            </w:r>
          </w:p>
        </w:tc>
        <w:tc>
          <w:tcPr>
            <w:tcW w:w="122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vAlign w:val="center"/>
          </w:tcPr>
          <w:p>
            <w:pPr>
              <w:tabs>
                <w:tab w:val="left" w:pos="420"/>
              </w:tabs>
              <w:spacing w:line="380" w:lineRule="exact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ascii="黑体" w:hAnsi="宋体" w:eastAsia="黑体"/>
                <w:b/>
                <w:sz w:val="20"/>
                <w:szCs w:val="20"/>
              </w:rPr>
              <w:t>5</w:t>
            </w: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.</w:t>
            </w:r>
          </w:p>
        </w:tc>
        <w:tc>
          <w:tcPr>
            <w:tcW w:w="2256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工作站</w:t>
            </w:r>
          </w:p>
        </w:tc>
        <w:tc>
          <w:tcPr>
            <w:tcW w:w="5105" w:type="dxa"/>
            <w:vAlign w:val="center"/>
          </w:tcPr>
          <w:p>
            <w:pPr>
              <w:spacing w:line="380" w:lineRule="exact"/>
              <w:rPr>
                <w:rFonts w:ascii="宋体" w:hAnsi="宋体"/>
                <w:b/>
                <w:color w:val="FF0000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中文界面，气相色谱</w:t>
            </w:r>
            <w:r>
              <w:rPr>
                <w:rFonts w:hint="eastAsia" w:ascii="宋体" w:hAnsi="宋体"/>
                <w:b/>
                <w:color w:val="FF0000"/>
                <w:sz w:val="20"/>
                <w:szCs w:val="20"/>
              </w:rPr>
              <w:t>专用反控工作站</w:t>
            </w:r>
          </w:p>
        </w:tc>
        <w:tc>
          <w:tcPr>
            <w:tcW w:w="873" w:type="dxa"/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1套</w:t>
            </w:r>
          </w:p>
        </w:tc>
        <w:tc>
          <w:tcPr>
            <w:tcW w:w="1222" w:type="dxa"/>
            <w:vMerge w:val="continue"/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dashSmallGap" w:color="auto" w:sz="4" w:space="0"/>
            <w:insideV w:val="dashSmallGap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699" w:type="dxa"/>
            <w:tcBorders>
              <w:bottom w:val="single" w:color="auto" w:sz="12" w:space="0"/>
            </w:tcBorders>
            <w:vAlign w:val="center"/>
          </w:tcPr>
          <w:p>
            <w:pPr>
              <w:tabs>
                <w:tab w:val="left" w:pos="420"/>
              </w:tabs>
              <w:spacing w:line="380" w:lineRule="exact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6</w:t>
            </w:r>
            <w:r>
              <w:rPr>
                <w:rFonts w:ascii="黑体" w:hAnsi="宋体" w:eastAsia="黑体"/>
                <w:b/>
                <w:sz w:val="20"/>
                <w:szCs w:val="20"/>
              </w:rPr>
              <w:t>.</w:t>
            </w:r>
          </w:p>
        </w:tc>
        <w:tc>
          <w:tcPr>
            <w:tcW w:w="2256" w:type="dxa"/>
            <w:tcBorders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备品备件</w:t>
            </w:r>
          </w:p>
        </w:tc>
        <w:tc>
          <w:tcPr>
            <w:tcW w:w="5105" w:type="dxa"/>
            <w:tcBorders>
              <w:bottom w:val="single" w:color="auto" w:sz="12" w:space="0"/>
            </w:tcBorders>
            <w:vAlign w:val="center"/>
          </w:tcPr>
          <w:p>
            <w:pPr>
              <w:spacing w:line="380" w:lineRule="exact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详见装箱单。</w:t>
            </w:r>
          </w:p>
        </w:tc>
        <w:tc>
          <w:tcPr>
            <w:tcW w:w="873" w:type="dxa"/>
            <w:tcBorders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1套</w:t>
            </w:r>
          </w:p>
        </w:tc>
        <w:tc>
          <w:tcPr>
            <w:tcW w:w="1222" w:type="dxa"/>
            <w:tcBorders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黑体" w:hAnsi="宋体" w:eastAsia="黑体"/>
                <w:b/>
                <w:sz w:val="20"/>
                <w:szCs w:val="20"/>
              </w:rPr>
            </w:pPr>
            <w:r>
              <w:rPr>
                <w:rFonts w:hint="eastAsia" w:ascii="黑体" w:hAnsi="宋体" w:eastAsia="黑体"/>
                <w:b/>
                <w:sz w:val="20"/>
                <w:szCs w:val="20"/>
              </w:rPr>
              <w:t>随机</w:t>
            </w:r>
          </w:p>
        </w:tc>
      </w:tr>
    </w:tbl>
    <w:p>
      <w:pPr>
        <w:jc w:val="left"/>
        <w:rPr>
          <w:rFonts w:cs="宋体" w:asciiTheme="minorEastAsia" w:hAnsiTheme="minorEastAsia" w:eastAsiaTheme="minorEastAsia"/>
          <w:b/>
          <w:sz w:val="24"/>
        </w:rPr>
      </w:pPr>
    </w:p>
    <w:p>
      <w:pPr>
        <w:jc w:val="left"/>
        <w:rPr>
          <w:rStyle w:val="9"/>
          <w:rFonts w:cs="楷体"/>
          <w:color w:val="000000"/>
          <w:sz w:val="32"/>
          <w:szCs w:val="32"/>
        </w:rPr>
      </w:pPr>
    </w:p>
    <w:p>
      <w:pPr>
        <w:rPr>
          <w:rStyle w:val="9"/>
          <w:rFonts w:hint="eastAsia" w:cs="楷体"/>
          <w:color w:val="000000"/>
          <w:sz w:val="32"/>
          <w:szCs w:val="32"/>
        </w:rPr>
      </w:pPr>
      <w:r>
        <w:rPr>
          <w:rStyle w:val="9"/>
          <w:rFonts w:hint="eastAsia" w:cs="楷体"/>
          <w:color w:val="000000"/>
          <w:sz w:val="32"/>
          <w:szCs w:val="32"/>
        </w:rPr>
        <w:br w:type="page"/>
      </w:r>
    </w:p>
    <w:p>
      <w:pPr>
        <w:jc w:val="left"/>
        <w:rPr>
          <w:rFonts w:ascii="楷体_GB2312" w:hAnsi="宋体" w:eastAsia="楷体_GB2312" w:cs="宋体"/>
          <w:b/>
          <w:sz w:val="32"/>
          <w:szCs w:val="32"/>
        </w:rPr>
      </w:pPr>
      <w:r>
        <w:rPr>
          <w:rStyle w:val="9"/>
          <w:rFonts w:hint="eastAsia" w:cs="楷体"/>
          <w:color w:val="000000"/>
          <w:sz w:val="32"/>
          <w:szCs w:val="32"/>
          <w:lang w:val="en-US" w:eastAsia="zh-CN"/>
        </w:rPr>
        <w:t>二</w:t>
      </w:r>
      <w:r>
        <w:rPr>
          <w:rStyle w:val="9"/>
          <w:rFonts w:hint="eastAsia" w:cs="楷体"/>
          <w:color w:val="000000"/>
          <w:sz w:val="32"/>
          <w:szCs w:val="32"/>
        </w:rPr>
        <w:t>、</w:t>
      </w:r>
      <w:r>
        <w:rPr>
          <w:rStyle w:val="9"/>
          <w:rFonts w:hint="eastAsia" w:cs="楷体"/>
          <w:color w:val="000000"/>
          <w:sz w:val="32"/>
          <w:szCs w:val="32"/>
          <w:lang w:val="en-US" w:eastAsia="zh-CN"/>
        </w:rPr>
        <w:t>APL-GC</w:t>
      </w:r>
      <w:r>
        <w:rPr>
          <w:rStyle w:val="9"/>
          <w:rFonts w:hint="eastAsia" w:cs="楷体"/>
          <w:color w:val="000000"/>
          <w:sz w:val="32"/>
          <w:szCs w:val="32"/>
        </w:rPr>
        <w:t xml:space="preserve">-901 气相色谱仪                       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128270</wp:posOffset>
            </wp:positionV>
            <wp:extent cx="2863850" cy="216408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7DCDF4"/>
        <w:spacing w:line="360" w:lineRule="auto"/>
        <w:rPr>
          <w:rFonts w:ascii="Calibri" w:hAnsi="Calibri"/>
          <w:b/>
          <w:bCs/>
          <w:sz w:val="30"/>
          <w:szCs w:val="30"/>
        </w:rPr>
      </w:pPr>
      <w:bookmarkStart w:id="0" w:name="_Hlk66085794"/>
      <w:r>
        <w:rPr>
          <w:rFonts w:hint="eastAsia" w:ascii="Calibri" w:hAnsi="Calibri"/>
          <w:b/>
          <w:bCs/>
          <w:sz w:val="30"/>
          <w:szCs w:val="30"/>
        </w:rPr>
        <w:t>仪器概述</w:t>
      </w:r>
    </w:p>
    <w:bookmarkEnd w:id="0"/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Calibri" w:hAnsi="Calibri" w:cs="Tahoma"/>
          <w:color w:val="4A452A" w:themeColor="background2" w:themeShade="40"/>
          <w:kern w:val="0"/>
          <w:sz w:val="24"/>
        </w:rPr>
      </w:pPr>
      <w:r>
        <w:rPr>
          <w:rFonts w:hint="eastAsia" w:ascii="Calibri" w:hAnsi="Calibri" w:cs="Tahoma"/>
          <w:color w:val="4A452A" w:themeColor="background2" w:themeShade="40"/>
          <w:kern w:val="0"/>
          <w:sz w:val="24"/>
        </w:rPr>
        <w:t>可实现全EPC电子流量控制、实现电脑对仪器的全控制、可搭配高精度液体自动进样器，仪器各项性能及技术均达到国家标准要求。可广泛应用于石油、化工、环保、食品安全、疾控和教育科研等多项领域，可对有机物、无机物以及气体的常量、微量、痕量的分析。</w:t>
      </w:r>
    </w:p>
    <w:p>
      <w:pPr>
        <w:widowControl/>
        <w:shd w:val="clear" w:color="auto" w:fill="FFFFFF"/>
        <w:spacing w:line="360" w:lineRule="auto"/>
        <w:jc w:val="left"/>
        <w:rPr>
          <w:rFonts w:ascii="Calibri" w:hAnsi="Calibri" w:cs="宋体"/>
          <w:color w:val="333333"/>
          <w:kern w:val="0"/>
          <w:sz w:val="24"/>
        </w:rPr>
      </w:pPr>
    </w:p>
    <w:p>
      <w:pPr>
        <w:shd w:val="clear" w:color="auto" w:fill="7DCDF4"/>
        <w:spacing w:line="360" w:lineRule="auto"/>
        <w:rPr>
          <w:rFonts w:ascii="Calibri" w:hAnsi="Calibri"/>
          <w:b/>
          <w:bCs/>
          <w:sz w:val="30"/>
          <w:szCs w:val="30"/>
        </w:rPr>
      </w:pPr>
      <w:r>
        <w:rPr>
          <w:rFonts w:hint="eastAsia" w:ascii="Calibri" w:hAnsi="Calibri"/>
          <w:b/>
          <w:bCs/>
          <w:sz w:val="30"/>
          <w:szCs w:val="30"/>
        </w:rPr>
        <w:t>仪器特点</w:t>
      </w:r>
    </w:p>
    <w:p>
      <w:pPr>
        <w:spacing w:line="360" w:lineRule="auto"/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</w:pPr>
      <w:r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  <w:t>高精度气体流量控制系统（EPC）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采用EPC技术数字化控制、自动化水平和整体性能接近国际一线品牌</w:t>
      </w:r>
      <w:r>
        <w:rPr>
          <w:rFonts w:hint="eastAsia" w:ascii="Calibri" w:hAnsi="Calibri"/>
          <w:color w:val="4A452A" w:themeColor="background2" w:themeShade="40"/>
          <w:sz w:val="24"/>
        </w:rPr>
        <w:t>；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高精度气体流量控制确保GC分析的准确性，确保日常分析效率，EPC控制精度0.01psi</w:t>
      </w:r>
      <w:r>
        <w:rPr>
          <w:rFonts w:hint="eastAsia" w:ascii="Calibri" w:hAnsi="Calibri"/>
          <w:color w:val="4A452A" w:themeColor="background2" w:themeShade="40"/>
          <w:sz w:val="24"/>
        </w:rPr>
        <w:t>；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实现了气路故障自我保护、自动点火、熄火重点、自动开启气路、达到了一键启动。</w:t>
      </w:r>
    </w:p>
    <w:p>
      <w:pPr>
        <w:spacing w:line="360" w:lineRule="auto"/>
        <w:jc w:val="center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 w:cs="Tahoma"/>
          <w:color w:val="333333"/>
          <w:kern w:val="0"/>
          <w:sz w:val="24"/>
        </w:rPr>
        <w:drawing>
          <wp:inline distT="0" distB="0" distL="0" distR="0">
            <wp:extent cx="3651250" cy="197802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637" cy="19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</w:pPr>
      <w:r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  <w:t>彩色宽屏，触摸按键的独特设计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Calibri" w:hAnsi="Calibri" w:cs="宋体"/>
          <w:color w:val="333333"/>
          <w:kern w:val="0"/>
          <w:sz w:val="24"/>
        </w:rPr>
      </w:pPr>
      <w:r>
        <w:rPr>
          <w:rFonts w:hint="eastAsia" w:ascii="Calibri" w:hAnsi="Calibri" w:cs="宋体"/>
          <w:color w:val="333333"/>
          <w:kern w:val="0"/>
          <w:sz w:val="24"/>
        </w:rPr>
        <w:t> </w:t>
      </w:r>
    </w:p>
    <w:p>
      <w:pPr>
        <w:widowControl/>
        <w:shd w:val="clear" w:color="auto" w:fill="FFFFFF"/>
        <w:spacing w:line="360" w:lineRule="auto"/>
        <w:ind w:firstLine="480" w:firstLineChars="200"/>
        <w:jc w:val="center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 w:cs="宋体"/>
          <w:color w:val="333333"/>
          <w:kern w:val="0"/>
          <w:sz w:val="24"/>
        </w:rPr>
        <w:drawing>
          <wp:inline distT="0" distB="0" distL="0" distR="0">
            <wp:extent cx="3898900" cy="85598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425" cy="8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采用7寸工业彩色液晶屏设计，显示信息更全，界面操作更合理；具有 中、英文2套操作系统，满足不同的用户需求；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采用触摸按键，手感好，经久耐用</w:t>
      </w:r>
      <w:r>
        <w:rPr>
          <w:rFonts w:hint="eastAsia" w:ascii="Calibri" w:hAnsi="Calibri"/>
          <w:color w:val="4A452A" w:themeColor="background2" w:themeShade="40"/>
          <w:sz w:val="24"/>
        </w:rPr>
        <w:t>；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采用了先进的10/100M自适应以太网通信接口、内置IP协议栈，轻松组成 局域网，实现远距离传输、远程控制、远程诊断。</w:t>
      </w:r>
    </w:p>
    <w:p>
      <w:pPr>
        <w:spacing w:line="360" w:lineRule="auto"/>
        <w:jc w:val="center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 w:cs="宋体"/>
          <w:color w:val="333333"/>
          <w:kern w:val="0"/>
          <w:sz w:val="24"/>
        </w:rPr>
        <w:drawing>
          <wp:inline distT="0" distB="0" distL="0" distR="0">
            <wp:extent cx="3790950" cy="1965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626" cy="19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</w:pPr>
      <w:r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  <w:t>极具用户体验的软件操作系统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具有界面简单、数据处理功能强大，实现了GC整套分析管 理工作的严谨及高效自动化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配备IBrainchrom工作站，可以支持多台色谱仪(253台）同时 工作，实现数据处理以及反控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具有完整的审计追踪，用户权限管理、电子签名等功能，   使得分析资料、文件均符合GMP管理要求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IBrainchrom工作站具备Modbus RTU通讯协议，可以方便地使  分析结果接入DCS等中控系统</w:t>
      </w:r>
    </w:p>
    <w:p>
      <w:pPr>
        <w:spacing w:line="360" w:lineRule="auto"/>
        <w:jc w:val="center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 w:cs="宋体"/>
          <w:color w:val="333333"/>
          <w:kern w:val="0"/>
          <w:sz w:val="24"/>
        </w:rPr>
        <w:drawing>
          <wp:inline distT="0" distB="0" distL="0" distR="0">
            <wp:extent cx="3549650" cy="2463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9392" cy="248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Calibri" w:hAnsi="Calibri" w:cs="宋体"/>
          <w:color w:val="333333"/>
          <w:kern w:val="0"/>
          <w:sz w:val="24"/>
        </w:rPr>
      </w:pPr>
    </w:p>
    <w:p>
      <w:pPr>
        <w:spacing w:line="360" w:lineRule="auto"/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</w:pPr>
      <w:r>
        <w:rPr>
          <w:rFonts w:ascii="Calibri" w:hAnsi="Calibri"/>
          <w:b/>
          <w:bCs/>
          <w:color w:val="FFFFFF"/>
          <w:sz w:val="28"/>
          <w:szCs w:val="28"/>
          <w:shd w:val="clear" w:color="auto" w:fill="3771BB"/>
        </w:rPr>
        <w:t>模块化的结构设计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模块化的结构设计，便于升级，可选配多种高性能检测器如FID,TCD,ECD,FPD和NPD等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color w:val="4A452A" w:themeColor="background2" w:themeShade="4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系统配置自动进样器接口，内置多款驱动程序，可随时加装自动进样器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/>
          <w:color w:val="4A452A" w:themeColor="background2" w:themeShade="40"/>
          <w:sz w:val="24"/>
        </w:rPr>
        <w:t>设计定时自启动程序，可以轻松的完成气体、液体样品的在线分析（需 配备进样部件）</w:t>
      </w:r>
    </w:p>
    <w:p>
      <w:pPr>
        <w:spacing w:line="360" w:lineRule="auto"/>
        <w:jc w:val="center"/>
        <w:rPr>
          <w:rFonts w:ascii="Calibri" w:hAnsi="Calibri" w:cs="宋体"/>
          <w:color w:val="333333"/>
          <w:kern w:val="0"/>
          <w:sz w:val="24"/>
        </w:rPr>
      </w:pPr>
      <w:r>
        <w:rPr>
          <w:rFonts w:ascii="Calibri" w:hAnsi="Calibri" w:cs="宋体"/>
          <w:color w:val="333333"/>
          <w:kern w:val="0"/>
          <w:sz w:val="24"/>
        </w:rPr>
        <w:drawing>
          <wp:inline distT="0" distB="0" distL="0" distR="0">
            <wp:extent cx="3542030" cy="2527300"/>
            <wp:effectExtent l="0" t="0" r="127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364" cy="255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7DCDF4"/>
        <w:spacing w:line="360" w:lineRule="auto"/>
        <w:rPr>
          <w:rFonts w:ascii="Calibri" w:hAnsi="Calibri"/>
          <w:b/>
          <w:bCs/>
          <w:sz w:val="28"/>
          <w:szCs w:val="28"/>
        </w:rPr>
      </w:pPr>
      <w:bookmarkStart w:id="1" w:name="_Hlk65938999"/>
      <w:r>
        <w:rPr>
          <w:rFonts w:hint="eastAsia" w:ascii="Calibri" w:hAnsi="Calibri"/>
          <w:b/>
          <w:bCs/>
          <w:sz w:val="28"/>
          <w:szCs w:val="28"/>
        </w:rPr>
        <w:t>技术指标</w:t>
      </w:r>
    </w:p>
    <w:bookmarkEnd w:id="1"/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温控区域：8路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程序升温阶数：16阶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外部事件：6路；辅助控制输出2路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气路控制：机械阀控制方式、EPC方式任选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温控范围：室温-450℃</w:t>
      </w:r>
      <w:r>
        <w:rPr>
          <w:rFonts w:ascii="Calibri" w:hAnsi="Calibri"/>
          <w:sz w:val="24"/>
        </w:rPr>
        <w:t xml:space="preserve"> </w:t>
      </w:r>
      <w:r>
        <w:rPr>
          <w:rFonts w:hint="eastAsia" w:ascii="Calibri" w:hAnsi="Calibri"/>
          <w:sz w:val="24"/>
        </w:rPr>
        <w:t>增量0.1℃</w:t>
      </w:r>
      <w:r>
        <w:rPr>
          <w:rFonts w:ascii="Calibri" w:hAnsi="Calibri"/>
          <w:sz w:val="24"/>
        </w:rPr>
        <w:t xml:space="preserve"> </w:t>
      </w:r>
      <w:r>
        <w:rPr>
          <w:rFonts w:hint="eastAsia" w:ascii="Calibri" w:hAnsi="Calibri"/>
          <w:sz w:val="24"/>
        </w:rPr>
        <w:t xml:space="preserve">精度0.01℃ 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程升速率：0.1-80℃/min（高速型）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检测其数目：3个（最多）；FID、TCD、ECD、FPD和NPD任选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进样方式：填充柱、毛细管、进样阀、自动顶空进样任选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EPC、EFC工作模式：2种-恒流模式、恒压模式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EPC、EFC工作气体：5种：</w:t>
      </w:r>
      <w:r>
        <w:rPr>
          <w:rFonts w:hint="eastAsia" w:ascii="Calibri" w:hAnsi="Calibri"/>
          <w:color w:val="4A452A" w:themeColor="background2" w:themeShade="40"/>
          <w:sz w:val="24"/>
        </w:rPr>
        <w:t>氮气、氢</w:t>
      </w:r>
      <w:r>
        <w:rPr>
          <w:rFonts w:hint="eastAsia" w:ascii="Calibri" w:hAnsi="Calibri"/>
          <w:sz w:val="24"/>
        </w:rPr>
        <w:t>气、空气、氦气、氩气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EPC、EFC控制量程：压力：0-0</w:t>
      </w:r>
      <w:r>
        <w:rPr>
          <w:rFonts w:ascii="Calibri" w:hAnsi="Calibri"/>
          <w:sz w:val="24"/>
        </w:rPr>
        <w:t>.6MPa</w:t>
      </w:r>
      <w:r>
        <w:rPr>
          <w:rFonts w:hint="eastAsia" w:ascii="Calibri" w:hAnsi="Calibri"/>
          <w:sz w:val="24"/>
        </w:rPr>
        <w:t>；流量0-100ml</w:t>
      </w:r>
      <w:r>
        <w:rPr>
          <w:rFonts w:ascii="Calibri" w:hAnsi="Calibri"/>
          <w:sz w:val="24"/>
        </w:rPr>
        <w:t>/min</w:t>
      </w:r>
      <w:r>
        <w:rPr>
          <w:rFonts w:hint="eastAsia" w:ascii="Calibri" w:hAnsi="Calibri"/>
          <w:sz w:val="24"/>
        </w:rPr>
        <w:t>或0-500ml</w:t>
      </w:r>
      <w:r>
        <w:rPr>
          <w:rFonts w:ascii="Calibri" w:hAnsi="Calibri"/>
          <w:sz w:val="24"/>
        </w:rPr>
        <w:t>/min(</w:t>
      </w:r>
      <w:r>
        <w:rPr>
          <w:rFonts w:hint="eastAsia" w:ascii="Calibri" w:hAnsi="Calibri"/>
          <w:sz w:val="24"/>
        </w:rPr>
        <w:t>空气)</w:t>
      </w:r>
    </w:p>
    <w:p>
      <w:pPr>
        <w:pStyle w:val="12"/>
        <w:numPr>
          <w:ilvl w:val="0"/>
          <w:numId w:val="2"/>
        </w:numPr>
        <w:spacing w:line="360" w:lineRule="auto"/>
        <w:ind w:left="480" w:hanging="480" w:hangingChars="200"/>
        <w:rPr>
          <w:rFonts w:ascii="Calibri" w:hAnsi="Calibri"/>
          <w:sz w:val="24"/>
        </w:rPr>
      </w:pPr>
      <w:r>
        <w:rPr>
          <w:rFonts w:hint="eastAsia" w:ascii="Calibri" w:hAnsi="Calibri"/>
          <w:sz w:val="24"/>
        </w:rPr>
        <w:t>EPC、EFC控制精度：压力0.01psi；流量0.01ml</w:t>
      </w:r>
      <w:r>
        <w:rPr>
          <w:rFonts w:ascii="Calibri" w:hAnsi="Calibri"/>
          <w:sz w:val="24"/>
        </w:rPr>
        <w:t>/min</w:t>
      </w:r>
    </w:p>
    <w:p>
      <w:pPr>
        <w:widowControl/>
        <w:jc w:val="left"/>
        <w:rPr>
          <w:rFonts w:ascii="宋体" w:hAnsi="宋体" w:cs="微软雅黑"/>
          <w:color w:val="000000"/>
          <w:sz w:val="24"/>
        </w:rPr>
      </w:pPr>
    </w:p>
    <w:p>
      <w:pPr>
        <w:widowControl/>
        <w:jc w:val="left"/>
        <w:rPr>
          <w:rFonts w:ascii="宋体" w:hAnsi="宋体" w:cs="微软雅黑"/>
          <w:color w:val="000000"/>
          <w:sz w:val="24"/>
        </w:rPr>
      </w:pPr>
    </w:p>
    <w:p>
      <w:pPr>
        <w:widowControl/>
        <w:jc w:val="left"/>
        <w:rPr>
          <w:rFonts w:ascii="宋体" w:hAnsi="宋体" w:cs="微软雅黑"/>
          <w:color w:val="000000"/>
          <w:sz w:val="24"/>
        </w:rPr>
      </w:pPr>
    </w:p>
    <w:sectPr>
      <w:headerReference r:id="rId3" w:type="default"/>
      <w:pgSz w:w="11906" w:h="16838"/>
      <w:pgMar w:top="397" w:right="1134" w:bottom="567" w:left="1134" w:header="387" w:footer="1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B"/>
    <w:multiLevelType w:val="multilevel"/>
    <w:tmpl w:val="0000000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6A9F19CA"/>
    <w:multiLevelType w:val="multilevel"/>
    <w:tmpl w:val="6A9F19CA"/>
    <w:lvl w:ilvl="0" w:tentative="0">
      <w:start w:val="1"/>
      <w:numFmt w:val="bullet"/>
      <w:lvlText w:val=""/>
      <w:lvlJc w:val="left"/>
      <w:pPr>
        <w:ind w:left="84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D3331A"/>
    <w:rsid w:val="00000448"/>
    <w:rsid w:val="00004802"/>
    <w:rsid w:val="00012BF3"/>
    <w:rsid w:val="0002247F"/>
    <w:rsid w:val="000549E4"/>
    <w:rsid w:val="000614FC"/>
    <w:rsid w:val="0007341A"/>
    <w:rsid w:val="00082DE1"/>
    <w:rsid w:val="00085ADC"/>
    <w:rsid w:val="00097B09"/>
    <w:rsid w:val="000A16CC"/>
    <w:rsid w:val="000A7BF0"/>
    <w:rsid w:val="000B66EA"/>
    <w:rsid w:val="000F5936"/>
    <w:rsid w:val="001000A7"/>
    <w:rsid w:val="00113D3C"/>
    <w:rsid w:val="00116550"/>
    <w:rsid w:val="00125998"/>
    <w:rsid w:val="001370F3"/>
    <w:rsid w:val="001463D8"/>
    <w:rsid w:val="001569DF"/>
    <w:rsid w:val="00160AEF"/>
    <w:rsid w:val="001610AE"/>
    <w:rsid w:val="0017304F"/>
    <w:rsid w:val="00180165"/>
    <w:rsid w:val="00180299"/>
    <w:rsid w:val="001A618B"/>
    <w:rsid w:val="001A73F3"/>
    <w:rsid w:val="001A75D5"/>
    <w:rsid w:val="001B2C22"/>
    <w:rsid w:val="001B6491"/>
    <w:rsid w:val="001C5B97"/>
    <w:rsid w:val="001C796B"/>
    <w:rsid w:val="001D6885"/>
    <w:rsid w:val="001D6991"/>
    <w:rsid w:val="001E0565"/>
    <w:rsid w:val="001E3A0A"/>
    <w:rsid w:val="001E5794"/>
    <w:rsid w:val="00200A4E"/>
    <w:rsid w:val="0021427B"/>
    <w:rsid w:val="00220568"/>
    <w:rsid w:val="00225AD9"/>
    <w:rsid w:val="00231BD6"/>
    <w:rsid w:val="00242B19"/>
    <w:rsid w:val="002623BA"/>
    <w:rsid w:val="00262B2F"/>
    <w:rsid w:val="00264B52"/>
    <w:rsid w:val="00271077"/>
    <w:rsid w:val="00275CCE"/>
    <w:rsid w:val="00293B0C"/>
    <w:rsid w:val="002A73E6"/>
    <w:rsid w:val="002B7AD9"/>
    <w:rsid w:val="002E54FB"/>
    <w:rsid w:val="0031090D"/>
    <w:rsid w:val="0031091F"/>
    <w:rsid w:val="003125B1"/>
    <w:rsid w:val="00357800"/>
    <w:rsid w:val="00373B1E"/>
    <w:rsid w:val="00375D39"/>
    <w:rsid w:val="003A4203"/>
    <w:rsid w:val="003B0420"/>
    <w:rsid w:val="003B7A06"/>
    <w:rsid w:val="003D431A"/>
    <w:rsid w:val="003D7053"/>
    <w:rsid w:val="003E6FA9"/>
    <w:rsid w:val="003E7233"/>
    <w:rsid w:val="003F0CF0"/>
    <w:rsid w:val="00401A18"/>
    <w:rsid w:val="00403599"/>
    <w:rsid w:val="0041564A"/>
    <w:rsid w:val="00420E1F"/>
    <w:rsid w:val="00420E37"/>
    <w:rsid w:val="00436778"/>
    <w:rsid w:val="004448D0"/>
    <w:rsid w:val="004571FB"/>
    <w:rsid w:val="004672E1"/>
    <w:rsid w:val="00491A95"/>
    <w:rsid w:val="00495F44"/>
    <w:rsid w:val="00497566"/>
    <w:rsid w:val="004A0CDF"/>
    <w:rsid w:val="004A4077"/>
    <w:rsid w:val="004B07E7"/>
    <w:rsid w:val="004B466D"/>
    <w:rsid w:val="004B550F"/>
    <w:rsid w:val="004C0002"/>
    <w:rsid w:val="004C069F"/>
    <w:rsid w:val="004C5030"/>
    <w:rsid w:val="004D093E"/>
    <w:rsid w:val="004E4DCD"/>
    <w:rsid w:val="004E4DCF"/>
    <w:rsid w:val="005052A5"/>
    <w:rsid w:val="00505770"/>
    <w:rsid w:val="00511705"/>
    <w:rsid w:val="00513CF4"/>
    <w:rsid w:val="00517FDE"/>
    <w:rsid w:val="00564244"/>
    <w:rsid w:val="00564A2E"/>
    <w:rsid w:val="00564ED4"/>
    <w:rsid w:val="0057054B"/>
    <w:rsid w:val="00572895"/>
    <w:rsid w:val="00572CC7"/>
    <w:rsid w:val="005757F2"/>
    <w:rsid w:val="005814EF"/>
    <w:rsid w:val="00582BA5"/>
    <w:rsid w:val="00592604"/>
    <w:rsid w:val="0059336B"/>
    <w:rsid w:val="005C1CE8"/>
    <w:rsid w:val="005D3648"/>
    <w:rsid w:val="005E470A"/>
    <w:rsid w:val="005E72AC"/>
    <w:rsid w:val="005F3780"/>
    <w:rsid w:val="0060246A"/>
    <w:rsid w:val="006217E0"/>
    <w:rsid w:val="00623F12"/>
    <w:rsid w:val="006276E0"/>
    <w:rsid w:val="006313E8"/>
    <w:rsid w:val="00636DF4"/>
    <w:rsid w:val="00637D5C"/>
    <w:rsid w:val="00654D2B"/>
    <w:rsid w:val="00655189"/>
    <w:rsid w:val="00663FC9"/>
    <w:rsid w:val="00675588"/>
    <w:rsid w:val="00681D38"/>
    <w:rsid w:val="0069670F"/>
    <w:rsid w:val="006B1C45"/>
    <w:rsid w:val="006B3961"/>
    <w:rsid w:val="006B4736"/>
    <w:rsid w:val="006B489F"/>
    <w:rsid w:val="006B5009"/>
    <w:rsid w:val="006B5C98"/>
    <w:rsid w:val="006C4DDC"/>
    <w:rsid w:val="006D1AEC"/>
    <w:rsid w:val="006D23D6"/>
    <w:rsid w:val="006E47EB"/>
    <w:rsid w:val="006F7B4C"/>
    <w:rsid w:val="0070311A"/>
    <w:rsid w:val="00704EA0"/>
    <w:rsid w:val="00712C18"/>
    <w:rsid w:val="007176DA"/>
    <w:rsid w:val="00725406"/>
    <w:rsid w:val="00736912"/>
    <w:rsid w:val="00740479"/>
    <w:rsid w:val="007650AF"/>
    <w:rsid w:val="007662C9"/>
    <w:rsid w:val="00773BDC"/>
    <w:rsid w:val="007767D4"/>
    <w:rsid w:val="007A248D"/>
    <w:rsid w:val="007A5DD9"/>
    <w:rsid w:val="007A5F55"/>
    <w:rsid w:val="007B4AFE"/>
    <w:rsid w:val="007D7EFD"/>
    <w:rsid w:val="007E070D"/>
    <w:rsid w:val="007E294C"/>
    <w:rsid w:val="00804809"/>
    <w:rsid w:val="00804F77"/>
    <w:rsid w:val="0080625A"/>
    <w:rsid w:val="00806814"/>
    <w:rsid w:val="00843C28"/>
    <w:rsid w:val="00847772"/>
    <w:rsid w:val="00860155"/>
    <w:rsid w:val="00860FBC"/>
    <w:rsid w:val="00861F12"/>
    <w:rsid w:val="0086440A"/>
    <w:rsid w:val="00864DF0"/>
    <w:rsid w:val="00871311"/>
    <w:rsid w:val="008833E4"/>
    <w:rsid w:val="0088474F"/>
    <w:rsid w:val="00887882"/>
    <w:rsid w:val="0089327E"/>
    <w:rsid w:val="00896155"/>
    <w:rsid w:val="008B7AA9"/>
    <w:rsid w:val="008C15AF"/>
    <w:rsid w:val="008C3AEF"/>
    <w:rsid w:val="008C4919"/>
    <w:rsid w:val="008C651C"/>
    <w:rsid w:val="008D2320"/>
    <w:rsid w:val="008E6B35"/>
    <w:rsid w:val="008F692D"/>
    <w:rsid w:val="00927961"/>
    <w:rsid w:val="009308E2"/>
    <w:rsid w:val="009463DA"/>
    <w:rsid w:val="00954D9A"/>
    <w:rsid w:val="00956DA9"/>
    <w:rsid w:val="00960804"/>
    <w:rsid w:val="00967F72"/>
    <w:rsid w:val="009739E6"/>
    <w:rsid w:val="009A0F4B"/>
    <w:rsid w:val="009B11F4"/>
    <w:rsid w:val="009C182C"/>
    <w:rsid w:val="009C6464"/>
    <w:rsid w:val="009C69AC"/>
    <w:rsid w:val="009C796A"/>
    <w:rsid w:val="009E055A"/>
    <w:rsid w:val="00A036CF"/>
    <w:rsid w:val="00A11103"/>
    <w:rsid w:val="00A23637"/>
    <w:rsid w:val="00A25099"/>
    <w:rsid w:val="00A349A8"/>
    <w:rsid w:val="00A36772"/>
    <w:rsid w:val="00A4447C"/>
    <w:rsid w:val="00A45533"/>
    <w:rsid w:val="00A638AD"/>
    <w:rsid w:val="00A64E84"/>
    <w:rsid w:val="00A73338"/>
    <w:rsid w:val="00A73B36"/>
    <w:rsid w:val="00A74C02"/>
    <w:rsid w:val="00A7742D"/>
    <w:rsid w:val="00A93E45"/>
    <w:rsid w:val="00A97874"/>
    <w:rsid w:val="00AB1F3D"/>
    <w:rsid w:val="00AC16B3"/>
    <w:rsid w:val="00AD478E"/>
    <w:rsid w:val="00AD65EC"/>
    <w:rsid w:val="00AD78F6"/>
    <w:rsid w:val="00AE26C8"/>
    <w:rsid w:val="00AE738B"/>
    <w:rsid w:val="00B01B97"/>
    <w:rsid w:val="00B06787"/>
    <w:rsid w:val="00B137B1"/>
    <w:rsid w:val="00B153FA"/>
    <w:rsid w:val="00B34A57"/>
    <w:rsid w:val="00B35F41"/>
    <w:rsid w:val="00B4054C"/>
    <w:rsid w:val="00B44616"/>
    <w:rsid w:val="00B6488E"/>
    <w:rsid w:val="00B72629"/>
    <w:rsid w:val="00B85ABC"/>
    <w:rsid w:val="00B923E3"/>
    <w:rsid w:val="00B9786B"/>
    <w:rsid w:val="00BD103F"/>
    <w:rsid w:val="00BD5F3B"/>
    <w:rsid w:val="00BD6B4A"/>
    <w:rsid w:val="00BE7C63"/>
    <w:rsid w:val="00BF07F7"/>
    <w:rsid w:val="00BF2C22"/>
    <w:rsid w:val="00BF76F9"/>
    <w:rsid w:val="00C01D29"/>
    <w:rsid w:val="00C07218"/>
    <w:rsid w:val="00C07743"/>
    <w:rsid w:val="00C13F12"/>
    <w:rsid w:val="00C24A74"/>
    <w:rsid w:val="00C3550C"/>
    <w:rsid w:val="00C46289"/>
    <w:rsid w:val="00C7625A"/>
    <w:rsid w:val="00C77C01"/>
    <w:rsid w:val="00C812F1"/>
    <w:rsid w:val="00C832A6"/>
    <w:rsid w:val="00C87D0A"/>
    <w:rsid w:val="00CA3F9B"/>
    <w:rsid w:val="00CB1DF8"/>
    <w:rsid w:val="00CB77B7"/>
    <w:rsid w:val="00CC25BD"/>
    <w:rsid w:val="00CC272C"/>
    <w:rsid w:val="00CC2CA0"/>
    <w:rsid w:val="00CE0383"/>
    <w:rsid w:val="00CF0A8C"/>
    <w:rsid w:val="00CF1295"/>
    <w:rsid w:val="00CF5241"/>
    <w:rsid w:val="00CF7592"/>
    <w:rsid w:val="00D21E16"/>
    <w:rsid w:val="00D26108"/>
    <w:rsid w:val="00D32745"/>
    <w:rsid w:val="00D459D6"/>
    <w:rsid w:val="00D471F4"/>
    <w:rsid w:val="00D47958"/>
    <w:rsid w:val="00D520BA"/>
    <w:rsid w:val="00D53640"/>
    <w:rsid w:val="00D648BA"/>
    <w:rsid w:val="00D86B8D"/>
    <w:rsid w:val="00D94738"/>
    <w:rsid w:val="00D97268"/>
    <w:rsid w:val="00DA28E9"/>
    <w:rsid w:val="00DA343F"/>
    <w:rsid w:val="00DA7341"/>
    <w:rsid w:val="00DB3E8B"/>
    <w:rsid w:val="00DB5167"/>
    <w:rsid w:val="00DC19AA"/>
    <w:rsid w:val="00DD610A"/>
    <w:rsid w:val="00DE0F7C"/>
    <w:rsid w:val="00DE2CB6"/>
    <w:rsid w:val="00DE2CC2"/>
    <w:rsid w:val="00DE4A14"/>
    <w:rsid w:val="00DF0F1E"/>
    <w:rsid w:val="00DF3CF4"/>
    <w:rsid w:val="00E00D1F"/>
    <w:rsid w:val="00E05353"/>
    <w:rsid w:val="00E2290F"/>
    <w:rsid w:val="00E24E89"/>
    <w:rsid w:val="00E2567A"/>
    <w:rsid w:val="00E37464"/>
    <w:rsid w:val="00E4399B"/>
    <w:rsid w:val="00E45621"/>
    <w:rsid w:val="00E7020C"/>
    <w:rsid w:val="00E7451D"/>
    <w:rsid w:val="00E753F7"/>
    <w:rsid w:val="00E7779F"/>
    <w:rsid w:val="00E821A7"/>
    <w:rsid w:val="00E9131E"/>
    <w:rsid w:val="00EA3594"/>
    <w:rsid w:val="00EA4356"/>
    <w:rsid w:val="00EB6F1F"/>
    <w:rsid w:val="00EC1A78"/>
    <w:rsid w:val="00EC5F05"/>
    <w:rsid w:val="00ED07DB"/>
    <w:rsid w:val="00ED1016"/>
    <w:rsid w:val="00ED61AB"/>
    <w:rsid w:val="00F224C0"/>
    <w:rsid w:val="00F31C81"/>
    <w:rsid w:val="00F43EB7"/>
    <w:rsid w:val="00F44D29"/>
    <w:rsid w:val="00F67B92"/>
    <w:rsid w:val="00F84B6D"/>
    <w:rsid w:val="00F86794"/>
    <w:rsid w:val="00F907A7"/>
    <w:rsid w:val="00FA3359"/>
    <w:rsid w:val="00FA36A9"/>
    <w:rsid w:val="00FB4EFC"/>
    <w:rsid w:val="00FE3E06"/>
    <w:rsid w:val="08A76D8F"/>
    <w:rsid w:val="12145832"/>
    <w:rsid w:val="123A730E"/>
    <w:rsid w:val="2FAB64AC"/>
    <w:rsid w:val="33BD004D"/>
    <w:rsid w:val="41DD64D5"/>
    <w:rsid w:val="47A442FB"/>
    <w:rsid w:val="55D3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uiPriority w:val="0"/>
    <w:pPr>
      <w:ind w:left="100" w:leftChars="250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line="300" w:lineRule="atLeast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rFonts w:ascii="Times New Roman" w:hAnsi="Times New Roman" w:eastAsia="宋体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字符"/>
    <w:basedOn w:val="8"/>
    <w:link w:val="3"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3">
    <w:name w:val="日期 字符"/>
    <w:basedOn w:val="8"/>
    <w:link w:val="2"/>
    <w:qFormat/>
    <w:uiPriority w:val="0"/>
    <w:rPr>
      <w:kern w:val="2"/>
      <w:sz w:val="21"/>
      <w:szCs w:val="24"/>
    </w:rPr>
  </w:style>
  <w:style w:type="paragraph" w:customStyle="1" w:styleId="14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黑体" w:hAnsi="黑体" w:eastAsia="黑体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QH-20160109IYJD\Desktop\&#24120;&#29992;&#25991;&#20214;\&#24120;&#29992;\6890A&#25253;&#20215;&#21333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7D9433-AB21-4ACE-8474-6EDCF690BB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6890A报价单</Template>
  <Pages>5</Pages>
  <Words>285</Words>
  <Characters>1628</Characters>
  <Lines>13</Lines>
  <Paragraphs>3</Paragraphs>
  <TotalTime>543</TotalTime>
  <ScaleCrop>false</ScaleCrop>
  <LinksUpToDate>false</LinksUpToDate>
  <CharactersWithSpaces>1910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2016-04-18T02:40:00Z</dcterms:created>
  <dc:creator>Administrator</dc:creator>
  <cp:lastModifiedBy>APL奥普乐-秦利娟</cp:lastModifiedBy>
  <dcterms:modified xsi:type="dcterms:W3CDTF">2022-03-06T13:59:14Z</dcterms:modified>
  <dc:title>收件人（Attn）：</dc:title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1E77F809635E48878284562B0EB205F9</vt:lpwstr>
  </property>
</Properties>
</file>