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ascii="微软雅黑" w:hAnsi="微软雅黑" w:eastAsia="微软雅黑" w:cs="微软雅黑"/>
          <w:color w:val="0B876F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JC-OIL-6</w:t>
      </w:r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红外分光测油仪根据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HJ637-2018标准，用4氯乙烯和四氯化碳萃取样品中的油类物质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，测定总油，然后将萃取液用硅酸镁吸附，除去动植物油类等极性物质后，测定石油类。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总油和石油类的含量均由波数分别为2930cm-1（CH2基团中C-H键的）、2960cm-1（CH3基团中C-H键的伸缩振动）和3030cm-1（芳香环中C-H键的伸缩振动）谱带处的吸光度A2930、A2960和A3030进行计算。动植物油的含量按总萃取物与石油类含量之差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该仪器适用于地下水、地表水、工业废水和生活污水中石油类和动植物油类的测定，并取得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相关*证书，计量器具CPA证书。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719"/>
        <w:gridCol w:w="8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方法检出限：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当样品体积为1000ml，萃取液体积为25ml时，检出限为0.01mg/L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仪器检出限：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DL≤0.04mg/L(四氯化碳空白液测定11次的3倍SD)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波数准确度：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±0.5cm-1。采用自动定位校准，30mg/L以上油样自动对2930cm-1、2960cm-1、3030cm-1处校准，消除了人为定位的影响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重复性：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30～40mg/L油标样测定11次 RSD≤0.6%或0.5mg/L水样RSD≤5%，仪器光学系统、电气系统自成一体，集成化程度高，从而提高了仪器的可靠性和重复性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准确度误差：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校正系数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准确度：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用四氯化碳做参比溶液，使用4cm比色皿，分别测量2mg/L、5mg/L、20mg/L、50mg/L、100mg/L石油类标准液，误差±10%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扫描速度：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全谱扫描，30秒钟/次；非分散红外法2秒钟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测量范围：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0.0～800mg/L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检出浓度：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0.0008mg/L(水样浓度)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测量浓度：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100%油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线性相关系数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线性相关系数r﹥0.999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波数范围：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3400cm-1～2400cm-1（即2941nm～4167nm）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吸光度范围：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0.0000～ 3.0000AU（即透过率100～ 1%T）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相对湿度：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5%-95%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主机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电源功率：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(220±22)V、(50±1)Hz、50VA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外壳材质：</w:t>
            </w:r>
          </w:p>
        </w:tc>
        <w:tc>
          <w:tcPr>
            <w:tcW w:w="15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整体工程塑料结构（PC+ABS）、防电磁辐射处理、抗冲击、防腐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1、选用10.8 英寸Windows8平板电脑，嵌入主机仪器，平板电脑可灵活取下，主机预留外接电脑通讯控制接口。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2、多种使用方式：平板嵌入主机仪器、平板取出主机仪器、外接PC机，三种使用方式不影响仪器主机整体布局，系统实现触摸操控兼容无线键鼠操控。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3、具备自检及结果判定功能：能量不正常则提示，同时提示可能造成的原因，供故障排查参考；具备生成仪器自检能量信息日志记录功能；具备软件判断样品是否超标提示功能。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4、通讯方式：采用蓝牙、USB、串口。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5、云数据库：仪器配置一套云端数据库，数据库保存仪器自检状态信息和每次测试内容（操作人员、时间、测试结果、样品名称等）。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6、仪器上传云端数据采用GPRS、NB-IOT、WIFI。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7、基线稳定性：零点实时自动调整（消除基线漂移影响），计算机既采集光源发光时的信号，又采集光源熄灭时的信号，实现零点实时自动调整，从而简化操作并且提高信号的长期稳定性。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8、软件系统：采用双系统分析,分别满足四氯化碳或四氯yi烯做萃取剂的使用方法。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9、校准方式：仪器既可用标准曲线校准也可使用系数校准，多种校准方式满足不同使用环境要求。</w:t>
      </w:r>
      <w:r>
        <w:rPr>
          <w:rFonts w:hint="eastAsia" w:ascii="微软雅黑" w:hAnsi="微软雅黑" w:eastAsia="微软雅黑" w:cs="微软雅黑"/>
          <w:color w:val="0B876F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10、光源系统：光源使用寿命可达50000小时以上。光源使用电调制调解光源技术，防止仪器内部温度过高影响稳定性。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0B876F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四、产品选择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1、先确认使用场所及环境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①实验室台式：JC-OIL-8、JC-OIL-6、JC-OIL-6A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②野外测定：JC-OIL-6B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③现场实时监测：JC-OIL-6Z在线水质分析仪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2、确认您需要的的配置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仪器+Windows平板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仪器+Windows平板+单联射流萃取器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仪器+Windows平板+三联射流萃取器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</w:p>
    <w:tbl>
      <w:tblPr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2356"/>
        <w:gridCol w:w="1924"/>
        <w:gridCol w:w="1996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测油仪 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JC-OIL-6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17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符合新国标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触屏式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JC-OIL-6A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三波数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JC-OIL-6D Plus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全自动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JC-OIL-6B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便携，手提箱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荧光分析法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JC-OIL-6Z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在线式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在线监测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紫外分光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JC-OIL-10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紫外分光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JC-OIL-6DS Plus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17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全自动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1841A16"/>
    <w:rsid w:val="22A06ABF"/>
    <w:rsid w:val="246A48C6"/>
    <w:rsid w:val="24842CC9"/>
    <w:rsid w:val="26114254"/>
    <w:rsid w:val="2766029A"/>
    <w:rsid w:val="2A973E5D"/>
    <w:rsid w:val="2C945DEB"/>
    <w:rsid w:val="2F9B3324"/>
    <w:rsid w:val="312626A6"/>
    <w:rsid w:val="334D6662"/>
    <w:rsid w:val="33C07FAB"/>
    <w:rsid w:val="34B960B4"/>
    <w:rsid w:val="3632386F"/>
    <w:rsid w:val="36B42E99"/>
    <w:rsid w:val="370C2AA0"/>
    <w:rsid w:val="37A418B3"/>
    <w:rsid w:val="392D18B1"/>
    <w:rsid w:val="39F40584"/>
    <w:rsid w:val="3C2F6862"/>
    <w:rsid w:val="3D4B1463"/>
    <w:rsid w:val="3E8F1A1E"/>
    <w:rsid w:val="3EDD6B00"/>
    <w:rsid w:val="406417E9"/>
    <w:rsid w:val="42C51E47"/>
    <w:rsid w:val="43347E10"/>
    <w:rsid w:val="43B42308"/>
    <w:rsid w:val="448E6A6C"/>
    <w:rsid w:val="4496342F"/>
    <w:rsid w:val="44E87BC5"/>
    <w:rsid w:val="45B363FA"/>
    <w:rsid w:val="465E2960"/>
    <w:rsid w:val="474C49D6"/>
    <w:rsid w:val="47A16A68"/>
    <w:rsid w:val="47D735EB"/>
    <w:rsid w:val="48A84837"/>
    <w:rsid w:val="49A87DC5"/>
    <w:rsid w:val="4B116291"/>
    <w:rsid w:val="4C893AF4"/>
    <w:rsid w:val="4CC36EE7"/>
    <w:rsid w:val="4EC80B2C"/>
    <w:rsid w:val="500B5474"/>
    <w:rsid w:val="50782804"/>
    <w:rsid w:val="51C02D05"/>
    <w:rsid w:val="52E65119"/>
    <w:rsid w:val="53DD2F85"/>
    <w:rsid w:val="554B7CF5"/>
    <w:rsid w:val="558A7DEA"/>
    <w:rsid w:val="569062EF"/>
    <w:rsid w:val="57DD1EF9"/>
    <w:rsid w:val="57EA721C"/>
    <w:rsid w:val="588D6BA2"/>
    <w:rsid w:val="612E3B55"/>
    <w:rsid w:val="63246BF0"/>
    <w:rsid w:val="68B41103"/>
    <w:rsid w:val="698D7F4C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9CD00A0"/>
    <w:rsid w:val="7D464B5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2022-03-16T01:55:08Z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133A0A68E3C54FE2811AEBF06BF28514</vt:lpwstr>
  </property>
</Properties>
</file>