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FF0000"/>
          <w:sz w:val="52"/>
          <w:szCs w:val="52"/>
        </w:rPr>
      </w:pPr>
      <w:r>
        <w:rPr>
          <w:rFonts w:hint="eastAsia" w:asciiTheme="majorEastAsia" w:hAnsiTheme="majorEastAsia" w:eastAsiaTheme="majorEastAsia"/>
          <w:b/>
          <w:color w:val="FF0000"/>
          <w:sz w:val="52"/>
          <w:szCs w:val="52"/>
        </w:rPr>
        <w:t>北京信立方科技有限公司</w:t>
      </w:r>
    </w:p>
    <w:p>
      <w:r>
        <w:rPr>
          <w:color w:val="FF0000"/>
        </w:rPr>
        <w:pict>
          <v:rect id="_x0000_i1025" o:spt="1" style="height:3pt;width:425.25pt;" fillcolor="#FF0000" filled="t" stroked="f" coordsize="21600,21600" o:hr="t" o:hrstd="t" o:hrnoshade="t" o:hralign="center">
            <v:path/>
            <v:fill on="t" focussize="0,0"/>
            <v:stroke on="f"/>
            <v:imagedata o:title=""/>
            <o:lock v:ext="edit"/>
            <w10:wrap type="none"/>
            <w10:anchorlock/>
          </v:rect>
        </w:pict>
      </w:r>
    </w:p>
    <w:p>
      <w:pPr>
        <w:spacing w:line="480" w:lineRule="auto"/>
        <w:ind w:left="567" w:leftChars="270" w:right="708" w:rightChars="337" w:firstLine="480" w:firstLineChars="200"/>
        <w:jc w:val="center"/>
        <w:rPr>
          <w:rFonts w:ascii="仿宋" w:hAnsi="仿宋" w:eastAsia="仿宋"/>
          <w:sz w:val="24"/>
        </w:rPr>
      </w:pPr>
      <w:r>
        <w:rPr>
          <w:rFonts w:hint="eastAsia" w:ascii="仿宋" w:hAnsi="仿宋" w:eastAsia="仿宋"/>
          <w:sz w:val="24"/>
        </w:rPr>
        <w:t>附件1：</w:t>
      </w:r>
      <w:r>
        <w:rPr>
          <w:rFonts w:hint="eastAsia" w:ascii="仿宋" w:hAnsi="仿宋" w:eastAsia="仿宋"/>
          <w:sz w:val="24"/>
          <w:lang w:val="en-US" w:eastAsia="zh-CN"/>
        </w:rPr>
        <w:t>中国</w:t>
      </w:r>
      <w:r>
        <w:rPr>
          <w:rFonts w:hint="eastAsia" w:ascii="仿宋" w:hAnsi="仿宋" w:eastAsia="仿宋"/>
          <w:sz w:val="24"/>
        </w:rPr>
        <w:t>科学仪器行业企业年度人物</w:t>
      </w:r>
      <w:r>
        <w:rPr>
          <w:rFonts w:hint="eastAsia" w:ascii="仿宋" w:hAnsi="仿宋" w:eastAsia="仿宋"/>
          <w:sz w:val="24"/>
          <w:lang w:val="en-US" w:eastAsia="zh-CN"/>
        </w:rPr>
        <w:t>推荐</w:t>
      </w:r>
      <w:r>
        <w:rPr>
          <w:rFonts w:hint="eastAsia" w:ascii="仿宋" w:hAnsi="仿宋" w:eastAsia="仿宋"/>
          <w:sz w:val="24"/>
        </w:rPr>
        <w:t>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09"/>
        <w:gridCol w:w="1112"/>
        <w:gridCol w:w="1366"/>
        <w:gridCol w:w="934"/>
        <w:gridCol w:w="146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24" w:type="dxa"/>
          </w:tcPr>
          <w:p>
            <w:pPr>
              <w:tabs>
                <w:tab w:val="left" w:pos="0"/>
              </w:tabs>
              <w:spacing w:line="480" w:lineRule="auto"/>
              <w:ind w:right="63" w:rightChars="30"/>
              <w:jc w:val="center"/>
              <w:rPr>
                <w:rFonts w:ascii="仿宋" w:hAnsi="仿宋" w:eastAsia="仿宋"/>
                <w:sz w:val="20"/>
                <w:szCs w:val="20"/>
              </w:rPr>
            </w:pPr>
            <w:r>
              <w:rPr>
                <w:rFonts w:hint="eastAsia" w:ascii="仿宋" w:hAnsi="仿宋" w:eastAsia="仿宋"/>
                <w:sz w:val="20"/>
                <w:szCs w:val="20"/>
              </w:rPr>
              <w:t>姓名</w:t>
            </w:r>
          </w:p>
        </w:tc>
        <w:tc>
          <w:tcPr>
            <w:tcW w:w="1609" w:type="dxa"/>
          </w:tcPr>
          <w:p>
            <w:pPr>
              <w:spacing w:line="480" w:lineRule="auto"/>
              <w:ind w:right="708" w:rightChars="337"/>
              <w:rPr>
                <w:rFonts w:ascii="仿宋" w:hAnsi="仿宋" w:eastAsia="仿宋"/>
                <w:sz w:val="20"/>
                <w:szCs w:val="20"/>
              </w:rPr>
            </w:pPr>
          </w:p>
        </w:tc>
        <w:tc>
          <w:tcPr>
            <w:tcW w:w="1112" w:type="dxa"/>
          </w:tcPr>
          <w:p>
            <w:pPr>
              <w:spacing w:line="480" w:lineRule="auto"/>
              <w:ind w:right="27" w:rightChars="13"/>
              <w:jc w:val="center"/>
              <w:rPr>
                <w:rFonts w:ascii="仿宋" w:hAnsi="仿宋" w:eastAsia="仿宋"/>
                <w:sz w:val="20"/>
                <w:szCs w:val="20"/>
              </w:rPr>
            </w:pPr>
            <w:r>
              <w:rPr>
                <w:rFonts w:hint="eastAsia" w:ascii="仿宋" w:hAnsi="仿宋" w:eastAsia="仿宋"/>
                <w:sz w:val="20"/>
                <w:szCs w:val="20"/>
              </w:rPr>
              <w:t>年龄</w:t>
            </w:r>
          </w:p>
        </w:tc>
        <w:tc>
          <w:tcPr>
            <w:tcW w:w="1366" w:type="dxa"/>
          </w:tcPr>
          <w:p>
            <w:pPr>
              <w:spacing w:line="480" w:lineRule="auto"/>
              <w:ind w:right="708" w:rightChars="337"/>
              <w:jc w:val="center"/>
              <w:rPr>
                <w:rFonts w:ascii="仿宋" w:hAnsi="仿宋" w:eastAsia="仿宋"/>
                <w:sz w:val="20"/>
                <w:szCs w:val="20"/>
              </w:rPr>
            </w:pPr>
          </w:p>
        </w:tc>
        <w:tc>
          <w:tcPr>
            <w:tcW w:w="934" w:type="dxa"/>
          </w:tcPr>
          <w:p>
            <w:pPr>
              <w:spacing w:line="480" w:lineRule="auto"/>
              <w:ind w:right="31" w:rightChars="15"/>
              <w:jc w:val="center"/>
              <w:rPr>
                <w:rFonts w:ascii="仿宋" w:hAnsi="仿宋" w:eastAsia="仿宋"/>
                <w:sz w:val="20"/>
                <w:szCs w:val="20"/>
              </w:rPr>
            </w:pPr>
            <w:r>
              <w:rPr>
                <w:rFonts w:hint="eastAsia" w:ascii="仿宋" w:hAnsi="仿宋" w:eastAsia="仿宋"/>
                <w:sz w:val="20"/>
                <w:szCs w:val="20"/>
              </w:rPr>
              <w:t>性别</w:t>
            </w:r>
          </w:p>
        </w:tc>
        <w:tc>
          <w:tcPr>
            <w:tcW w:w="1468" w:type="dxa"/>
          </w:tcPr>
          <w:p>
            <w:pPr>
              <w:spacing w:line="480" w:lineRule="auto"/>
              <w:ind w:right="724" w:rightChars="345"/>
              <w:jc w:val="center"/>
              <w:rPr>
                <w:rFonts w:ascii="仿宋" w:hAnsi="仿宋" w:eastAsia="仿宋"/>
                <w:sz w:val="20"/>
                <w:szCs w:val="20"/>
              </w:rPr>
            </w:pPr>
          </w:p>
        </w:tc>
        <w:tc>
          <w:tcPr>
            <w:tcW w:w="1709" w:type="dxa"/>
            <w:vMerge w:val="restart"/>
          </w:tcPr>
          <w:p>
            <w:pPr>
              <w:spacing w:line="480" w:lineRule="auto"/>
              <w:ind w:right="139" w:rightChars="66"/>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照</w:t>
            </w:r>
          </w:p>
          <w:p>
            <w:pPr>
              <w:spacing w:line="480" w:lineRule="auto"/>
              <w:ind w:right="139" w:rightChars="66"/>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4" w:type="dxa"/>
          </w:tcPr>
          <w:p>
            <w:pPr>
              <w:spacing w:line="480" w:lineRule="auto"/>
              <w:ind w:right="63" w:rightChars="30"/>
              <w:jc w:val="center"/>
              <w:rPr>
                <w:rFonts w:ascii="仿宋" w:hAnsi="仿宋" w:eastAsia="仿宋"/>
                <w:sz w:val="20"/>
                <w:szCs w:val="20"/>
              </w:rPr>
            </w:pPr>
            <w:r>
              <w:rPr>
                <w:rFonts w:hint="eastAsia" w:ascii="仿宋" w:hAnsi="仿宋" w:eastAsia="仿宋"/>
                <w:sz w:val="20"/>
                <w:szCs w:val="20"/>
              </w:rPr>
              <w:t>单位</w:t>
            </w:r>
          </w:p>
        </w:tc>
        <w:tc>
          <w:tcPr>
            <w:tcW w:w="4087" w:type="dxa"/>
            <w:gridSpan w:val="3"/>
          </w:tcPr>
          <w:p>
            <w:pPr>
              <w:spacing w:line="480" w:lineRule="auto"/>
              <w:ind w:right="708" w:rightChars="337"/>
              <w:rPr>
                <w:rFonts w:ascii="仿宋" w:hAnsi="仿宋" w:eastAsia="仿宋"/>
                <w:sz w:val="20"/>
                <w:szCs w:val="20"/>
              </w:rPr>
            </w:pPr>
          </w:p>
        </w:tc>
        <w:tc>
          <w:tcPr>
            <w:tcW w:w="934" w:type="dxa"/>
          </w:tcPr>
          <w:p>
            <w:pPr>
              <w:spacing w:line="480" w:lineRule="auto"/>
              <w:jc w:val="center"/>
              <w:rPr>
                <w:rFonts w:hint="default" w:ascii="仿宋" w:hAnsi="仿宋" w:eastAsia="仿宋"/>
                <w:sz w:val="20"/>
                <w:szCs w:val="20"/>
                <w:lang w:val="en-US" w:eastAsia="zh-CN"/>
              </w:rPr>
            </w:pPr>
            <w:r>
              <w:rPr>
                <w:rFonts w:hint="eastAsia" w:ascii="仿宋" w:hAnsi="仿宋" w:eastAsia="仿宋"/>
                <w:sz w:val="20"/>
                <w:szCs w:val="20"/>
                <w:lang w:val="en-US" w:eastAsia="zh-CN"/>
              </w:rPr>
              <w:t>职称</w:t>
            </w:r>
          </w:p>
        </w:tc>
        <w:tc>
          <w:tcPr>
            <w:tcW w:w="1468" w:type="dxa"/>
          </w:tcPr>
          <w:p>
            <w:pPr>
              <w:spacing w:line="480" w:lineRule="auto"/>
              <w:ind w:right="594" w:rightChars="283"/>
              <w:jc w:val="center"/>
              <w:rPr>
                <w:rFonts w:ascii="仿宋" w:hAnsi="仿宋" w:eastAsia="仿宋"/>
                <w:sz w:val="20"/>
                <w:szCs w:val="20"/>
              </w:rPr>
            </w:pPr>
          </w:p>
        </w:tc>
        <w:tc>
          <w:tcPr>
            <w:tcW w:w="1709" w:type="dxa"/>
            <w:vMerge w:val="continue"/>
          </w:tcPr>
          <w:p>
            <w:pPr>
              <w:spacing w:line="480" w:lineRule="auto"/>
              <w:ind w:right="708" w:rightChars="337"/>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4" w:hRule="exact"/>
        </w:trPr>
        <w:tc>
          <w:tcPr>
            <w:tcW w:w="1124" w:type="dxa"/>
            <w:vAlign w:val="center"/>
          </w:tcPr>
          <w:p>
            <w:pPr>
              <w:spacing w:line="480" w:lineRule="auto"/>
              <w:ind w:right="63" w:rightChars="30"/>
              <w:jc w:val="center"/>
              <w:rPr>
                <w:rFonts w:ascii="仿宋" w:hAnsi="仿宋" w:eastAsia="仿宋"/>
                <w:sz w:val="20"/>
                <w:szCs w:val="20"/>
              </w:rPr>
            </w:pPr>
            <w:r>
              <w:rPr>
                <w:rFonts w:hint="eastAsia" w:ascii="仿宋" w:hAnsi="仿宋" w:eastAsia="仿宋"/>
                <w:sz w:val="20"/>
                <w:szCs w:val="20"/>
              </w:rPr>
              <w:t>主要事迹材料</w:t>
            </w:r>
          </w:p>
        </w:tc>
        <w:tc>
          <w:tcPr>
            <w:tcW w:w="8198" w:type="dxa"/>
            <w:gridSpan w:val="6"/>
            <w:tcBorders/>
            <w:vAlign w:val="center"/>
          </w:tcPr>
          <w:p>
            <w:pPr>
              <w:spacing w:line="360" w:lineRule="auto"/>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480" w:lineRule="auto"/>
              <w:ind w:right="708" w:rightChars="337"/>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1124" w:type="dxa"/>
            <w:vAlign w:val="center"/>
          </w:tcPr>
          <w:p>
            <w:pPr>
              <w:spacing w:line="480" w:lineRule="auto"/>
              <w:ind w:right="204" w:rightChars="97"/>
              <w:jc w:val="center"/>
              <w:rPr>
                <w:rFonts w:ascii="仿宋" w:hAnsi="仿宋" w:eastAsia="仿宋"/>
                <w:sz w:val="20"/>
                <w:szCs w:val="20"/>
              </w:rPr>
            </w:pPr>
            <w:r>
              <w:rPr>
                <w:rFonts w:hint="eastAsia" w:ascii="仿宋" w:hAnsi="仿宋" w:eastAsia="仿宋"/>
                <w:sz w:val="20"/>
                <w:szCs w:val="20"/>
                <w:lang w:val="en-US" w:eastAsia="zh-CN"/>
              </w:rPr>
              <w:t>推荐</w:t>
            </w:r>
            <w:r>
              <w:rPr>
                <w:rFonts w:hint="eastAsia" w:ascii="仿宋" w:hAnsi="仿宋" w:eastAsia="仿宋"/>
                <w:sz w:val="20"/>
                <w:szCs w:val="20"/>
              </w:rPr>
              <w:t>语</w:t>
            </w:r>
          </w:p>
        </w:tc>
        <w:tc>
          <w:tcPr>
            <w:tcW w:w="8198" w:type="dxa"/>
            <w:gridSpan w:val="6"/>
          </w:tcPr>
          <w:p>
            <w:pPr>
              <w:spacing w:line="360" w:lineRule="auto"/>
              <w:ind w:firstLine="400" w:firstLineChars="200"/>
              <w:rPr>
                <w:rFonts w:ascii="仿宋" w:hAnsi="仿宋" w:eastAsia="仿宋"/>
                <w:sz w:val="20"/>
                <w:szCs w:val="20"/>
              </w:rPr>
            </w:pPr>
          </w:p>
        </w:tc>
      </w:tr>
    </w:tbl>
    <w:p>
      <w:pPr>
        <w:ind w:firstLine="525" w:firstLineChars="250"/>
      </w:pPr>
    </w:p>
    <w:p>
      <w:pPr>
        <w:ind w:firstLine="525" w:firstLineChars="250"/>
      </w:pPr>
      <w:r>
        <w:rPr>
          <w:rFonts w:hint="eastAsia"/>
        </w:rPr>
        <w:drawing>
          <wp:anchor distT="0" distB="0" distL="114300" distR="114300" simplePos="0" relativeHeight="251659264" behindDoc="1" locked="0" layoutInCell="1" allowOverlap="1">
            <wp:simplePos x="0" y="0"/>
            <wp:positionH relativeFrom="column">
              <wp:posOffset>3906520</wp:posOffset>
            </wp:positionH>
            <wp:positionV relativeFrom="paragraph">
              <wp:posOffset>78740</wp:posOffset>
            </wp:positionV>
            <wp:extent cx="1478915" cy="14954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8784494">
                      <a:off x="0" y="0"/>
                      <a:ext cx="1478915" cy="1495425"/>
                    </a:xfrm>
                    <a:prstGeom prst="rect">
                      <a:avLst/>
                    </a:prstGeom>
                  </pic:spPr>
                </pic:pic>
              </a:graphicData>
            </a:graphic>
          </wp:anchor>
        </w:drawing>
      </w:r>
    </w:p>
    <w:p>
      <w:pPr>
        <w:ind w:firstLine="525" w:firstLineChars="250"/>
      </w:pPr>
    </w:p>
    <w:p>
      <w:pPr>
        <w:spacing w:line="480" w:lineRule="auto"/>
        <w:ind w:right="204" w:rightChars="97"/>
        <w:jc w:val="right"/>
        <w:rPr>
          <w:rFonts w:hint="eastAsia" w:ascii="仿宋" w:hAnsi="仿宋" w:eastAsia="仿宋"/>
          <w:sz w:val="20"/>
          <w:szCs w:val="20"/>
        </w:rPr>
      </w:pPr>
      <w:r>
        <w:rPr>
          <w:rFonts w:hint="eastAsia" w:ascii="仿宋" w:hAnsi="仿宋" w:eastAsia="仿宋"/>
          <w:sz w:val="20"/>
          <w:szCs w:val="20"/>
        </w:rPr>
        <w:t>北京信立方科技有限公司</w:t>
      </w:r>
    </w:p>
    <w:p>
      <w:pPr>
        <w:spacing w:line="480" w:lineRule="auto"/>
        <w:ind w:right="204" w:rightChars="97"/>
        <w:jc w:val="right"/>
        <w:rPr>
          <w:rFonts w:hint="eastAsia" w:ascii="仿宋" w:hAnsi="仿宋" w:eastAsia="仿宋"/>
          <w:sz w:val="20"/>
          <w:szCs w:val="20"/>
        </w:rPr>
      </w:pPr>
      <w:r>
        <w:rPr>
          <w:rFonts w:hint="eastAsia" w:ascii="仿宋" w:hAnsi="仿宋" w:eastAsia="仿宋"/>
          <w:sz w:val="20"/>
          <w:szCs w:val="20"/>
        </w:rPr>
        <w:t>（仪器信息网）</w:t>
      </w:r>
    </w:p>
    <w:p>
      <w:pPr>
        <w:spacing w:line="480" w:lineRule="auto"/>
        <w:ind w:right="204" w:rightChars="97"/>
        <w:jc w:val="right"/>
        <w:rPr>
          <w:rFonts w:hint="eastAsia" w:ascii="仿宋" w:hAnsi="仿宋" w:eastAsia="仿宋"/>
          <w:sz w:val="20"/>
          <w:szCs w:val="20"/>
        </w:rPr>
      </w:pPr>
      <w:r>
        <w:rPr>
          <w:rFonts w:hint="eastAsia" w:ascii="仿宋" w:hAnsi="仿宋" w:eastAsia="仿宋"/>
          <w:sz w:val="20"/>
          <w:szCs w:val="20"/>
        </w:rPr>
        <w:t xml:space="preserve"> 202</w:t>
      </w:r>
      <w:r>
        <w:rPr>
          <w:rFonts w:hint="eastAsia" w:ascii="仿宋" w:hAnsi="仿宋" w:eastAsia="仿宋"/>
          <w:sz w:val="20"/>
          <w:szCs w:val="20"/>
          <w:lang w:val="en-US" w:eastAsia="zh-CN"/>
        </w:rPr>
        <w:t>2</w:t>
      </w:r>
      <w:r>
        <w:rPr>
          <w:rFonts w:hint="eastAsia" w:ascii="仿宋" w:hAnsi="仿宋" w:eastAsia="仿宋"/>
          <w:sz w:val="20"/>
          <w:szCs w:val="20"/>
        </w:rPr>
        <w:t>年</w:t>
      </w:r>
      <w:r>
        <w:rPr>
          <w:rFonts w:hint="eastAsia" w:ascii="仿宋" w:hAnsi="仿宋" w:eastAsia="仿宋"/>
          <w:sz w:val="20"/>
          <w:szCs w:val="20"/>
          <w:lang w:val="en-US" w:eastAsia="zh-CN"/>
        </w:rPr>
        <w:t>2</w:t>
      </w:r>
      <w:r>
        <w:rPr>
          <w:rFonts w:hint="eastAsia" w:ascii="仿宋" w:hAnsi="仿宋" w:eastAsia="仿宋"/>
          <w:sz w:val="20"/>
          <w:szCs w:val="20"/>
        </w:rPr>
        <w:t>月</w:t>
      </w:r>
      <w:r>
        <w:rPr>
          <w:rFonts w:hint="eastAsia" w:ascii="仿宋" w:hAnsi="仿宋" w:eastAsia="仿宋"/>
          <w:sz w:val="20"/>
          <w:szCs w:val="20"/>
          <w:lang w:val="en-US" w:eastAsia="zh-CN"/>
        </w:rPr>
        <w:t>25</w:t>
      </w:r>
      <w:r>
        <w:rPr>
          <w:rFonts w:hint="eastAsia" w:ascii="仿宋" w:hAnsi="仿宋" w:eastAsia="仿宋"/>
          <w:sz w:val="20"/>
          <w:szCs w:val="20"/>
        </w:rPr>
        <w:t>日</w:t>
      </w:r>
    </w:p>
    <w:p>
      <w:pPr>
        <w:spacing w:line="480" w:lineRule="auto"/>
        <w:ind w:right="204" w:rightChars="97"/>
        <w:jc w:val="center"/>
        <w:rPr>
          <w:rFonts w:hint="eastAsia" w:ascii="仿宋" w:hAnsi="仿宋" w:eastAsia="仿宋"/>
          <w:sz w:val="20"/>
          <w:szCs w:val="20"/>
        </w:rPr>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widowControl/>
        <w:jc w:val="right"/>
      </w:pPr>
    </w:p>
    <w:p>
      <w:pPr>
        <w:spacing w:after="312" w:afterLines="100" w:line="300" w:lineRule="auto"/>
        <w:jc w:val="center"/>
        <w:rPr>
          <w:rFonts w:asciiTheme="majorEastAsia" w:hAnsiTheme="majorEastAsia" w:eastAsiaTheme="majorEastAsia"/>
          <w:b/>
          <w:bCs/>
          <w:sz w:val="28"/>
          <w:szCs w:val="28"/>
        </w:rPr>
      </w:pPr>
      <w:r>
        <w:rPr>
          <w:rFonts w:hint="eastAsia" w:asciiTheme="majorEastAsia" w:hAnsiTheme="majorEastAsia" w:eastAsiaTheme="majorEastAsia"/>
          <w:b/>
          <w:bCs/>
          <w:sz w:val="32"/>
          <w:szCs w:val="32"/>
          <w:lang w:val="en-US" w:eastAsia="zh-CN"/>
        </w:rPr>
        <w:t>“中国</w:t>
      </w:r>
      <w:r>
        <w:rPr>
          <w:rFonts w:hint="eastAsia" w:asciiTheme="majorEastAsia" w:hAnsiTheme="majorEastAsia" w:eastAsiaTheme="majorEastAsia"/>
          <w:b/>
          <w:bCs/>
          <w:sz w:val="32"/>
          <w:szCs w:val="32"/>
        </w:rPr>
        <w:t>科学仪器行业企业年度人物</w:t>
      </w:r>
      <w:r>
        <w:rPr>
          <w:rFonts w:hint="eastAsia" w:asciiTheme="majorEastAsia" w:hAnsiTheme="majorEastAsia" w:eastAsiaTheme="majorEastAsia"/>
          <w:b/>
          <w:bCs/>
          <w:sz w:val="32"/>
          <w:szCs w:val="32"/>
          <w:lang w:eastAsia="zh-CN"/>
        </w:rPr>
        <w:t>”</w:t>
      </w:r>
      <w:r>
        <w:rPr>
          <w:rFonts w:hint="eastAsia" w:asciiTheme="majorEastAsia" w:hAnsiTheme="majorEastAsia" w:eastAsiaTheme="majorEastAsia"/>
          <w:b/>
          <w:bCs/>
          <w:sz w:val="32"/>
          <w:szCs w:val="32"/>
        </w:rPr>
        <w:t>评选标准和流程</w:t>
      </w:r>
    </w:p>
    <w:p>
      <w:pPr>
        <w:spacing w:line="240" w:lineRule="auto"/>
        <w:rPr>
          <w:color w:val="000000" w:themeColor="text1"/>
          <w14:textFill>
            <w14:solidFill>
              <w14:schemeClr w14:val="tx1"/>
            </w14:solidFill>
          </w14:textFill>
        </w:rPr>
      </w:pPr>
      <w:r>
        <w:rPr>
          <w:rFonts w:hint="eastAsia"/>
          <w:b/>
          <w:color w:val="0000FF"/>
          <w:sz w:val="22"/>
        </w:rPr>
        <w:t>奖项说明</w:t>
      </w:r>
    </w:p>
    <w:p>
      <w:pPr>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“中国科学仪器行业企业年度人物”评选由仪器信息网于2013年发起，</w:t>
      </w:r>
      <w:r>
        <w:t>旨在树立、表彰和宣传为中国科学仪器行业做出突出业绩和重大贡献的商界领袖，展示当代中国科学仪器</w:t>
      </w:r>
      <w:r>
        <w:rPr>
          <w:rFonts w:hint="eastAsia"/>
        </w:rPr>
        <w:t>行业</w:t>
      </w:r>
      <w:r>
        <w:t>企业家风采，促进优秀经营理念和企业家精神在业界示范和推广。</w:t>
      </w:r>
    </w:p>
    <w:p>
      <w:pPr>
        <w:spacing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每年度评选1人。自评选发起以来，共有</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位企业家成功当选。</w:t>
      </w:r>
    </w:p>
    <w:p>
      <w:pPr>
        <w:spacing w:before="312" w:beforeLines="100" w:line="240" w:lineRule="auto"/>
        <w:rPr>
          <w:b/>
          <w:color w:val="0000FF"/>
          <w:sz w:val="22"/>
        </w:rPr>
      </w:pPr>
      <w:r>
        <w:rPr>
          <w:rFonts w:hint="eastAsia"/>
          <w:b/>
          <w:color w:val="0000FF"/>
          <w:sz w:val="22"/>
        </w:rPr>
        <w:t>候选人条件：</w:t>
      </w:r>
    </w:p>
    <w:p>
      <w:pPr>
        <w:spacing w:line="300" w:lineRule="auto"/>
      </w:pPr>
      <w:r>
        <w:rPr>
          <w:rFonts w:hint="eastAsia"/>
        </w:rPr>
        <w:t>1、候选人应为中国科学仪器企业实际领导人、科学仪器外企在华最高管理者；</w:t>
      </w:r>
    </w:p>
    <w:p>
      <w:pPr>
        <w:spacing w:line="300" w:lineRule="auto"/>
      </w:pPr>
      <w:r>
        <w:t>2</w:t>
      </w:r>
      <w:r>
        <w:rPr>
          <w:rFonts w:hint="eastAsia"/>
        </w:rPr>
        <w:t>、候选人领导的企业主营业务为科学仪器产品，</w:t>
      </w:r>
      <w:r>
        <w:rPr>
          <w:rFonts w:hint="eastAsia" w:ascii="Arial" w:hAnsi="Arial" w:cs="Arial"/>
          <w:color w:val="333333"/>
          <w:spacing w:val="15"/>
          <w:shd w:val="clear" w:color="auto" w:fill="FFFFFF"/>
        </w:rPr>
        <w:t>且</w:t>
      </w:r>
      <w:r>
        <w:rPr>
          <w:rFonts w:ascii="Arial" w:hAnsi="Arial" w:cs="Arial"/>
          <w:color w:val="333333"/>
          <w:spacing w:val="15"/>
          <w:shd w:val="clear" w:color="auto" w:fill="FFFFFF"/>
        </w:rPr>
        <w:t>处于</w:t>
      </w:r>
      <w:r>
        <w:rPr>
          <w:rFonts w:hint="eastAsia" w:ascii="Arial" w:hAnsi="Arial" w:cs="Arial"/>
          <w:color w:val="333333"/>
          <w:spacing w:val="15"/>
          <w:shd w:val="clear" w:color="auto" w:fill="FFFFFF"/>
        </w:rPr>
        <w:t>经营品类</w:t>
      </w:r>
      <w:r>
        <w:rPr>
          <w:rFonts w:ascii="Arial" w:hAnsi="Arial" w:cs="Arial"/>
          <w:color w:val="333333"/>
          <w:spacing w:val="15"/>
          <w:shd w:val="clear" w:color="auto" w:fill="FFFFFF"/>
        </w:rPr>
        <w:t>行业前三</w:t>
      </w:r>
      <w:r>
        <w:rPr>
          <w:rFonts w:hint="eastAsia"/>
        </w:rPr>
        <w:t>；</w:t>
      </w:r>
    </w:p>
    <w:p>
      <w:pPr>
        <w:spacing w:line="300" w:lineRule="auto"/>
      </w:pPr>
      <w:r>
        <w:t>3</w:t>
      </w:r>
      <w:r>
        <w:rPr>
          <w:rFonts w:hint="eastAsia"/>
        </w:rPr>
        <w:t>、候选人及所领导的企业遵纪守法，无重大负面事故。</w:t>
      </w:r>
    </w:p>
    <w:p>
      <w:pPr>
        <w:spacing w:before="312" w:beforeLines="100" w:line="240" w:lineRule="auto"/>
        <w:rPr>
          <w:b/>
          <w:color w:val="0000FF"/>
          <w:sz w:val="22"/>
        </w:rPr>
      </w:pPr>
      <w:r>
        <w:rPr>
          <w:rFonts w:hint="eastAsia"/>
          <w:b/>
          <w:color w:val="0000FF"/>
          <w:sz w:val="22"/>
        </w:rPr>
        <w:t>评选指标：</w:t>
      </w:r>
    </w:p>
    <w:p>
      <w:pPr>
        <w:spacing w:line="300" w:lineRule="auto"/>
        <w:rPr>
          <w:b/>
          <w:bCs/>
        </w:rPr>
      </w:pPr>
      <w:r>
        <w:rPr>
          <w:rFonts w:hint="eastAsia"/>
          <w:b/>
          <w:bCs/>
        </w:rPr>
        <w:t>1、良性增长</w:t>
      </w:r>
    </w:p>
    <w:p>
      <w:pPr>
        <w:spacing w:line="300" w:lineRule="auto"/>
      </w:pPr>
      <w:r>
        <w:rPr>
          <w:rFonts w:ascii="Arial" w:hAnsi="Arial" w:cs="Arial"/>
          <w:spacing w:val="15"/>
          <w:shd w:val="clear" w:color="auto" w:fill="FFFFFF"/>
        </w:rPr>
        <w:t>带领企业实现高质量发展</w:t>
      </w:r>
      <w:r>
        <w:rPr>
          <w:rFonts w:hint="eastAsia" w:ascii="Arial" w:hAnsi="Arial" w:cs="Arial"/>
          <w:spacing w:val="15"/>
          <w:shd w:val="clear" w:color="auto" w:fill="FFFFFF"/>
        </w:rPr>
        <w:t>，取得良好</w:t>
      </w:r>
      <w:r>
        <w:rPr>
          <w:rFonts w:ascii="Arial" w:hAnsi="Arial" w:cs="Arial"/>
          <w:spacing w:val="15"/>
          <w:shd w:val="clear" w:color="auto" w:fill="FFFFFF"/>
        </w:rPr>
        <w:t>经济效益和社会效益</w:t>
      </w:r>
      <w:r>
        <w:rPr>
          <w:rFonts w:hint="eastAsia"/>
        </w:rPr>
        <w:t>；</w:t>
      </w:r>
      <w:r>
        <w:t xml:space="preserve"> </w:t>
      </w:r>
    </w:p>
    <w:p>
      <w:pPr>
        <w:spacing w:line="300" w:lineRule="auto"/>
        <w:rPr>
          <w:b/>
          <w:bCs/>
        </w:rPr>
      </w:pPr>
      <w:r>
        <w:rPr>
          <w:b/>
          <w:bCs/>
        </w:rPr>
        <w:t>2</w:t>
      </w:r>
      <w:r>
        <w:rPr>
          <w:rFonts w:hint="eastAsia"/>
          <w:b/>
          <w:bCs/>
        </w:rPr>
        <w:t>、创新突破</w:t>
      </w:r>
    </w:p>
    <w:p>
      <w:pPr>
        <w:spacing w:line="300" w:lineRule="auto"/>
      </w:pPr>
      <w:r>
        <w:rPr>
          <w:rFonts w:hint="eastAsia"/>
        </w:rPr>
        <w:t>通过对技术、市场、制度、模式等方面的突破创新，带领企业实现跨越式发展；</w:t>
      </w:r>
    </w:p>
    <w:p>
      <w:pPr>
        <w:spacing w:line="300" w:lineRule="auto"/>
        <w:rPr>
          <w:b/>
          <w:bCs/>
        </w:rPr>
      </w:pPr>
      <w:r>
        <w:rPr>
          <w:rFonts w:hint="eastAsia"/>
          <w:b/>
          <w:bCs/>
        </w:rPr>
        <w:t>3、产业赋能</w:t>
      </w:r>
    </w:p>
    <w:p>
      <w:pPr>
        <w:spacing w:line="300" w:lineRule="auto"/>
      </w:pPr>
      <w:r>
        <w:rPr>
          <w:rFonts w:hint="eastAsia"/>
        </w:rPr>
        <w:t>用自身发展赋能行业及上下游产业发展，推动行业和领域的整体进步；</w:t>
      </w:r>
    </w:p>
    <w:p>
      <w:pPr>
        <w:spacing w:line="300" w:lineRule="auto"/>
        <w:rPr>
          <w:b/>
          <w:bCs/>
        </w:rPr>
      </w:pPr>
      <w:r>
        <w:rPr>
          <w:b/>
          <w:bCs/>
        </w:rPr>
        <w:t>4</w:t>
      </w:r>
      <w:r>
        <w:rPr>
          <w:rFonts w:hint="eastAsia"/>
          <w:b/>
          <w:bCs/>
        </w:rPr>
        <w:t>、责任担当</w:t>
      </w:r>
    </w:p>
    <w:p>
      <w:pPr>
        <w:spacing w:line="300" w:lineRule="auto"/>
      </w:pPr>
      <w:r>
        <w:rPr>
          <w:rFonts w:hint="eastAsia"/>
        </w:rPr>
        <w:t>带领企业在解决国家和人民重大需求方面有重要贡献；</w:t>
      </w:r>
      <w:r>
        <w:t xml:space="preserve"> </w:t>
      </w:r>
    </w:p>
    <w:p>
      <w:pPr>
        <w:spacing w:before="312" w:beforeLines="100" w:line="240" w:lineRule="auto"/>
        <w:rPr>
          <w:b/>
          <w:color w:val="0000FF"/>
          <w:sz w:val="22"/>
        </w:rPr>
      </w:pPr>
      <w:r>
        <w:rPr>
          <w:rFonts w:hint="eastAsia"/>
          <w:b/>
          <w:color w:val="0000FF"/>
          <w:sz w:val="22"/>
        </w:rPr>
        <w:t>评选流程：</w:t>
      </w:r>
    </w:p>
    <w:p>
      <w:pPr>
        <w:spacing w:line="300" w:lineRule="auto"/>
        <w:rPr>
          <w:b/>
        </w:rPr>
      </w:pPr>
      <w:r>
        <w:rPr>
          <w:rFonts w:hint="eastAsia"/>
          <w:b/>
        </w:rPr>
        <w:t>1、候选</w:t>
      </w:r>
    </w:p>
    <w:p>
      <w:pPr>
        <w:spacing w:line="300" w:lineRule="auto"/>
        <w:rPr>
          <w:b/>
        </w:rPr>
      </w:pPr>
      <w:r>
        <w:rPr>
          <w:rFonts w:hint="eastAsia"/>
        </w:rPr>
        <w:t>所有候选人通过报名或提名方式产生。（提名渠道：受邀行业专家提名、仪器信息网编辑部提名、往届获奖者提名）</w:t>
      </w:r>
    </w:p>
    <w:p>
      <w:pPr>
        <w:spacing w:line="300" w:lineRule="auto"/>
        <w:rPr>
          <w:b/>
        </w:rPr>
      </w:pPr>
      <w:r>
        <w:rPr>
          <w:b/>
        </w:rPr>
        <w:t>2</w:t>
      </w:r>
      <w:r>
        <w:rPr>
          <w:rFonts w:hint="eastAsia"/>
          <w:b/>
        </w:rPr>
        <w:t>、入围</w:t>
      </w:r>
    </w:p>
    <w:p>
      <w:pPr>
        <w:spacing w:line="300" w:lineRule="auto"/>
      </w:pPr>
      <w:r>
        <w:rPr>
          <w:rFonts w:hint="eastAsia"/>
        </w:rPr>
        <w:t>所有符合要求的报名人和被提名人，经仪器信息网评奖委员会评议筛选，获得入围资格。</w:t>
      </w:r>
    </w:p>
    <w:p>
      <w:pPr>
        <w:spacing w:line="300" w:lineRule="auto"/>
        <w:rPr>
          <w:b/>
        </w:rPr>
      </w:pPr>
      <w:r>
        <w:rPr>
          <w:b/>
        </w:rPr>
        <w:t>3</w:t>
      </w:r>
      <w:r>
        <w:rPr>
          <w:rFonts w:hint="eastAsia"/>
          <w:b/>
        </w:rPr>
        <w:t>、评选</w:t>
      </w:r>
    </w:p>
    <w:p>
      <w:pPr>
        <w:spacing w:line="300" w:lineRule="auto"/>
      </w:pPr>
      <w:r>
        <w:rPr>
          <w:rFonts w:hint="eastAsia"/>
        </w:rPr>
        <w:t>由仪器信息网编辑部、受邀企业家和受邀行业专家组成评审委员会，由全体评委评议、投票，确定最终获奖人选。</w:t>
      </w:r>
    </w:p>
    <w:p>
      <w:pPr>
        <w:spacing w:line="300" w:lineRule="auto"/>
        <w:rPr>
          <w:b/>
        </w:rPr>
      </w:pPr>
      <w:r>
        <w:rPr>
          <w:b/>
        </w:rPr>
        <w:t>5</w:t>
      </w:r>
      <w:r>
        <w:rPr>
          <w:rFonts w:hint="eastAsia"/>
          <w:b/>
        </w:rPr>
        <w:t>、颁奖</w:t>
      </w:r>
    </w:p>
    <w:p>
      <w:pPr>
        <w:spacing w:line="300" w:lineRule="auto"/>
        <w:rPr>
          <w:rFonts w:hint="eastAsia"/>
        </w:rPr>
      </w:pPr>
      <w:r>
        <w:rPr>
          <w:rFonts w:hint="eastAsia"/>
        </w:rPr>
        <w:t>于中国科学仪器发展年会上公布获奖结果，并颁发奖杯及获奖证书。</w:t>
      </w:r>
    </w:p>
    <w:p>
      <w:pPr>
        <w:spacing w:line="300" w:lineRule="auto"/>
        <w:rPr>
          <w:rFonts w:hint="eastAsia"/>
        </w:rPr>
      </w:pPr>
      <w:bookmarkStart w:id="0" w:name="_GoBack"/>
      <w:bookmarkEnd w:id="0"/>
    </w:p>
    <w:p>
      <w:pPr>
        <w:spacing w:line="300" w:lineRule="auto"/>
        <w:rPr>
          <w:b/>
          <w:color w:val="0000FF"/>
          <w:sz w:val="22"/>
        </w:rPr>
      </w:pPr>
      <w:r>
        <w:rPr>
          <w:rFonts w:hint="eastAsia"/>
          <w:b/>
        </w:rPr>
        <w:t>附：</w:t>
      </w:r>
      <w:r>
        <w:rPr>
          <w:rFonts w:hint="eastAsia"/>
          <w:b/>
          <w:color w:val="0000FF"/>
          <w:sz w:val="22"/>
        </w:rPr>
        <w:t>历届当选者名单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12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rPr>
                <w:b/>
                <w:bCs/>
              </w:rPr>
            </w:pPr>
            <w:r>
              <w:rPr>
                <w:rFonts w:hint="eastAsia"/>
                <w:b/>
                <w:bCs/>
              </w:rPr>
              <w:t>当选年份</w:t>
            </w:r>
          </w:p>
        </w:tc>
        <w:tc>
          <w:tcPr>
            <w:tcW w:w="2123" w:type="dxa"/>
          </w:tcPr>
          <w:p>
            <w:pPr>
              <w:spacing w:line="300" w:lineRule="auto"/>
              <w:jc w:val="center"/>
              <w:rPr>
                <w:b/>
                <w:bCs/>
              </w:rPr>
            </w:pPr>
            <w:r>
              <w:rPr>
                <w:rFonts w:hint="eastAsia"/>
                <w:b/>
                <w:bCs/>
              </w:rPr>
              <w:t>姓名</w:t>
            </w:r>
          </w:p>
        </w:tc>
        <w:tc>
          <w:tcPr>
            <w:tcW w:w="5386" w:type="dxa"/>
          </w:tcPr>
          <w:p>
            <w:pPr>
              <w:spacing w:line="300" w:lineRule="auto"/>
              <w:jc w:val="center"/>
              <w:rPr>
                <w:b/>
                <w:bCs/>
              </w:rPr>
            </w:pPr>
            <w:r>
              <w:rPr>
                <w:rFonts w:hint="eastAsia"/>
                <w:b/>
                <w:bCs/>
              </w:rPr>
              <w:t>当选理由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w:t>
            </w:r>
            <w:r>
              <w:t>021</w:t>
            </w:r>
          </w:p>
        </w:tc>
        <w:tc>
          <w:tcPr>
            <w:tcW w:w="2123" w:type="dxa"/>
          </w:tcPr>
          <w:p>
            <w:pPr>
              <w:spacing w:line="300" w:lineRule="auto"/>
              <w:jc w:val="center"/>
              <w:rPr>
                <w:b/>
                <w:bCs/>
              </w:rPr>
            </w:pPr>
            <w:r>
              <w:rPr>
                <w:rFonts w:hint="eastAsia"/>
                <w:b/>
                <w:bCs/>
              </w:rPr>
              <w:t>彭年才</w:t>
            </w:r>
          </w:p>
          <w:p>
            <w:pPr>
              <w:spacing w:line="300" w:lineRule="auto"/>
              <w:jc w:val="center"/>
              <w:rPr>
                <w:b/>
                <w:bCs/>
              </w:rPr>
            </w:pPr>
            <w:r>
              <w:rPr>
                <w:rFonts w:hint="eastAsia"/>
                <w:b/>
                <w:bCs/>
              </w:rPr>
              <w:t>西安天隆科技有限公司创始人、西安交大纳米学院副院长、机械学院精密所副所长</w:t>
            </w:r>
          </w:p>
        </w:tc>
        <w:tc>
          <w:tcPr>
            <w:tcW w:w="5386" w:type="dxa"/>
          </w:tcPr>
          <w:p>
            <w:pPr>
              <w:spacing w:line="300" w:lineRule="auto"/>
            </w:pPr>
            <w:r>
              <w:rPr>
                <w:rFonts w:hint="eastAsia"/>
              </w:rPr>
              <w:t>彭年才，西安交通大学纳米学院副院长，西安天隆科技有限公司创始人，长期专注先进分子诊断基因检测技术产品的产、学、研以及推广示范应用。1997年，创立天隆科技，带领团队成功研发多类型核酸提取仪、实时荧光定量PCR核酸检测仪等重要分子诊断设备，产品性能达到国际先进水平，实现国产替代和大规模销售。2020年，天隆科技累计为全国31个省区市提供了1.4万余台检测设备，配套9000余万人份试剂，在新冠疫情防控工作中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w:t>
            </w:r>
            <w:r>
              <w:t>020</w:t>
            </w:r>
          </w:p>
        </w:tc>
        <w:tc>
          <w:tcPr>
            <w:tcW w:w="2123" w:type="dxa"/>
          </w:tcPr>
          <w:p>
            <w:pPr>
              <w:spacing w:line="300" w:lineRule="auto"/>
              <w:jc w:val="center"/>
              <w:rPr>
                <w:b/>
                <w:bCs/>
              </w:rPr>
            </w:pPr>
            <w:r>
              <w:rPr>
                <w:rFonts w:hint="eastAsia"/>
                <w:b/>
                <w:bCs/>
              </w:rPr>
              <w:t>汤志东</w:t>
            </w:r>
          </w:p>
          <w:p>
            <w:pPr>
              <w:spacing w:line="300" w:lineRule="auto"/>
              <w:jc w:val="center"/>
              <w:rPr>
                <w:b/>
                <w:bCs/>
              </w:rPr>
            </w:pPr>
            <w:r>
              <w:rPr>
                <w:rFonts w:hint="eastAsia"/>
                <w:b/>
                <w:bCs/>
              </w:rPr>
              <w:t>上海仪电科学仪器股份有限公司董事长兼总经理</w:t>
            </w:r>
          </w:p>
        </w:tc>
        <w:tc>
          <w:tcPr>
            <w:tcW w:w="5386" w:type="dxa"/>
          </w:tcPr>
          <w:p>
            <w:pPr>
              <w:spacing w:line="300" w:lineRule="auto"/>
            </w:pPr>
            <w:r>
              <w:rPr>
                <w:rFonts w:hint="eastAsia"/>
              </w:rPr>
              <w:t>他，现任上海仪电科学仪器股份有限公司董事长兼总经理。历经上海雷磁仪器厂、上海精密科学仪器有限公司、上海仪电科学仪器股份有限公司，亲身参与并见证着老牌国有企业的传承创新发展之路。他一心扎根在科学仪器这片沃土，率领“雷磁”在电化学分析仪器领域独占鳌头，pH计、电导率仪等多款产品达到国际先进水平，多项技术刷新国内空白，成为科学仪器行业的“上海市著名商标”，打造国产高端设备的“上海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4" w:type="dxa"/>
          </w:tcPr>
          <w:p>
            <w:pPr>
              <w:spacing w:line="300" w:lineRule="auto"/>
              <w:jc w:val="center"/>
            </w:pPr>
            <w:r>
              <w:rPr>
                <w:rFonts w:hint="eastAsia"/>
              </w:rPr>
              <w:t>201</w:t>
            </w:r>
            <w:r>
              <w:t>9</w:t>
            </w:r>
          </w:p>
        </w:tc>
        <w:tc>
          <w:tcPr>
            <w:tcW w:w="2123" w:type="dxa"/>
          </w:tcPr>
          <w:p>
            <w:pPr>
              <w:spacing w:line="300" w:lineRule="auto"/>
              <w:jc w:val="center"/>
              <w:rPr>
                <w:b/>
                <w:bCs/>
              </w:rPr>
            </w:pPr>
            <w:r>
              <w:rPr>
                <w:rFonts w:hint="eastAsia"/>
                <w:b/>
                <w:bCs/>
              </w:rPr>
              <w:t>周振</w:t>
            </w:r>
          </w:p>
          <w:p>
            <w:pPr>
              <w:spacing w:line="300" w:lineRule="auto"/>
              <w:jc w:val="center"/>
            </w:pPr>
            <w:r>
              <w:rPr>
                <w:rFonts w:hint="eastAsia"/>
                <w:b/>
                <w:bCs/>
              </w:rPr>
              <w:t>广州禾信仪器股份有限公司董事长</w:t>
            </w:r>
          </w:p>
        </w:tc>
        <w:tc>
          <w:tcPr>
            <w:tcW w:w="5386" w:type="dxa"/>
          </w:tcPr>
          <w:p>
            <w:pPr>
              <w:spacing w:line="300" w:lineRule="auto"/>
            </w:pPr>
            <w:r>
              <w:rPr>
                <w:rFonts w:hint="eastAsia"/>
              </w:rPr>
              <w:t>2008年，公司15个人，只有样机，作为禾信仪器领头人，周振向总书记汇报，要做中国人的质谱仪器。10年后，再向总书记汇报，气溶胶质谱仪已经大量应用于中国环境空气监测领域。2017年，禾信仪器迈入“亿元俱乐部”；2018年5月，禾信仪器的质谱产业化基地项目在科学城破土动工；2018，在VOC检测市场再创佳绩，复合增长率35%，可以说，禾信仪器作为中国质谱仪器的优秀代表，在激烈竞争的中国科学仪器市场，脚踏实地走出了一片广阔的天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201</w:t>
            </w:r>
            <w:r>
              <w:t>8</w:t>
            </w:r>
          </w:p>
        </w:tc>
        <w:tc>
          <w:tcPr>
            <w:tcW w:w="2123" w:type="dxa"/>
          </w:tcPr>
          <w:p>
            <w:pPr>
              <w:spacing w:line="300" w:lineRule="auto"/>
              <w:jc w:val="center"/>
              <w:rPr>
                <w:b/>
                <w:bCs/>
              </w:rPr>
            </w:pPr>
            <w:r>
              <w:rPr>
                <w:rFonts w:hint="eastAsia"/>
                <w:b/>
                <w:bCs/>
              </w:rPr>
              <w:t>王志刚</w:t>
            </w:r>
          </w:p>
          <w:p>
            <w:pPr>
              <w:spacing w:line="300" w:lineRule="auto"/>
              <w:jc w:val="center"/>
            </w:pPr>
            <w:r>
              <w:rPr>
                <w:rFonts w:hint="eastAsia"/>
                <w:b/>
                <w:bCs/>
              </w:rPr>
              <w:t>海能仪器股份有限公司董事长</w:t>
            </w:r>
          </w:p>
        </w:tc>
        <w:tc>
          <w:tcPr>
            <w:tcW w:w="5386" w:type="dxa"/>
          </w:tcPr>
          <w:p>
            <w:pPr>
              <w:spacing w:line="300" w:lineRule="auto"/>
              <w:jc w:val="left"/>
            </w:pPr>
            <w:r>
              <w:rPr>
                <w:rFonts w:hint="eastAsia"/>
              </w:rPr>
              <w:t>王志刚，海能仪器股份有限公司董事长。十二年来他带领海能仪器高速发展，把国产定氮仪从低端低价做到行业一流，让整个国产定氮仪的品质和价格都提升了一个层次;收购上海新仪后，两年时间将新仪微波产值翻了一倍。继控股德国G.A.S后，2017年他带领海能再度启航，与芬兰SE公司达成战略合作，推动国产近红外光谱技术的普及和发展;购买欧洲DL公司"高效毛细管电泳仪"全部技术产权，布局HPCE市场;并于今年年初宣布进入高效液相色谱这个异常激烈的战场。他所领导的海能不断给国产分析仪器带来新的期待，而这一切的背后，都源于他深厚的民族情结。他和他的团队将与国外优秀同行的差距转化为自身戮力前行的动力，不断奋勇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201</w:t>
            </w:r>
            <w:r>
              <w:t>7</w:t>
            </w:r>
          </w:p>
        </w:tc>
        <w:tc>
          <w:tcPr>
            <w:tcW w:w="2123" w:type="dxa"/>
          </w:tcPr>
          <w:p>
            <w:pPr>
              <w:spacing w:line="300" w:lineRule="auto"/>
              <w:jc w:val="center"/>
              <w:rPr>
                <w:b/>
                <w:bCs/>
              </w:rPr>
            </w:pPr>
            <w:r>
              <w:rPr>
                <w:rFonts w:hint="eastAsia"/>
                <w:b/>
                <w:bCs/>
              </w:rPr>
              <w:t xml:space="preserve">刘召贵 </w:t>
            </w:r>
          </w:p>
          <w:p>
            <w:pPr>
              <w:spacing w:line="300" w:lineRule="auto"/>
              <w:jc w:val="center"/>
            </w:pPr>
            <w:r>
              <w:rPr>
                <w:rFonts w:hint="eastAsia"/>
                <w:b/>
                <w:bCs/>
              </w:rPr>
              <w:t xml:space="preserve">江苏天瑞仪器股份有限公司董事长 </w:t>
            </w:r>
          </w:p>
        </w:tc>
        <w:tc>
          <w:tcPr>
            <w:tcW w:w="5386" w:type="dxa"/>
          </w:tcPr>
          <w:p>
            <w:pPr>
              <w:spacing w:line="300" w:lineRule="auto"/>
            </w:pPr>
            <w:r>
              <w:rPr>
                <w:rFonts w:hint="eastAsia"/>
              </w:rPr>
              <w:t>他是天瑞仪器的创始人。在他的带领下，2016年天瑞仪器营业收入同比增长近30%。而且全年共发起了3项收购，100%收购贝西生物、51%控股国测检测; 55%控股磐合科仪;被称为2016年最活跃的国产仪器“大买家”。并且，获评江苏省2016年优秀企业家称号。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201</w:t>
            </w:r>
            <w:r>
              <w:t>6</w:t>
            </w:r>
          </w:p>
        </w:tc>
        <w:tc>
          <w:tcPr>
            <w:tcW w:w="2123" w:type="dxa"/>
          </w:tcPr>
          <w:p>
            <w:pPr>
              <w:spacing w:line="300" w:lineRule="auto"/>
              <w:jc w:val="center"/>
              <w:rPr>
                <w:b/>
                <w:bCs/>
              </w:rPr>
            </w:pPr>
            <w:r>
              <w:rPr>
                <w:rFonts w:hint="eastAsia"/>
                <w:b/>
                <w:bCs/>
              </w:rPr>
              <w:t>胡克</w:t>
            </w:r>
          </w:p>
          <w:p>
            <w:pPr>
              <w:spacing w:line="300" w:lineRule="auto"/>
              <w:jc w:val="center"/>
            </w:pPr>
            <w:r>
              <w:rPr>
                <w:rFonts w:hint="eastAsia"/>
                <w:b/>
                <w:bCs/>
              </w:rPr>
              <w:t>北京莱伯泰科仪器股份有限公司董事长</w:t>
            </w:r>
          </w:p>
        </w:tc>
        <w:tc>
          <w:tcPr>
            <w:tcW w:w="5386" w:type="dxa"/>
          </w:tcPr>
          <w:p>
            <w:pPr>
              <w:spacing w:line="300" w:lineRule="auto"/>
            </w:pPr>
            <w:r>
              <w:rPr>
                <w:rFonts w:hint="eastAsia"/>
              </w:rPr>
              <w:t>他是莱伯泰科的创始人，控股人，他开创了一条国产企业稳健快速发展之路。在他的带领下，2015年莱伯泰科一举收购美国CDS，全年产值突破2亿元，并申请创业板上市，为国产仪器进军全球高端市场做足充分准备，且底气十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201</w:t>
            </w:r>
            <w:r>
              <w:t>5</w:t>
            </w:r>
          </w:p>
        </w:tc>
        <w:tc>
          <w:tcPr>
            <w:tcW w:w="2123" w:type="dxa"/>
          </w:tcPr>
          <w:p>
            <w:pPr>
              <w:spacing w:line="300" w:lineRule="auto"/>
              <w:jc w:val="center"/>
              <w:rPr>
                <w:b/>
                <w:bCs/>
              </w:rPr>
            </w:pPr>
            <w:r>
              <w:rPr>
                <w:rFonts w:hint="eastAsia"/>
                <w:b/>
                <w:bCs/>
              </w:rPr>
              <w:t>黄志方</w:t>
            </w:r>
          </w:p>
          <w:p>
            <w:pPr>
              <w:spacing w:line="300" w:lineRule="auto"/>
              <w:jc w:val="center"/>
            </w:pPr>
            <w:r>
              <w:rPr>
                <w:rFonts w:hint="eastAsia"/>
                <w:b/>
                <w:bCs/>
              </w:rPr>
              <w:t xml:space="preserve">深圳三思纵横科技股份有限公司董事长 </w:t>
            </w:r>
          </w:p>
        </w:tc>
        <w:tc>
          <w:tcPr>
            <w:tcW w:w="5386" w:type="dxa"/>
          </w:tcPr>
          <w:p>
            <w:pPr>
              <w:spacing w:line="300" w:lineRule="auto"/>
            </w:pPr>
            <w:r>
              <w:rPr>
                <w:rFonts w:hint="eastAsia"/>
              </w:rPr>
              <w:t>2014年，深圳三思纵横科技股份有限公司董事长黄志方带领三思纵横在逆势中腾飞，持续高速的增长，让三思纵横再次独占鳌头。并率领三思纵横承担国家重大专项，提高科研和创新能力，虽然面临更激烈的竞争，但敢于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spacing w:line="300" w:lineRule="auto"/>
              <w:jc w:val="center"/>
            </w:pPr>
            <w:r>
              <w:rPr>
                <w:rFonts w:hint="eastAsia"/>
              </w:rPr>
              <w:t>201</w:t>
            </w:r>
            <w:r>
              <w:t>4</w:t>
            </w:r>
          </w:p>
        </w:tc>
        <w:tc>
          <w:tcPr>
            <w:tcW w:w="2123" w:type="dxa"/>
          </w:tcPr>
          <w:p>
            <w:pPr>
              <w:spacing w:line="300" w:lineRule="auto"/>
              <w:jc w:val="center"/>
              <w:rPr>
                <w:b/>
                <w:bCs/>
              </w:rPr>
            </w:pPr>
            <w:r>
              <w:rPr>
                <w:rFonts w:hint="eastAsia"/>
                <w:b/>
                <w:bCs/>
              </w:rPr>
              <w:t>李晓鸥</w:t>
            </w:r>
          </w:p>
          <w:p>
            <w:pPr>
              <w:spacing w:line="300" w:lineRule="auto"/>
              <w:jc w:val="center"/>
            </w:pPr>
            <w:r>
              <w:rPr>
                <w:rFonts w:hint="eastAsia"/>
                <w:b/>
                <w:bCs/>
              </w:rPr>
              <w:t xml:space="preserve">北京东西分析仪器有限公司总经理 </w:t>
            </w:r>
          </w:p>
        </w:tc>
        <w:tc>
          <w:tcPr>
            <w:tcW w:w="5386" w:type="dxa"/>
          </w:tcPr>
          <w:p>
            <w:pPr>
              <w:spacing w:line="300" w:lineRule="auto"/>
            </w:pPr>
            <w:r>
              <w:rPr>
                <w:rFonts w:hint="eastAsia"/>
              </w:rPr>
              <w:t>实现了对上一代仪器人的传承，带领东西分析继续高速增长，并完成了对世界知名通用分析仪器企业GBC的收购，率领东西分析走向国际化、多元化。虽然面临激烈的竞争，但敢于担当。</w:t>
            </w:r>
          </w:p>
        </w:tc>
      </w:tr>
    </w:tbl>
    <w:p>
      <w:pPr>
        <w:spacing w:line="300" w:lineRule="auto"/>
      </w:pPr>
    </w:p>
    <w:p>
      <w:pPr>
        <w:spacing w:line="300" w:lineRule="auto"/>
        <w:ind w:firstLine="484" w:firstLineChars="202"/>
        <w:rPr>
          <w:rFonts w:ascii="仿宋" w:hAnsi="仿宋" w:eastAsia="仿宋"/>
          <w:sz w:val="24"/>
          <w:szCs w:val="24"/>
        </w:rPr>
      </w:pPr>
    </w:p>
    <w:sectPr>
      <w:headerReference r:id="rId3" w:type="default"/>
      <w:footerReference r:id="rId4" w:type="default"/>
      <w:pgSz w:w="11906" w:h="16838"/>
      <w:pgMar w:top="1440" w:right="1841"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rPr>
    </w:pPr>
    <w:r>
      <w:rPr>
        <w:rFonts w:hint="eastAsia" w:ascii="黑体" w:hAnsi="黑体" w:eastAsia="黑体"/>
      </w:rPr>
      <w:t>联 系 人：</w:t>
    </w:r>
    <w:r>
      <w:rPr>
        <w:rFonts w:hint="eastAsia" w:ascii="黑体" w:hAnsi="黑体" w:eastAsia="黑体"/>
        <w:lang w:val="en-US" w:eastAsia="zh-CN"/>
      </w:rPr>
      <w:t>毛晓洁</w:t>
    </w:r>
    <w:r>
      <w:rPr>
        <w:rFonts w:hint="eastAsia" w:ascii="黑体" w:hAnsi="黑体" w:eastAsia="黑体"/>
      </w:rPr>
      <w:t xml:space="preserve">    </w:t>
    </w:r>
    <w:r>
      <w:rPr>
        <w:rFonts w:ascii="黑体" w:hAnsi="黑体" w:eastAsia="黑体"/>
      </w:rPr>
      <w:t xml:space="preserve">             </w:t>
    </w:r>
    <w:r>
      <w:rPr>
        <w:rFonts w:hint="eastAsia" w:ascii="黑体" w:hAnsi="黑体" w:eastAsia="黑体"/>
      </w:rPr>
      <w:t>移动电话：</w:t>
    </w:r>
    <w:r>
      <w:rPr>
        <w:rFonts w:hint="eastAsia" w:ascii="黑体" w:hAnsi="黑体" w:eastAsia="黑体"/>
        <w:lang w:val="en-US" w:eastAsia="zh-CN"/>
      </w:rPr>
      <w:t>135</w:t>
    </w:r>
    <w:r>
      <w:rPr>
        <w:rFonts w:hint="eastAsia" w:ascii="黑体" w:hAnsi="黑体" w:eastAsia="黑体"/>
      </w:rPr>
      <w:t>-</w:t>
    </w:r>
    <w:r>
      <w:rPr>
        <w:rFonts w:hint="eastAsia" w:ascii="黑体" w:hAnsi="黑体" w:eastAsia="黑体"/>
        <w:lang w:val="en-US" w:eastAsia="zh-CN"/>
      </w:rPr>
      <w:t>5230</w:t>
    </w:r>
    <w:r>
      <w:rPr>
        <w:rFonts w:hint="eastAsia" w:ascii="黑体" w:hAnsi="黑体" w:eastAsia="黑体"/>
      </w:rPr>
      <w:t>-</w:t>
    </w:r>
    <w:r>
      <w:rPr>
        <w:rFonts w:hint="eastAsia" w:ascii="黑体" w:hAnsi="黑体" w:eastAsia="黑体"/>
        <w:lang w:val="en-US" w:eastAsia="zh-CN"/>
      </w:rPr>
      <w:t>6052</w:t>
    </w:r>
    <w:r>
      <w:rPr>
        <w:rFonts w:hint="eastAsia" w:ascii="黑体" w:hAnsi="黑体" w:eastAsia="黑体"/>
      </w:rPr>
      <w:t xml:space="preserve">     电子邮件：</w:t>
    </w:r>
    <w:r>
      <w:rPr>
        <w:rFonts w:hint="eastAsia" w:ascii="黑体" w:hAnsi="黑体" w:eastAsia="黑体"/>
        <w:lang w:val="en-US" w:eastAsia="zh-CN"/>
      </w:rPr>
      <w:t>maoxj</w:t>
    </w:r>
    <w:r>
      <w:rPr>
        <w:rFonts w:hint="eastAsia" w:ascii="黑体" w:hAnsi="黑体" w:eastAsia="黑体"/>
      </w:rPr>
      <w:t>@instrument.com.cn</w:t>
    </w:r>
  </w:p>
  <w:p>
    <w:pPr>
      <w:pStyle w:val="4"/>
      <w:rPr>
        <w:rFonts w:ascii="黑体" w:hAnsi="黑体" w:eastAsia="黑体"/>
      </w:rPr>
    </w:pPr>
    <w:r>
      <w:rPr>
        <w:rFonts w:hint="eastAsia" w:ascii="黑体" w:hAnsi="黑体" w:eastAsia="黑体"/>
      </w:rPr>
      <w:t>公司地址：北京市西城区新街口外大街28号普天德胜科技园B座412室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楷体_GB2312" w:hAnsi="Arial" w:eastAsia="楷体_GB2312"/>
        <w:b/>
        <w:color w:val="0000FF"/>
        <w:sz w:val="21"/>
      </w:rPr>
    </w:pPr>
    <w:r>
      <w:drawing>
        <wp:inline distT="0" distB="0" distL="0" distR="0">
          <wp:extent cx="160020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38150"/>
                  </a:xfrm>
                  <a:prstGeom prst="rect">
                    <a:avLst/>
                  </a:prstGeom>
                  <a:noFill/>
                  <a:ln>
                    <a:noFill/>
                  </a:ln>
                </pic:spPr>
              </pic:pic>
            </a:graphicData>
          </a:graphic>
        </wp:inline>
      </w:drawing>
    </w:r>
    <w:r>
      <w:rPr>
        <w:rFonts w:hint="eastAsia" w:ascii="楷体_GB2312" w:hAnsi="Arial" w:eastAsia="楷体_GB2312"/>
        <w:b/>
        <w:color w:val="0000FF"/>
        <w:sz w:val="21"/>
      </w:rPr>
      <w:t xml:space="preserve"> </w:t>
    </w:r>
    <w:r>
      <w:rPr>
        <w:rFonts w:ascii="楷体_GB2312" w:hAnsi="Arial" w:eastAsia="楷体_GB2312"/>
        <w:b/>
        <w:color w:val="0000FF"/>
        <w:sz w:val="21"/>
      </w:rPr>
      <w:t xml:space="preserve">                                  </w:t>
    </w:r>
    <w:r>
      <w:rPr>
        <w:rFonts w:hint="eastAsia" w:ascii="楷体_GB2312" w:hAnsi="Arial" w:eastAsia="楷体_GB2312"/>
        <w:b/>
        <w:color w:val="0000FF"/>
        <w:sz w:val="21"/>
      </w:rPr>
      <w:t>科学仪器专业门户网站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73"/>
    <w:rsid w:val="00011B8A"/>
    <w:rsid w:val="0002202B"/>
    <w:rsid w:val="000258A3"/>
    <w:rsid w:val="00042308"/>
    <w:rsid w:val="000831C4"/>
    <w:rsid w:val="000851B7"/>
    <w:rsid w:val="0008696E"/>
    <w:rsid w:val="000B7D82"/>
    <w:rsid w:val="000E0104"/>
    <w:rsid w:val="0020722A"/>
    <w:rsid w:val="002111B4"/>
    <w:rsid w:val="002126BA"/>
    <w:rsid w:val="00217A3F"/>
    <w:rsid w:val="00275D18"/>
    <w:rsid w:val="00285540"/>
    <w:rsid w:val="00296CFF"/>
    <w:rsid w:val="002C7A94"/>
    <w:rsid w:val="002F3DC8"/>
    <w:rsid w:val="0033178D"/>
    <w:rsid w:val="003401C2"/>
    <w:rsid w:val="00377ABA"/>
    <w:rsid w:val="003A53A2"/>
    <w:rsid w:val="003B1185"/>
    <w:rsid w:val="003B7F0C"/>
    <w:rsid w:val="003C6E09"/>
    <w:rsid w:val="003F2D10"/>
    <w:rsid w:val="00443661"/>
    <w:rsid w:val="004508B9"/>
    <w:rsid w:val="004A0D4F"/>
    <w:rsid w:val="004A38C6"/>
    <w:rsid w:val="004C408F"/>
    <w:rsid w:val="004F1901"/>
    <w:rsid w:val="004F3511"/>
    <w:rsid w:val="004F786D"/>
    <w:rsid w:val="00514404"/>
    <w:rsid w:val="00530845"/>
    <w:rsid w:val="005509BA"/>
    <w:rsid w:val="00551E55"/>
    <w:rsid w:val="005548AD"/>
    <w:rsid w:val="005A2326"/>
    <w:rsid w:val="005C25A5"/>
    <w:rsid w:val="005E28BD"/>
    <w:rsid w:val="00654DF1"/>
    <w:rsid w:val="00662943"/>
    <w:rsid w:val="00680E2A"/>
    <w:rsid w:val="0068265C"/>
    <w:rsid w:val="006A6015"/>
    <w:rsid w:val="006F0813"/>
    <w:rsid w:val="00702A39"/>
    <w:rsid w:val="00707B30"/>
    <w:rsid w:val="0071163F"/>
    <w:rsid w:val="00785412"/>
    <w:rsid w:val="00796D60"/>
    <w:rsid w:val="007B02FD"/>
    <w:rsid w:val="007C1D18"/>
    <w:rsid w:val="007E1A66"/>
    <w:rsid w:val="007E6D06"/>
    <w:rsid w:val="007F7F3B"/>
    <w:rsid w:val="00802D1C"/>
    <w:rsid w:val="0083469C"/>
    <w:rsid w:val="00845000"/>
    <w:rsid w:val="00856128"/>
    <w:rsid w:val="00874B81"/>
    <w:rsid w:val="0089210E"/>
    <w:rsid w:val="008A0B95"/>
    <w:rsid w:val="008A2A2B"/>
    <w:rsid w:val="008C63B2"/>
    <w:rsid w:val="008F45EE"/>
    <w:rsid w:val="008F50B8"/>
    <w:rsid w:val="00925473"/>
    <w:rsid w:val="00990A2D"/>
    <w:rsid w:val="009A15A4"/>
    <w:rsid w:val="00A33F1D"/>
    <w:rsid w:val="00A43623"/>
    <w:rsid w:val="00A5437B"/>
    <w:rsid w:val="00A63EAA"/>
    <w:rsid w:val="00AD00CC"/>
    <w:rsid w:val="00B25993"/>
    <w:rsid w:val="00B34CDC"/>
    <w:rsid w:val="00B37FAF"/>
    <w:rsid w:val="00B40A38"/>
    <w:rsid w:val="00B42292"/>
    <w:rsid w:val="00B562EB"/>
    <w:rsid w:val="00B77375"/>
    <w:rsid w:val="00B921A8"/>
    <w:rsid w:val="00B9676F"/>
    <w:rsid w:val="00BA15AB"/>
    <w:rsid w:val="00BE6715"/>
    <w:rsid w:val="00BF1901"/>
    <w:rsid w:val="00BF413A"/>
    <w:rsid w:val="00C139BE"/>
    <w:rsid w:val="00C50AAF"/>
    <w:rsid w:val="00C670CA"/>
    <w:rsid w:val="00C70315"/>
    <w:rsid w:val="00C93824"/>
    <w:rsid w:val="00C9549D"/>
    <w:rsid w:val="00CA525E"/>
    <w:rsid w:val="00CB2ACE"/>
    <w:rsid w:val="00CE1651"/>
    <w:rsid w:val="00CE4346"/>
    <w:rsid w:val="00D07CBE"/>
    <w:rsid w:val="00D2678A"/>
    <w:rsid w:val="00D47F5C"/>
    <w:rsid w:val="00D5706F"/>
    <w:rsid w:val="00D81DA6"/>
    <w:rsid w:val="00D979BB"/>
    <w:rsid w:val="00DE3B78"/>
    <w:rsid w:val="00E10D4E"/>
    <w:rsid w:val="00E13F24"/>
    <w:rsid w:val="00E205B6"/>
    <w:rsid w:val="00E23D19"/>
    <w:rsid w:val="00E74B82"/>
    <w:rsid w:val="00E76666"/>
    <w:rsid w:val="00E779D7"/>
    <w:rsid w:val="00EE65F8"/>
    <w:rsid w:val="00EF294C"/>
    <w:rsid w:val="00F06F01"/>
    <w:rsid w:val="00F24880"/>
    <w:rsid w:val="00F27B9E"/>
    <w:rsid w:val="00F51F41"/>
    <w:rsid w:val="00F54F65"/>
    <w:rsid w:val="00F654CC"/>
    <w:rsid w:val="00F8465A"/>
    <w:rsid w:val="00FB26C9"/>
    <w:rsid w:val="00FC15A7"/>
    <w:rsid w:val="00FC1D7C"/>
    <w:rsid w:val="00FE6307"/>
    <w:rsid w:val="00FF1361"/>
    <w:rsid w:val="00FF7825"/>
    <w:rsid w:val="021F6013"/>
    <w:rsid w:val="06F07F7E"/>
    <w:rsid w:val="0799002A"/>
    <w:rsid w:val="0D3F3A0E"/>
    <w:rsid w:val="0EE228A3"/>
    <w:rsid w:val="0F0C791F"/>
    <w:rsid w:val="110E5BD1"/>
    <w:rsid w:val="12802AFE"/>
    <w:rsid w:val="13C04D1D"/>
    <w:rsid w:val="156C27CE"/>
    <w:rsid w:val="16A67991"/>
    <w:rsid w:val="16AA3A87"/>
    <w:rsid w:val="18561C0B"/>
    <w:rsid w:val="18F733EE"/>
    <w:rsid w:val="19B60BB4"/>
    <w:rsid w:val="19CF7EC7"/>
    <w:rsid w:val="1D802E1F"/>
    <w:rsid w:val="1DD9652B"/>
    <w:rsid w:val="202E414E"/>
    <w:rsid w:val="209B4FA7"/>
    <w:rsid w:val="20A774A8"/>
    <w:rsid w:val="214747E7"/>
    <w:rsid w:val="215D400B"/>
    <w:rsid w:val="21A974B5"/>
    <w:rsid w:val="22BB36DF"/>
    <w:rsid w:val="237F60D8"/>
    <w:rsid w:val="24AE34FB"/>
    <w:rsid w:val="265F14A3"/>
    <w:rsid w:val="28D15F0A"/>
    <w:rsid w:val="29E84CF0"/>
    <w:rsid w:val="2AC450FA"/>
    <w:rsid w:val="2ADF617F"/>
    <w:rsid w:val="2B6F32B8"/>
    <w:rsid w:val="2C583D4C"/>
    <w:rsid w:val="2F923A19"/>
    <w:rsid w:val="2FF16992"/>
    <w:rsid w:val="304545E8"/>
    <w:rsid w:val="31DB3455"/>
    <w:rsid w:val="31EA5447"/>
    <w:rsid w:val="32DF0D23"/>
    <w:rsid w:val="35CB37E1"/>
    <w:rsid w:val="38D34E86"/>
    <w:rsid w:val="38DB1F8D"/>
    <w:rsid w:val="3ABE56C2"/>
    <w:rsid w:val="3B8E778B"/>
    <w:rsid w:val="3CC35212"/>
    <w:rsid w:val="3DDA0A65"/>
    <w:rsid w:val="3ECF4342"/>
    <w:rsid w:val="40167D4F"/>
    <w:rsid w:val="429F5DD9"/>
    <w:rsid w:val="436C6603"/>
    <w:rsid w:val="4654512D"/>
    <w:rsid w:val="4812529F"/>
    <w:rsid w:val="49267254"/>
    <w:rsid w:val="4AC113CB"/>
    <w:rsid w:val="4BC44B03"/>
    <w:rsid w:val="5023004A"/>
    <w:rsid w:val="509251CF"/>
    <w:rsid w:val="51DD63DE"/>
    <w:rsid w:val="522602C5"/>
    <w:rsid w:val="53A25729"/>
    <w:rsid w:val="53A418EB"/>
    <w:rsid w:val="542E3461"/>
    <w:rsid w:val="54905ECA"/>
    <w:rsid w:val="55D87B28"/>
    <w:rsid w:val="575D26DE"/>
    <w:rsid w:val="58A9415C"/>
    <w:rsid w:val="58EF1971"/>
    <w:rsid w:val="59D10B16"/>
    <w:rsid w:val="5C54238C"/>
    <w:rsid w:val="5CEE7C31"/>
    <w:rsid w:val="5F4B4EC7"/>
    <w:rsid w:val="60FB1283"/>
    <w:rsid w:val="60FD6695"/>
    <w:rsid w:val="61202383"/>
    <w:rsid w:val="625E7607"/>
    <w:rsid w:val="62F67840"/>
    <w:rsid w:val="6401024A"/>
    <w:rsid w:val="663D445F"/>
    <w:rsid w:val="66680A54"/>
    <w:rsid w:val="673F7A07"/>
    <w:rsid w:val="67BA52E0"/>
    <w:rsid w:val="6A3D5D54"/>
    <w:rsid w:val="6AC13E4D"/>
    <w:rsid w:val="6C845EBC"/>
    <w:rsid w:val="70AB7EBB"/>
    <w:rsid w:val="71940950"/>
    <w:rsid w:val="719E532A"/>
    <w:rsid w:val="724203AC"/>
    <w:rsid w:val="72B868C0"/>
    <w:rsid w:val="740873D3"/>
    <w:rsid w:val="74CC0400"/>
    <w:rsid w:val="77185B7F"/>
    <w:rsid w:val="771C566F"/>
    <w:rsid w:val="772B3B04"/>
    <w:rsid w:val="7A434CC1"/>
    <w:rsid w:val="7A543372"/>
    <w:rsid w:val="7A9E45ED"/>
    <w:rsid w:val="7BC938EC"/>
    <w:rsid w:val="7C8F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rPr>
      <w:rFonts w:ascii="Arial Black" w:hAnsi="Arial Black" w:eastAsia="宋体" w:cs="Times New Roman"/>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正文文本 Char"/>
    <w:basedOn w:val="8"/>
    <w:link w:val="2"/>
    <w:qFormat/>
    <w:uiPriority w:val="0"/>
    <w:rPr>
      <w:rFonts w:ascii="Arial Black" w:hAnsi="Arial Black" w:eastAsia="宋体"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225</Words>
  <Characters>1289</Characters>
  <Lines>10</Lines>
  <Paragraphs>3</Paragraphs>
  <TotalTime>4</TotalTime>
  <ScaleCrop>false</ScaleCrop>
  <LinksUpToDate>false</LinksUpToDate>
  <CharactersWithSpaces>1511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2020-06-22T04:13:00Z</dcterms:created>
  <dc:creator>Cyanboat Zhao</dc:creator>
  <cp:lastModifiedBy>小睫毛</cp:lastModifiedBy>
  <cp:lastPrinted>2020-05-26T10:49:00Z</cp:lastPrinted>
  <dcterms:modified xsi:type="dcterms:W3CDTF">2022-02-24T07:19:44Z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3169D575A4C446AEB7460AD47F19C77D</vt:lpwstr>
  </property>
</Properties>
</file>