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rPr>
          <w:rFonts w:hint="eastAsia" w:ascii="黑体" w:hAnsi="黑体" w:eastAsia="黑体" w:cs="黑体"/>
          <w:color w:val="auto"/>
          <w:szCs w:val="24"/>
          <w:highlight w:val="none"/>
        </w:rPr>
      </w:pPr>
    </w:p>
    <w:p>
      <w:pPr>
        <w:pStyle w:val="20"/>
        <w:ind w:firstLine="480"/>
        <w:rPr>
          <w:rFonts w:hint="eastAsia" w:ascii="黑体" w:hAnsi="黑体" w:eastAsia="黑体" w:cs="黑体"/>
          <w:color w:val="auto"/>
          <w:highlight w:val="none"/>
        </w:rPr>
      </w:pPr>
    </w:p>
    <w:p>
      <w:pPr>
        <w:ind w:firstLine="480"/>
        <w:rPr>
          <w:rFonts w:hint="eastAsia" w:ascii="黑体" w:hAnsi="黑体" w:eastAsia="黑体" w:cs="黑体"/>
          <w:color w:val="auto"/>
          <w:highlight w:val="none"/>
        </w:rPr>
      </w:pPr>
    </w:p>
    <w:p>
      <w:pPr>
        <w:snapToGrid w:val="0"/>
        <w:ind w:firstLine="0" w:firstLineChars="0"/>
        <w:rPr>
          <w:rFonts w:hint="eastAsia" w:ascii="黑体" w:hAnsi="黑体" w:eastAsia="黑体" w:cs="黑体"/>
          <w:color w:val="auto"/>
          <w:szCs w:val="24"/>
          <w:highlight w:val="none"/>
        </w:rPr>
      </w:pPr>
    </w:p>
    <w:p>
      <w:pPr>
        <w:spacing w:line="360" w:lineRule="auto"/>
        <w:ind w:firstLine="0" w:firstLineChars="0"/>
        <w:jc w:val="center"/>
        <w:rPr>
          <w:rFonts w:hint="eastAsia" w:ascii="黑体" w:hAnsi="黑体" w:eastAsia="黑体" w:cs="黑体"/>
          <w:bCs/>
          <w:color w:val="auto"/>
          <w:w w:val="90"/>
          <w:sz w:val="84"/>
          <w:szCs w:val="84"/>
          <w:highlight w:val="none"/>
        </w:rPr>
      </w:pPr>
      <w:r>
        <w:rPr>
          <w:rFonts w:hint="eastAsia" w:ascii="黑体" w:hAnsi="黑体" w:eastAsia="黑体" w:cs="黑体"/>
          <w:color w:val="auto"/>
          <w:w w:val="90"/>
          <w:sz w:val="84"/>
          <w:szCs w:val="84"/>
          <w:highlight w:val="none"/>
        </w:rPr>
        <w:t>公开招标采购文件</w:t>
      </w:r>
    </w:p>
    <w:p>
      <w:pPr>
        <w:snapToGrid w:val="0"/>
        <w:ind w:firstLine="0" w:firstLineChars="0"/>
        <w:rPr>
          <w:rFonts w:hint="eastAsia" w:ascii="黑体" w:hAnsi="黑体" w:eastAsia="黑体" w:cs="黑体"/>
          <w:color w:val="auto"/>
          <w:szCs w:val="24"/>
          <w:highlight w:val="none"/>
        </w:rPr>
      </w:pPr>
    </w:p>
    <w:p>
      <w:pPr>
        <w:snapToGrid w:val="0"/>
        <w:ind w:firstLine="0" w:firstLineChars="0"/>
        <w:rPr>
          <w:rFonts w:hint="eastAsia" w:ascii="黑体" w:hAnsi="黑体" w:eastAsia="黑体" w:cs="黑体"/>
          <w:color w:val="auto"/>
          <w:szCs w:val="24"/>
          <w:highlight w:val="none"/>
        </w:rPr>
      </w:pPr>
    </w:p>
    <w:p>
      <w:pPr>
        <w:snapToGrid w:val="0"/>
        <w:ind w:firstLine="0" w:firstLineChars="0"/>
        <w:rPr>
          <w:rFonts w:hint="eastAsia" w:ascii="黑体" w:hAnsi="黑体" w:eastAsia="黑体" w:cs="黑体"/>
          <w:color w:val="auto"/>
          <w:szCs w:val="24"/>
          <w:highlight w:val="none"/>
        </w:rPr>
      </w:pPr>
    </w:p>
    <w:p>
      <w:pPr>
        <w:snapToGrid w:val="0"/>
        <w:spacing w:line="520" w:lineRule="exact"/>
        <w:ind w:firstLine="0" w:firstLineChars="0"/>
        <w:rPr>
          <w:rFonts w:hint="eastAsia" w:ascii="黑体" w:hAnsi="黑体" w:eastAsia="黑体" w:cs="黑体"/>
          <w:bCs/>
          <w:color w:val="auto"/>
          <w:sz w:val="32"/>
          <w:szCs w:val="32"/>
          <w:highlight w:val="none"/>
          <w:lang w:val="zh-CN"/>
        </w:rPr>
      </w:pPr>
    </w:p>
    <w:p>
      <w:pPr>
        <w:snapToGrid w:val="0"/>
        <w:spacing w:line="520" w:lineRule="exact"/>
        <w:jc w:val="both"/>
        <w:rPr>
          <w:rFonts w:hint="eastAsia" w:ascii="黑体" w:hAnsi="黑体" w:eastAsia="黑体" w:cs="黑体"/>
          <w:bCs/>
          <w:color w:val="auto"/>
          <w:sz w:val="28"/>
          <w:szCs w:val="28"/>
          <w:highlight w:val="none"/>
          <w:u w:val="single"/>
        </w:rPr>
      </w:pPr>
      <w:r>
        <w:rPr>
          <w:rFonts w:hint="eastAsia" w:ascii="黑体" w:hAnsi="黑体" w:eastAsia="黑体" w:cs="黑体"/>
          <w:bCs/>
          <w:color w:val="auto"/>
          <w:sz w:val="28"/>
          <w:szCs w:val="28"/>
          <w:highlight w:val="none"/>
          <w:lang w:val="zh-CN"/>
        </w:rPr>
        <w:t>项目编号：</w:t>
      </w:r>
      <w:r>
        <w:rPr>
          <w:rFonts w:hint="eastAsia" w:ascii="黑体" w:hAnsi="黑体" w:eastAsia="黑体" w:cs="黑体"/>
          <w:bCs/>
          <w:color w:val="auto"/>
          <w:sz w:val="28"/>
          <w:szCs w:val="28"/>
          <w:highlight w:val="none"/>
          <w:u w:val="single"/>
          <w:lang w:val="zh-CN"/>
        </w:rPr>
        <w:t>OBZFCG2021-033</w:t>
      </w:r>
    </w:p>
    <w:p>
      <w:pPr>
        <w:snapToGrid w:val="0"/>
        <w:spacing w:line="520" w:lineRule="exact"/>
        <w:ind w:firstLine="1386" w:firstLineChars="495"/>
        <w:jc w:val="center"/>
        <w:rPr>
          <w:rFonts w:hint="eastAsia" w:ascii="黑体" w:hAnsi="黑体" w:eastAsia="黑体" w:cs="黑体"/>
          <w:bCs/>
          <w:color w:val="auto"/>
          <w:sz w:val="28"/>
          <w:szCs w:val="28"/>
          <w:highlight w:val="none"/>
          <w:lang w:val="zh-CN"/>
        </w:rPr>
      </w:pPr>
    </w:p>
    <w:p>
      <w:pPr>
        <w:snapToGrid w:val="0"/>
        <w:spacing w:line="360" w:lineRule="auto"/>
        <w:ind w:firstLine="640"/>
        <w:jc w:val="center"/>
        <w:rPr>
          <w:rFonts w:hint="eastAsia" w:ascii="黑体" w:hAnsi="黑体" w:eastAsia="黑体" w:cs="黑体"/>
          <w:bCs/>
          <w:color w:val="auto"/>
          <w:sz w:val="28"/>
          <w:szCs w:val="28"/>
          <w:highlight w:val="none"/>
          <w:lang w:val="zh-CN"/>
        </w:rPr>
      </w:pPr>
      <w:r>
        <w:rPr>
          <w:rFonts w:hint="eastAsia" w:ascii="黑体" w:hAnsi="黑体" w:eastAsia="黑体" w:cs="黑体"/>
          <w:bCs/>
          <w:color w:val="auto"/>
          <w:sz w:val="28"/>
          <w:szCs w:val="28"/>
          <w:highlight w:val="none"/>
          <w:lang w:val="zh-CN"/>
        </w:rPr>
        <w:t>项目名称：</w:t>
      </w:r>
      <w:r>
        <w:rPr>
          <w:rFonts w:hint="eastAsia" w:ascii="黑体" w:hAnsi="黑体" w:eastAsia="黑体" w:cs="黑体"/>
          <w:bCs/>
          <w:color w:val="auto"/>
          <w:sz w:val="28"/>
          <w:szCs w:val="28"/>
          <w:highlight w:val="none"/>
          <w:u w:val="single"/>
          <w:lang w:val="zh-CN"/>
        </w:rPr>
        <w:t>龙游县市场监督管理局2022年-2023年食品安全监督抽检项目</w:t>
      </w:r>
    </w:p>
    <w:p>
      <w:pPr>
        <w:snapToGrid w:val="0"/>
        <w:ind w:firstLine="0" w:firstLineChars="0"/>
        <w:jc w:val="center"/>
        <w:rPr>
          <w:rFonts w:hint="eastAsia" w:ascii="黑体" w:hAnsi="黑体" w:eastAsia="黑体" w:cs="黑体"/>
          <w:color w:val="auto"/>
          <w:sz w:val="22"/>
          <w:szCs w:val="22"/>
          <w:highlight w:val="none"/>
          <w:lang w:val="zh-CN"/>
        </w:rPr>
      </w:pPr>
    </w:p>
    <w:p>
      <w:pPr>
        <w:snapToGrid w:val="0"/>
        <w:ind w:firstLine="0" w:firstLineChars="0"/>
        <w:jc w:val="center"/>
        <w:rPr>
          <w:rFonts w:hint="eastAsia" w:ascii="黑体" w:hAnsi="黑体" w:eastAsia="黑体" w:cs="黑体"/>
          <w:color w:val="auto"/>
          <w:sz w:val="22"/>
          <w:szCs w:val="22"/>
          <w:highlight w:val="none"/>
          <w:lang w:val="zh-CN"/>
        </w:rPr>
      </w:pPr>
    </w:p>
    <w:p>
      <w:pPr>
        <w:snapToGrid w:val="0"/>
        <w:ind w:firstLine="0" w:firstLineChars="0"/>
        <w:jc w:val="center"/>
        <w:rPr>
          <w:rFonts w:hint="eastAsia" w:ascii="黑体" w:hAnsi="黑体" w:eastAsia="黑体" w:cs="黑体"/>
          <w:color w:val="auto"/>
          <w:sz w:val="22"/>
          <w:szCs w:val="22"/>
          <w:highlight w:val="none"/>
          <w:lang w:val="zh-CN"/>
        </w:rPr>
      </w:pPr>
    </w:p>
    <w:p>
      <w:pPr>
        <w:snapToGrid w:val="0"/>
        <w:ind w:firstLine="0" w:firstLineChars="0"/>
        <w:jc w:val="center"/>
        <w:rPr>
          <w:rFonts w:hint="eastAsia" w:ascii="黑体" w:hAnsi="黑体" w:eastAsia="黑体" w:cs="黑体"/>
          <w:color w:val="auto"/>
          <w:sz w:val="22"/>
          <w:szCs w:val="22"/>
          <w:highlight w:val="none"/>
          <w:lang w:val="zh-CN"/>
        </w:rPr>
      </w:pPr>
    </w:p>
    <w:p>
      <w:pPr>
        <w:snapToGrid w:val="0"/>
        <w:spacing w:line="520" w:lineRule="exact"/>
        <w:ind w:firstLine="640"/>
        <w:jc w:val="center"/>
        <w:rPr>
          <w:rFonts w:hint="eastAsia" w:ascii="黑体" w:hAnsi="黑体" w:eastAsia="黑体" w:cs="黑体"/>
          <w:bCs/>
          <w:color w:val="auto"/>
          <w:sz w:val="28"/>
          <w:szCs w:val="28"/>
          <w:highlight w:val="none"/>
          <w:u w:val="single"/>
        </w:rPr>
      </w:pPr>
      <w:r>
        <w:rPr>
          <w:rFonts w:hint="eastAsia" w:ascii="黑体" w:hAnsi="黑体" w:eastAsia="黑体" w:cs="黑体"/>
          <w:bCs/>
          <w:color w:val="auto"/>
          <w:sz w:val="28"/>
          <w:szCs w:val="28"/>
          <w:highlight w:val="none"/>
          <w:lang w:val="zh-CN"/>
        </w:rPr>
        <w:t>采购单位：</w:t>
      </w:r>
      <w:r>
        <w:rPr>
          <w:rFonts w:hint="eastAsia" w:ascii="黑体" w:hAnsi="黑体" w:eastAsia="黑体" w:cs="黑体"/>
          <w:bCs/>
          <w:color w:val="auto"/>
          <w:sz w:val="28"/>
          <w:szCs w:val="28"/>
          <w:highlight w:val="none"/>
          <w:u w:val="single"/>
          <w:lang w:val="zh-CN"/>
        </w:rPr>
        <w:t>龙游县市场监督管理局</w:t>
      </w:r>
      <w:r>
        <w:rPr>
          <w:rFonts w:hint="eastAsia" w:ascii="黑体" w:hAnsi="黑体" w:eastAsia="黑体" w:cs="黑体"/>
          <w:bCs/>
          <w:color w:val="auto"/>
          <w:sz w:val="28"/>
          <w:szCs w:val="28"/>
          <w:highlight w:val="none"/>
          <w:u w:val="single"/>
        </w:rPr>
        <w:t xml:space="preserve">           （盖章）</w:t>
      </w:r>
    </w:p>
    <w:p>
      <w:pPr>
        <w:snapToGrid w:val="0"/>
        <w:ind w:firstLine="0" w:firstLineChars="0"/>
        <w:jc w:val="center"/>
        <w:rPr>
          <w:rFonts w:hint="eastAsia" w:ascii="黑体" w:hAnsi="黑体" w:eastAsia="黑体" w:cs="黑体"/>
          <w:color w:val="auto"/>
          <w:sz w:val="22"/>
          <w:szCs w:val="22"/>
          <w:highlight w:val="none"/>
          <w:lang w:val="zh-CN"/>
        </w:rPr>
      </w:pPr>
    </w:p>
    <w:p>
      <w:pPr>
        <w:snapToGrid w:val="0"/>
        <w:spacing w:line="520" w:lineRule="exact"/>
        <w:ind w:firstLine="640"/>
        <w:jc w:val="center"/>
        <w:rPr>
          <w:rFonts w:hint="eastAsia" w:ascii="黑体" w:hAnsi="黑体" w:eastAsia="黑体" w:cs="黑体"/>
          <w:bCs/>
          <w:color w:val="auto"/>
          <w:sz w:val="28"/>
          <w:szCs w:val="28"/>
          <w:highlight w:val="none"/>
          <w:u w:val="single"/>
        </w:rPr>
      </w:pPr>
      <w:r>
        <w:rPr>
          <w:rFonts w:hint="eastAsia" w:ascii="黑体" w:hAnsi="黑体" w:eastAsia="黑体" w:cs="黑体"/>
          <w:bCs/>
          <w:color w:val="auto"/>
          <w:sz w:val="28"/>
          <w:szCs w:val="28"/>
          <w:highlight w:val="none"/>
          <w:lang w:val="zh-CN"/>
        </w:rPr>
        <w:t>代理机构：</w:t>
      </w:r>
      <w:r>
        <w:rPr>
          <w:rFonts w:hint="eastAsia" w:ascii="黑体" w:hAnsi="黑体" w:eastAsia="黑体" w:cs="黑体"/>
          <w:bCs/>
          <w:color w:val="auto"/>
          <w:sz w:val="28"/>
          <w:szCs w:val="28"/>
          <w:highlight w:val="none"/>
          <w:u w:val="single"/>
          <w:lang w:val="zh-CN"/>
        </w:rPr>
        <w:t>欧邦工程管理有限公司</w:t>
      </w:r>
      <w:r>
        <w:rPr>
          <w:rFonts w:hint="eastAsia" w:ascii="黑体" w:hAnsi="黑体" w:eastAsia="黑体" w:cs="黑体"/>
          <w:bCs/>
          <w:color w:val="auto"/>
          <w:sz w:val="28"/>
          <w:szCs w:val="28"/>
          <w:highlight w:val="none"/>
          <w:u w:val="single"/>
        </w:rPr>
        <w:t xml:space="preserve">           （盖章）</w:t>
      </w:r>
    </w:p>
    <w:p>
      <w:pPr>
        <w:snapToGrid w:val="0"/>
        <w:ind w:firstLine="0" w:firstLineChars="0"/>
        <w:jc w:val="center"/>
        <w:rPr>
          <w:rFonts w:hint="eastAsia" w:ascii="黑体" w:hAnsi="黑体" w:eastAsia="黑体" w:cs="黑体"/>
          <w:color w:val="auto"/>
          <w:sz w:val="22"/>
          <w:szCs w:val="22"/>
          <w:highlight w:val="none"/>
          <w:lang w:val="zh-CN"/>
        </w:rPr>
      </w:pPr>
    </w:p>
    <w:p>
      <w:pPr>
        <w:snapToGrid w:val="0"/>
        <w:ind w:firstLine="0" w:firstLineChars="0"/>
        <w:rPr>
          <w:rFonts w:hint="eastAsia" w:ascii="黑体" w:hAnsi="黑体" w:eastAsia="黑体" w:cs="黑体"/>
          <w:color w:val="auto"/>
          <w:szCs w:val="24"/>
          <w:highlight w:val="none"/>
          <w:lang w:val="zh-CN"/>
        </w:rPr>
      </w:pPr>
    </w:p>
    <w:p>
      <w:pPr>
        <w:snapToGrid w:val="0"/>
        <w:spacing w:line="240" w:lineRule="auto"/>
        <w:ind w:firstLine="0" w:firstLineChars="0"/>
        <w:jc w:val="center"/>
        <w:rPr>
          <w:rFonts w:hint="eastAsia" w:ascii="黑体" w:hAnsi="黑体" w:eastAsia="黑体" w:cs="黑体"/>
          <w:color w:val="auto"/>
          <w:szCs w:val="24"/>
          <w:highlight w:val="none"/>
          <w:lang w:val="zh-CN"/>
        </w:rPr>
      </w:pPr>
      <w:r>
        <w:rPr>
          <w:rFonts w:hint="eastAsia" w:ascii="黑体" w:hAnsi="黑体" w:eastAsia="黑体" w:cs="黑体"/>
          <w:color w:val="auto"/>
          <w:sz w:val="32"/>
          <w:szCs w:val="32"/>
          <w:highlight w:val="none"/>
          <w:lang w:val="zh-CN"/>
        </w:rPr>
        <w:t>二〇二一年</w:t>
      </w:r>
      <w:r>
        <w:rPr>
          <w:rFonts w:hint="eastAsia" w:ascii="黑体" w:hAnsi="黑体" w:eastAsia="黑体" w:cs="黑体"/>
          <w:color w:val="auto"/>
          <w:sz w:val="32"/>
          <w:szCs w:val="32"/>
          <w:highlight w:val="none"/>
          <w:lang w:val="zh-CN" w:eastAsia="zh-CN"/>
        </w:rPr>
        <w:t>十二</w:t>
      </w:r>
      <w:r>
        <w:rPr>
          <w:rFonts w:hint="eastAsia" w:ascii="黑体" w:hAnsi="黑体" w:eastAsia="黑体" w:cs="黑体"/>
          <w:color w:val="auto"/>
          <w:sz w:val="32"/>
          <w:szCs w:val="32"/>
          <w:highlight w:val="none"/>
          <w:lang w:val="zh-CN"/>
        </w:rPr>
        <w:t>月</w:t>
      </w:r>
    </w:p>
    <w:p>
      <w:pPr>
        <w:snapToGrid w:val="0"/>
        <w:ind w:firstLine="0" w:firstLineChars="0"/>
        <w:rPr>
          <w:rFonts w:hint="eastAsia" w:ascii="黑体" w:hAnsi="黑体" w:eastAsia="黑体" w:cs="黑体"/>
          <w:color w:val="auto"/>
          <w:szCs w:val="24"/>
          <w:highlight w:val="none"/>
          <w:lang w:val="zh-CN"/>
        </w:rPr>
      </w:pPr>
    </w:p>
    <w:p>
      <w:pPr>
        <w:snapToGrid w:val="0"/>
        <w:ind w:firstLine="0" w:firstLineChars="0"/>
        <w:rPr>
          <w:rFonts w:hint="eastAsia" w:ascii="黑体" w:hAnsi="黑体" w:eastAsia="黑体" w:cs="黑体"/>
          <w:color w:val="auto"/>
          <w:szCs w:val="24"/>
          <w:highlight w:val="none"/>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850" w:gutter="0"/>
          <w:pgBorders>
            <w:top w:val="none" w:sz="0" w:space="0"/>
            <w:left w:val="none" w:sz="0" w:space="0"/>
            <w:bottom w:val="none" w:sz="0" w:space="0"/>
            <w:right w:val="none" w:sz="0" w:space="0"/>
          </w:pgBorders>
          <w:cols w:space="0" w:num="1"/>
          <w:titlePg/>
          <w:docGrid w:linePitch="312" w:charSpace="0"/>
        </w:sectPr>
      </w:pPr>
    </w:p>
    <w:p>
      <w:pPr>
        <w:pStyle w:val="114"/>
        <w:rPr>
          <w:rFonts w:hint="eastAsia" w:ascii="黑体" w:hAnsi="黑体" w:eastAsia="黑体" w:cs="黑体"/>
          <w:color w:val="auto"/>
          <w:sz w:val="44"/>
          <w:szCs w:val="44"/>
          <w:highlight w:val="none"/>
        </w:rPr>
      </w:pPr>
      <w:bookmarkStart w:id="0" w:name="_Toc354491895"/>
      <w:bookmarkStart w:id="1" w:name="_Toc322352981"/>
      <w:bookmarkStart w:id="2" w:name="_Toc24253"/>
      <w:bookmarkStart w:id="3" w:name="_Toc356371429"/>
      <w:bookmarkStart w:id="4" w:name="_Toc15683"/>
      <w:bookmarkStart w:id="5" w:name="_Toc3247"/>
      <w:bookmarkStart w:id="6" w:name="_Toc524531970"/>
      <w:bookmarkStart w:id="7" w:name="_Toc366144027"/>
    </w:p>
    <w:sdt>
      <w:sdtPr>
        <w:rPr>
          <w:rFonts w:hint="eastAsia" w:ascii="黑体" w:hAnsi="黑体" w:eastAsia="黑体" w:cs="黑体"/>
          <w:b w:val="0"/>
          <w:bCs w:val="0"/>
          <w:color w:val="auto"/>
          <w:kern w:val="2"/>
          <w:sz w:val="24"/>
          <w:szCs w:val="22"/>
          <w:highlight w:val="none"/>
          <w:lang w:val="zh-CN"/>
        </w:rPr>
        <w:id w:val="2203084"/>
        <w:docPartObj>
          <w:docPartGallery w:val="Table of Contents"/>
          <w:docPartUnique/>
        </w:docPartObj>
      </w:sdtPr>
      <w:sdtEndPr>
        <w:rPr>
          <w:rFonts w:hint="eastAsia" w:ascii="黑体" w:hAnsi="黑体" w:eastAsia="黑体" w:cs="黑体"/>
          <w:b w:val="0"/>
          <w:bCs w:val="0"/>
          <w:color w:val="auto"/>
          <w:kern w:val="2"/>
          <w:sz w:val="24"/>
          <w:szCs w:val="22"/>
          <w:highlight w:val="none"/>
          <w:lang w:val="en-US"/>
        </w:rPr>
      </w:sdtEndPr>
      <w:sdtContent>
        <w:p>
          <w:pPr>
            <w:pStyle w:val="134"/>
            <w:spacing w:line="480" w:lineRule="exact"/>
            <w:jc w:val="center"/>
            <w:rPr>
              <w:rFonts w:hint="eastAsia" w:ascii="黑体" w:hAnsi="黑体" w:eastAsia="黑体" w:cs="黑体"/>
              <w:color w:val="auto"/>
              <w:highlight w:val="none"/>
            </w:rPr>
          </w:pPr>
          <w:r>
            <w:rPr>
              <w:rFonts w:hint="eastAsia" w:ascii="黑体" w:hAnsi="黑体" w:eastAsia="黑体" w:cs="黑体"/>
              <w:color w:val="auto"/>
              <w:sz w:val="52"/>
              <w:szCs w:val="52"/>
              <w:highlight w:val="none"/>
              <w:lang w:val="zh-CN"/>
            </w:rPr>
            <w:t>目录</w:t>
          </w:r>
        </w:p>
        <w:p>
          <w:pPr>
            <w:pStyle w:val="27"/>
            <w:tabs>
              <w:tab w:val="right" w:leader="dot" w:pos="9736"/>
            </w:tabs>
            <w:spacing w:line="360" w:lineRule="auto"/>
            <w:ind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TOC \o "1-3" \h \z \u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"_Toc50628047"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第一章 招标公告</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_Toc50628047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3</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7"/>
            <w:tabs>
              <w:tab w:val="right" w:leader="dot" w:pos="9736"/>
            </w:tabs>
            <w:spacing w:line="360" w:lineRule="auto"/>
            <w:ind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"_Toc50628048"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第二章 投标须知前附表及投标须知</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_Toc50628048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8</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1"/>
            <w:tabs>
              <w:tab w:val="right" w:leader="dot" w:pos="9736"/>
            </w:tabs>
            <w:spacing w:line="360" w:lineRule="auto"/>
            <w:ind w:left="480"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"_Toc50628049"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一、投标须知</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_Toc50628049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10</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1"/>
            <w:tabs>
              <w:tab w:val="right" w:leader="dot" w:pos="9736"/>
            </w:tabs>
            <w:spacing w:line="360" w:lineRule="auto"/>
            <w:ind w:left="480"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"_Toc50628050"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二、招标文件说明</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_Toc50628050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13</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1"/>
            <w:tabs>
              <w:tab w:val="right" w:leader="dot" w:pos="9736"/>
            </w:tabs>
            <w:spacing w:line="360" w:lineRule="auto"/>
            <w:ind w:left="480"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"_Toc50628051"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三、投标文件的编制</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_Toc50628051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13</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1"/>
            <w:tabs>
              <w:tab w:val="right" w:leader="dot" w:pos="9736"/>
            </w:tabs>
            <w:spacing w:line="360" w:lineRule="auto"/>
            <w:ind w:left="480"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"_Toc50628052"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四、投标文件的递交</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_Toc50628052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17</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1"/>
            <w:tabs>
              <w:tab w:val="right" w:leader="dot" w:pos="9736"/>
            </w:tabs>
            <w:spacing w:line="360" w:lineRule="auto"/>
            <w:ind w:left="480"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"_Toc50628053"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五、投标无效的情形</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_Toc50628053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18</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1"/>
            <w:tabs>
              <w:tab w:val="right" w:leader="dot" w:pos="9736"/>
            </w:tabs>
            <w:spacing w:line="360" w:lineRule="auto"/>
            <w:ind w:left="480"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"_Toc50628054"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六、废标的情形</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_Toc50628054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19</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1"/>
            <w:tabs>
              <w:tab w:val="right" w:leader="dot" w:pos="9736"/>
            </w:tabs>
            <w:spacing w:line="360" w:lineRule="auto"/>
            <w:ind w:left="480"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"_Toc50628055"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七、串通投标情形</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_Toc50628055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19</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1"/>
            <w:tabs>
              <w:tab w:val="right" w:leader="dot" w:pos="9736"/>
            </w:tabs>
            <w:spacing w:line="360" w:lineRule="auto"/>
            <w:ind w:left="480"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"_Toc50628056"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八、开标、评标和定标</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_Toc50628056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19</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1"/>
            <w:tabs>
              <w:tab w:val="right" w:leader="dot" w:pos="9736"/>
            </w:tabs>
            <w:spacing w:line="360" w:lineRule="auto"/>
            <w:ind w:left="480"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"_Toc50628057"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九、质疑和投诉</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_Toc50628057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21</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1"/>
            <w:tabs>
              <w:tab w:val="right" w:leader="dot" w:pos="9736"/>
            </w:tabs>
            <w:spacing w:line="360" w:lineRule="auto"/>
            <w:ind w:left="480"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"_Toc50628058"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十、授予合同</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_Toc50628058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22</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1"/>
            <w:tabs>
              <w:tab w:val="right" w:leader="dot" w:pos="9736"/>
            </w:tabs>
            <w:spacing w:line="360" w:lineRule="auto"/>
            <w:ind w:left="480"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"_Toc50628059"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十一、法律责任</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_Toc50628059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23</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1"/>
            <w:tabs>
              <w:tab w:val="right" w:leader="dot" w:pos="9736"/>
            </w:tabs>
            <w:spacing w:line="360" w:lineRule="auto"/>
            <w:ind w:left="480"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"_Toc50628060"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十二、其他</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_Toc50628060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23</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7"/>
            <w:tabs>
              <w:tab w:val="right" w:leader="dot" w:pos="9736"/>
            </w:tabs>
            <w:spacing w:line="360" w:lineRule="auto"/>
            <w:ind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"_Toc50628061"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第三章 采购内容及要求</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_Toc50628061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24</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27"/>
            <w:tabs>
              <w:tab w:val="right" w:leader="dot" w:pos="9736"/>
            </w:tabs>
            <w:spacing w:line="360" w:lineRule="auto"/>
            <w:ind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"_Toc50628062"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第四章 合同主要条款</w:t>
          </w:r>
          <w:r>
            <w:rPr>
              <w:rFonts w:hint="eastAsia" w:ascii="黑体" w:hAnsi="黑体" w:eastAsia="黑体" w:cs="黑体"/>
              <w:color w:val="auto"/>
              <w:highlight w:val="none"/>
            </w:rPr>
            <w:tab/>
          </w:r>
          <w:r>
            <w:rPr>
              <w:rFonts w:hint="eastAsia" w:ascii="黑体" w:hAnsi="黑体" w:eastAsia="黑体" w:cs="黑体"/>
              <w:color w:val="auto"/>
              <w:highlight w:val="none"/>
            </w:rPr>
            <w:t>2</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t>6</w:t>
          </w:r>
        </w:p>
        <w:p>
          <w:pPr>
            <w:pStyle w:val="27"/>
            <w:tabs>
              <w:tab w:val="right" w:leader="dot" w:pos="9736"/>
            </w:tabs>
            <w:spacing w:line="360" w:lineRule="auto"/>
            <w:ind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"_Toc50628063"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第五章 评标办法及开评分标准</w:t>
          </w:r>
          <w:r>
            <w:rPr>
              <w:rFonts w:hint="eastAsia" w:ascii="黑体" w:hAnsi="黑体" w:eastAsia="黑体" w:cs="黑体"/>
              <w:color w:val="auto"/>
              <w:highlight w:val="none"/>
            </w:rPr>
            <w:tab/>
          </w:r>
          <w:r>
            <w:rPr>
              <w:rFonts w:hint="eastAsia" w:ascii="黑体" w:hAnsi="黑体" w:eastAsia="黑体" w:cs="黑体"/>
              <w:color w:val="auto"/>
              <w:highlight w:val="none"/>
            </w:rPr>
            <w:t>3</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t>1</w:t>
          </w:r>
        </w:p>
        <w:p>
          <w:pPr>
            <w:pStyle w:val="27"/>
            <w:tabs>
              <w:tab w:val="right" w:leader="dot" w:pos="9736"/>
            </w:tabs>
            <w:spacing w:line="360" w:lineRule="auto"/>
            <w:ind w:firstLine="480"/>
            <w:rPr>
              <w:rFonts w:hint="eastAsia" w:ascii="黑体" w:hAnsi="黑体" w:eastAsia="黑体" w:cs="黑体"/>
              <w:color w:val="auto"/>
              <w:sz w:val="21"/>
              <w:highlight w:val="none"/>
            </w:rPr>
          </w:pP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"_Toc50628064"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第六章 投标文件格式</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_Toc50628064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41</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spacing w:line="480" w:lineRule="exact"/>
            <w:ind w:firstLine="482" w:firstLineChars="0"/>
            <w:rPr>
              <w:rFonts w:hint="eastAsia" w:ascii="黑体" w:hAnsi="黑体" w:eastAsia="黑体" w:cs="黑体"/>
              <w:color w:val="auto"/>
              <w:highlight w:val="none"/>
            </w:rPr>
          </w:pPr>
          <w:r>
            <w:rPr>
              <w:rFonts w:hint="eastAsia" w:ascii="黑体" w:hAnsi="黑体" w:eastAsia="黑体" w:cs="黑体"/>
              <w:color w:val="auto"/>
              <w:highlight w:val="none"/>
            </w:rPr>
            <w:fldChar w:fldCharType="end"/>
          </w:r>
        </w:p>
      </w:sdtContent>
    </w:sdt>
    <w:p>
      <w:pPr>
        <w:snapToGrid w:val="0"/>
        <w:ind w:firstLine="0" w:firstLineChars="0"/>
        <w:rPr>
          <w:rFonts w:hint="eastAsia" w:ascii="黑体" w:hAnsi="黑体" w:eastAsia="黑体" w:cs="黑体"/>
          <w:color w:val="auto"/>
          <w:szCs w:val="24"/>
          <w:highlight w:val="none"/>
          <w:lang w:val="zh-CN"/>
        </w:rPr>
        <w:sectPr>
          <w:footerReference r:id="rId12" w:type="first"/>
          <w:footerReference r:id="rId11" w:type="default"/>
          <w:pgSz w:w="11906" w:h="16838"/>
          <w:pgMar w:top="1440" w:right="1080" w:bottom="1440" w:left="1080" w:header="851" w:footer="850" w:gutter="0"/>
          <w:pgBorders>
            <w:top w:val="none" w:sz="0" w:space="0"/>
            <w:left w:val="none" w:sz="0" w:space="0"/>
            <w:bottom w:val="none" w:sz="0" w:space="0"/>
            <w:right w:val="none" w:sz="0" w:space="0"/>
          </w:pgBorders>
          <w:pgNumType w:start="2"/>
          <w:cols w:space="0" w:num="1"/>
          <w:titlePg/>
          <w:docGrid w:linePitch="312" w:charSpace="0"/>
        </w:sectPr>
      </w:pPr>
    </w:p>
    <w:p>
      <w:pPr>
        <w:pStyle w:val="31"/>
        <w:ind w:firstLine="720"/>
        <w:rPr>
          <w:rFonts w:hint="eastAsia" w:ascii="黑体" w:hAnsi="黑体" w:eastAsia="黑体" w:cs="黑体"/>
          <w:color w:val="auto"/>
          <w:sz w:val="36"/>
          <w:szCs w:val="36"/>
          <w:highlight w:val="none"/>
        </w:rPr>
      </w:pPr>
      <w:bookmarkStart w:id="8" w:name="_Toc50628047"/>
      <w:r>
        <w:rPr>
          <w:rFonts w:hint="eastAsia" w:ascii="黑体" w:hAnsi="黑体" w:eastAsia="黑体" w:cs="黑体"/>
          <w:color w:val="auto"/>
          <w:sz w:val="36"/>
          <w:szCs w:val="36"/>
          <w:highlight w:val="none"/>
        </w:rPr>
        <w:t>第一章</w:t>
      </w:r>
      <w:bookmarkEnd w:id="0"/>
      <w:bookmarkEnd w:id="1"/>
      <w:r>
        <w:rPr>
          <w:rFonts w:hint="eastAsia" w:ascii="黑体" w:hAnsi="黑体" w:eastAsia="黑体" w:cs="黑体"/>
          <w:color w:val="auto"/>
          <w:sz w:val="36"/>
          <w:szCs w:val="36"/>
          <w:highlight w:val="none"/>
        </w:rPr>
        <w:t xml:space="preserve"> 招标公告</w:t>
      </w:r>
      <w:bookmarkEnd w:id="2"/>
      <w:bookmarkEnd w:id="3"/>
      <w:bookmarkEnd w:id="4"/>
      <w:bookmarkEnd w:id="5"/>
      <w:bookmarkEnd w:id="6"/>
      <w:bookmarkEnd w:id="7"/>
      <w:bookmarkEnd w:id="8"/>
    </w:p>
    <w:p>
      <w:pPr>
        <w:snapToGrid w:val="0"/>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根据《中华人民共和国政府采购法》及政府采购管理有关规定，并经龙游县财政局政府采购监管科核准的采购计划和采购方式，欧邦工程管理有限公司受</w:t>
      </w:r>
      <w:r>
        <w:rPr>
          <w:rFonts w:hint="eastAsia" w:ascii="黑体" w:hAnsi="黑体" w:eastAsia="黑体" w:cs="黑体"/>
          <w:color w:val="auto"/>
          <w:szCs w:val="24"/>
          <w:highlight w:val="none"/>
          <w:u w:val="single"/>
        </w:rPr>
        <w:t>龙游县市场监督管理局</w:t>
      </w:r>
      <w:r>
        <w:rPr>
          <w:rFonts w:hint="eastAsia" w:ascii="黑体" w:hAnsi="黑体" w:eastAsia="黑体" w:cs="黑体"/>
          <w:color w:val="auto"/>
          <w:szCs w:val="24"/>
          <w:highlight w:val="none"/>
        </w:rPr>
        <w:t>委托，现就</w:t>
      </w:r>
      <w:r>
        <w:rPr>
          <w:rFonts w:hint="eastAsia" w:ascii="黑体" w:hAnsi="黑体" w:eastAsia="黑体" w:cs="黑体"/>
          <w:color w:val="auto"/>
          <w:szCs w:val="24"/>
          <w:highlight w:val="none"/>
          <w:u w:val="single"/>
          <w:lang w:eastAsia="zh-CN"/>
        </w:rPr>
        <w:t>龙游县市场监督管理局2022年-2023年食品安全监督抽检项目</w:t>
      </w:r>
      <w:r>
        <w:rPr>
          <w:rFonts w:hint="eastAsia" w:ascii="黑体" w:hAnsi="黑体" w:eastAsia="黑体" w:cs="黑体"/>
          <w:color w:val="auto"/>
          <w:szCs w:val="24"/>
          <w:highlight w:val="none"/>
        </w:rPr>
        <w:t>进行公开招标采购，欢迎国内合格的供应商参加本次采购活动。</w:t>
      </w:r>
    </w:p>
    <w:p>
      <w:pPr>
        <w:snapToGrid w:val="0"/>
        <w:ind w:firstLine="0" w:firstLineChars="0"/>
        <w:rPr>
          <w:rFonts w:hint="eastAsia" w:ascii="黑体" w:hAnsi="黑体" w:eastAsia="黑体" w:cs="黑体"/>
          <w:b/>
          <w:bCs/>
          <w:color w:val="auto"/>
          <w:szCs w:val="24"/>
          <w:highlight w:val="none"/>
          <w:lang w:eastAsia="zh-CN"/>
        </w:rPr>
      </w:pPr>
      <w:r>
        <w:rPr>
          <w:rFonts w:hint="eastAsia" w:ascii="黑体" w:hAnsi="黑体" w:eastAsia="黑体" w:cs="黑体"/>
          <w:b/>
          <w:bCs/>
          <w:color w:val="auto"/>
          <w:szCs w:val="24"/>
          <w:highlight w:val="none"/>
        </w:rPr>
        <w:t>一、项目编号：</w:t>
      </w:r>
      <w:r>
        <w:rPr>
          <w:rFonts w:hint="eastAsia" w:ascii="黑体" w:hAnsi="黑体" w:eastAsia="黑体" w:cs="黑体"/>
          <w:color w:val="auto"/>
          <w:szCs w:val="24"/>
          <w:highlight w:val="none"/>
          <w:lang w:eastAsia="zh-CN"/>
        </w:rPr>
        <w:t>OBZFCG2021-033</w:t>
      </w:r>
    </w:p>
    <w:p>
      <w:pPr>
        <w:snapToGrid w:val="0"/>
        <w:ind w:firstLine="0" w:firstLineChars="0"/>
        <w:rPr>
          <w:rFonts w:hint="eastAsia" w:ascii="黑体" w:hAnsi="黑体" w:eastAsia="黑体" w:cs="黑体"/>
          <w:color w:val="auto"/>
          <w:szCs w:val="24"/>
          <w:highlight w:val="none"/>
          <w:lang w:eastAsia="zh-CN"/>
        </w:rPr>
      </w:pPr>
      <w:r>
        <w:rPr>
          <w:rFonts w:hint="eastAsia" w:ascii="黑体" w:hAnsi="黑体" w:eastAsia="黑体" w:cs="黑体"/>
          <w:b/>
          <w:bCs/>
          <w:color w:val="auto"/>
          <w:szCs w:val="24"/>
          <w:highlight w:val="none"/>
        </w:rPr>
        <w:t>二、项目名称：</w:t>
      </w:r>
      <w:r>
        <w:rPr>
          <w:rFonts w:hint="eastAsia" w:ascii="黑体" w:hAnsi="黑体" w:eastAsia="黑体" w:cs="黑体"/>
          <w:color w:val="auto"/>
          <w:szCs w:val="24"/>
          <w:highlight w:val="none"/>
          <w:lang w:eastAsia="zh-CN"/>
        </w:rPr>
        <w:t>龙游县市场监督管理局2022年-2023年食品安全监督抽检项目</w:t>
      </w:r>
    </w:p>
    <w:p>
      <w:pPr>
        <w:snapToGrid w:val="0"/>
        <w:ind w:firstLine="0" w:firstLineChars="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三、招标项目概况：</w:t>
      </w:r>
    </w:p>
    <w:p>
      <w:pPr>
        <w:snapToGrid w:val="0"/>
        <w:ind w:firstLine="0" w:firstLineChars="0"/>
        <w:rPr>
          <w:rFonts w:hint="eastAsia" w:ascii="黑体" w:hAnsi="黑体" w:eastAsia="黑体" w:cs="黑体"/>
          <w:b/>
          <w:bCs/>
          <w:color w:val="auto"/>
          <w:szCs w:val="24"/>
          <w:highlight w:val="none"/>
          <w:lang w:eastAsia="zh-CN"/>
        </w:rPr>
      </w:pPr>
      <w:r>
        <w:rPr>
          <w:rFonts w:hint="eastAsia" w:ascii="黑体" w:hAnsi="黑体" w:eastAsia="黑体" w:cs="黑体"/>
          <w:b/>
          <w:bCs/>
          <w:color w:val="auto"/>
          <w:szCs w:val="24"/>
          <w:highlight w:val="none"/>
          <w:lang w:eastAsia="zh-CN"/>
        </w:rPr>
        <w:t>标段一：</w:t>
      </w:r>
    </w:p>
    <w:tbl>
      <w:tblPr>
        <w:tblStyle w:val="34"/>
        <w:tblW w:w="5035"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823"/>
        <w:gridCol w:w="1062"/>
        <w:gridCol w:w="586"/>
        <w:gridCol w:w="1335"/>
        <w:gridCol w:w="1608"/>
        <w:gridCol w:w="20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序号</w:t>
            </w:r>
          </w:p>
        </w:tc>
        <w:tc>
          <w:tcPr>
            <w:tcW w:w="1406" w:type="pct"/>
            <w:vAlign w:val="center"/>
          </w:tcPr>
          <w:p>
            <w:pPr>
              <w:ind w:firstLine="44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标项内容</w:t>
            </w:r>
          </w:p>
        </w:tc>
        <w:tc>
          <w:tcPr>
            <w:tcW w:w="529"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单位</w:t>
            </w:r>
          </w:p>
        </w:tc>
        <w:tc>
          <w:tcPr>
            <w:tcW w:w="292"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数量</w:t>
            </w:r>
          </w:p>
        </w:tc>
        <w:tc>
          <w:tcPr>
            <w:tcW w:w="665" w:type="pct"/>
            <w:vAlign w:val="center"/>
          </w:tcPr>
          <w:p>
            <w:pPr>
              <w:ind w:firstLine="0" w:firstLineChars="0"/>
              <w:jc w:val="center"/>
              <w:rPr>
                <w:rFonts w:hint="eastAsia" w:ascii="黑体" w:hAnsi="黑体" w:eastAsia="黑体" w:cs="黑体"/>
                <w:color w:val="auto"/>
                <w:kern w:val="0"/>
                <w:sz w:val="22"/>
                <w:highlight w:val="none"/>
                <w:lang w:eastAsia="zh-CN"/>
              </w:rPr>
            </w:pPr>
            <w:r>
              <w:rPr>
                <w:rFonts w:hint="eastAsia" w:ascii="黑体" w:hAnsi="黑体" w:eastAsia="黑体" w:cs="黑体"/>
                <w:color w:val="auto"/>
                <w:kern w:val="0"/>
                <w:sz w:val="22"/>
                <w:highlight w:val="none"/>
                <w:lang w:eastAsia="zh-CN"/>
              </w:rPr>
              <w:t>预算金额</w:t>
            </w:r>
          </w:p>
        </w:tc>
        <w:tc>
          <w:tcPr>
            <w:tcW w:w="801"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简要规格要求描述</w:t>
            </w:r>
          </w:p>
        </w:tc>
        <w:tc>
          <w:tcPr>
            <w:tcW w:w="1024" w:type="pct"/>
            <w:vAlign w:val="center"/>
          </w:tcPr>
          <w:p>
            <w:pPr>
              <w:ind w:firstLine="0" w:firstLineChars="0"/>
              <w:jc w:val="center"/>
              <w:rPr>
                <w:rFonts w:hint="eastAsia" w:ascii="黑体" w:hAnsi="黑体" w:eastAsia="黑体" w:cs="黑体"/>
                <w:color w:val="auto"/>
                <w:kern w:val="0"/>
                <w:sz w:val="22"/>
                <w:highlight w:val="none"/>
                <w:lang w:eastAsia="zh-CN"/>
              </w:rPr>
            </w:pPr>
            <w:r>
              <w:rPr>
                <w:rFonts w:hint="eastAsia" w:ascii="黑体" w:hAnsi="黑体" w:eastAsia="黑体" w:cs="黑体"/>
                <w:color w:val="auto"/>
                <w:kern w:val="0"/>
                <w:sz w:val="22"/>
                <w:highlight w:val="none"/>
                <w:lang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0"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1</w:t>
            </w:r>
          </w:p>
        </w:tc>
        <w:tc>
          <w:tcPr>
            <w:tcW w:w="1406" w:type="pct"/>
            <w:vAlign w:val="center"/>
          </w:tcPr>
          <w:p>
            <w:pPr>
              <w:ind w:firstLine="0" w:firstLineChars="0"/>
              <w:jc w:val="center"/>
              <w:rPr>
                <w:rFonts w:hint="eastAsia" w:ascii="黑体" w:hAnsi="黑体" w:eastAsia="黑体" w:cs="黑体"/>
                <w:bCs/>
                <w:color w:val="auto"/>
                <w:kern w:val="0"/>
                <w:sz w:val="22"/>
                <w:highlight w:val="none"/>
                <w:lang w:eastAsia="zh-CN"/>
              </w:rPr>
            </w:pPr>
            <w:r>
              <w:rPr>
                <w:rFonts w:hint="eastAsia" w:ascii="黑体" w:hAnsi="黑体" w:eastAsia="黑体" w:cs="黑体"/>
                <w:bCs/>
                <w:color w:val="auto"/>
                <w:kern w:val="0"/>
                <w:sz w:val="22"/>
                <w:highlight w:val="none"/>
                <w:lang w:eastAsia="zh-CN"/>
              </w:rPr>
              <w:t>农产品监督及风险抽检服务（种养植、畜禽及水产）</w:t>
            </w:r>
          </w:p>
        </w:tc>
        <w:tc>
          <w:tcPr>
            <w:tcW w:w="529"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项</w:t>
            </w:r>
          </w:p>
        </w:tc>
        <w:tc>
          <w:tcPr>
            <w:tcW w:w="292"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1</w:t>
            </w:r>
          </w:p>
        </w:tc>
        <w:tc>
          <w:tcPr>
            <w:tcW w:w="665" w:type="pct"/>
            <w:vAlign w:val="center"/>
          </w:tcPr>
          <w:p>
            <w:pPr>
              <w:ind w:firstLine="0" w:firstLineChars="0"/>
              <w:jc w:val="center"/>
              <w:rPr>
                <w:rFonts w:hint="eastAsia" w:ascii="黑体" w:hAnsi="黑体" w:eastAsia="黑体" w:cs="黑体"/>
                <w:color w:val="auto"/>
                <w:kern w:val="0"/>
                <w:sz w:val="22"/>
                <w:highlight w:val="none"/>
                <w:lang w:val="en-US" w:eastAsia="zh-CN"/>
              </w:rPr>
            </w:pPr>
            <w:r>
              <w:rPr>
                <w:rFonts w:hint="eastAsia" w:ascii="黑体" w:hAnsi="黑体" w:eastAsia="黑体" w:cs="黑体"/>
                <w:color w:val="auto"/>
                <w:kern w:val="0"/>
                <w:sz w:val="22"/>
                <w:highlight w:val="none"/>
                <w:lang w:val="en-US" w:eastAsia="zh-CN"/>
              </w:rPr>
              <w:t>220万元</w:t>
            </w:r>
          </w:p>
        </w:tc>
        <w:tc>
          <w:tcPr>
            <w:tcW w:w="801" w:type="pct"/>
            <w:vAlign w:val="center"/>
          </w:tcPr>
          <w:p>
            <w:pPr>
              <w:ind w:firstLine="0" w:firstLineChars="0"/>
              <w:jc w:val="center"/>
              <w:rPr>
                <w:rFonts w:hint="eastAsia" w:ascii="黑体" w:hAnsi="黑体" w:eastAsia="黑体" w:cs="黑体"/>
                <w:color w:val="auto"/>
                <w:kern w:val="0"/>
                <w:sz w:val="22"/>
                <w:highlight w:val="none"/>
                <w:lang w:eastAsia="zh-CN"/>
              </w:rPr>
            </w:pPr>
            <w:r>
              <w:rPr>
                <w:rFonts w:hint="eastAsia" w:ascii="黑体" w:hAnsi="黑体" w:eastAsia="黑体" w:cs="黑体"/>
                <w:color w:val="auto"/>
                <w:kern w:val="0"/>
                <w:sz w:val="22"/>
                <w:highlight w:val="none"/>
                <w:lang w:val="en-US" w:eastAsia="zh-CN"/>
              </w:rPr>
              <w:t>详见招标文件</w:t>
            </w:r>
          </w:p>
        </w:tc>
        <w:tc>
          <w:tcPr>
            <w:tcW w:w="1024" w:type="pct"/>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kern w:val="0"/>
                <w:sz w:val="22"/>
                <w:highlight w:val="none"/>
                <w:lang w:val="en-US" w:eastAsia="zh-CN"/>
              </w:rPr>
              <w:t>本标项共确定1家中标供应商。</w:t>
            </w:r>
          </w:p>
        </w:tc>
      </w:tr>
    </w:tbl>
    <w:p>
      <w:pPr>
        <w:snapToGrid w:val="0"/>
        <w:ind w:firstLine="0" w:firstLineChars="0"/>
        <w:rPr>
          <w:rFonts w:hint="eastAsia" w:ascii="黑体" w:hAnsi="黑体" w:eastAsia="黑体" w:cs="黑体"/>
          <w:b/>
          <w:bCs/>
          <w:color w:val="auto"/>
          <w:szCs w:val="24"/>
          <w:highlight w:val="none"/>
          <w:lang w:eastAsia="zh-CN"/>
        </w:rPr>
      </w:pPr>
      <w:r>
        <w:rPr>
          <w:rFonts w:hint="eastAsia" w:ascii="黑体" w:hAnsi="黑体" w:eastAsia="黑体" w:cs="黑体"/>
          <w:b/>
          <w:bCs/>
          <w:color w:val="auto"/>
          <w:szCs w:val="24"/>
          <w:highlight w:val="none"/>
          <w:lang w:eastAsia="zh-CN"/>
        </w:rPr>
        <w:t>标段二：</w:t>
      </w:r>
    </w:p>
    <w:tbl>
      <w:tblPr>
        <w:tblStyle w:val="34"/>
        <w:tblW w:w="5035"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823"/>
        <w:gridCol w:w="1062"/>
        <w:gridCol w:w="586"/>
        <w:gridCol w:w="1335"/>
        <w:gridCol w:w="1608"/>
        <w:gridCol w:w="20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序号</w:t>
            </w:r>
          </w:p>
        </w:tc>
        <w:tc>
          <w:tcPr>
            <w:tcW w:w="1406" w:type="pct"/>
            <w:vAlign w:val="center"/>
          </w:tcPr>
          <w:p>
            <w:pPr>
              <w:ind w:firstLine="44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标项内容</w:t>
            </w:r>
          </w:p>
        </w:tc>
        <w:tc>
          <w:tcPr>
            <w:tcW w:w="529"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单位</w:t>
            </w:r>
          </w:p>
        </w:tc>
        <w:tc>
          <w:tcPr>
            <w:tcW w:w="292"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数量</w:t>
            </w:r>
          </w:p>
        </w:tc>
        <w:tc>
          <w:tcPr>
            <w:tcW w:w="665" w:type="pct"/>
            <w:vAlign w:val="center"/>
          </w:tcPr>
          <w:p>
            <w:pPr>
              <w:ind w:firstLine="0" w:firstLineChars="0"/>
              <w:jc w:val="center"/>
              <w:rPr>
                <w:rFonts w:hint="eastAsia" w:ascii="黑体" w:hAnsi="黑体" w:eastAsia="黑体" w:cs="黑体"/>
                <w:color w:val="auto"/>
                <w:kern w:val="0"/>
                <w:sz w:val="22"/>
                <w:highlight w:val="none"/>
                <w:lang w:eastAsia="zh-CN"/>
              </w:rPr>
            </w:pPr>
            <w:r>
              <w:rPr>
                <w:rFonts w:hint="eastAsia" w:ascii="黑体" w:hAnsi="黑体" w:eastAsia="黑体" w:cs="黑体"/>
                <w:color w:val="auto"/>
                <w:kern w:val="0"/>
                <w:sz w:val="22"/>
                <w:highlight w:val="none"/>
                <w:lang w:eastAsia="zh-CN"/>
              </w:rPr>
              <w:t>预算金额</w:t>
            </w:r>
          </w:p>
        </w:tc>
        <w:tc>
          <w:tcPr>
            <w:tcW w:w="801"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简要规格要求描述</w:t>
            </w:r>
          </w:p>
        </w:tc>
        <w:tc>
          <w:tcPr>
            <w:tcW w:w="1024" w:type="pct"/>
            <w:vAlign w:val="center"/>
          </w:tcPr>
          <w:p>
            <w:pPr>
              <w:ind w:firstLine="0" w:firstLineChars="0"/>
              <w:jc w:val="center"/>
              <w:rPr>
                <w:rFonts w:hint="eastAsia" w:ascii="黑体" w:hAnsi="黑体" w:eastAsia="黑体" w:cs="黑体"/>
                <w:color w:val="auto"/>
                <w:kern w:val="0"/>
                <w:sz w:val="22"/>
                <w:highlight w:val="none"/>
                <w:lang w:eastAsia="zh-CN"/>
              </w:rPr>
            </w:pPr>
            <w:r>
              <w:rPr>
                <w:rFonts w:hint="eastAsia" w:ascii="黑体" w:hAnsi="黑体" w:eastAsia="黑体" w:cs="黑体"/>
                <w:color w:val="auto"/>
                <w:kern w:val="0"/>
                <w:sz w:val="22"/>
                <w:highlight w:val="none"/>
                <w:lang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0"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1</w:t>
            </w:r>
          </w:p>
        </w:tc>
        <w:tc>
          <w:tcPr>
            <w:tcW w:w="1406" w:type="pct"/>
            <w:vAlign w:val="center"/>
          </w:tcPr>
          <w:p>
            <w:pPr>
              <w:ind w:firstLine="0" w:firstLineChars="0"/>
              <w:jc w:val="center"/>
              <w:rPr>
                <w:rFonts w:hint="eastAsia" w:ascii="黑体" w:hAnsi="黑体" w:eastAsia="黑体" w:cs="黑体"/>
                <w:bCs/>
                <w:color w:val="auto"/>
                <w:kern w:val="0"/>
                <w:sz w:val="22"/>
                <w:highlight w:val="none"/>
                <w:lang w:eastAsia="zh-CN"/>
              </w:rPr>
            </w:pPr>
            <w:r>
              <w:rPr>
                <w:rFonts w:hint="eastAsia" w:ascii="黑体" w:hAnsi="黑体" w:eastAsia="黑体" w:cs="黑体"/>
                <w:bCs/>
                <w:color w:val="auto"/>
                <w:kern w:val="0"/>
                <w:sz w:val="22"/>
                <w:highlight w:val="none"/>
                <w:lang w:eastAsia="zh-CN"/>
              </w:rPr>
              <w:t>监督性食品抽检服务（餐饮环节及学校食堂）</w:t>
            </w:r>
          </w:p>
        </w:tc>
        <w:tc>
          <w:tcPr>
            <w:tcW w:w="529"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项</w:t>
            </w:r>
          </w:p>
        </w:tc>
        <w:tc>
          <w:tcPr>
            <w:tcW w:w="292"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1</w:t>
            </w:r>
          </w:p>
        </w:tc>
        <w:tc>
          <w:tcPr>
            <w:tcW w:w="665" w:type="pct"/>
            <w:vAlign w:val="center"/>
          </w:tcPr>
          <w:p>
            <w:pPr>
              <w:ind w:firstLine="0" w:firstLineChars="0"/>
              <w:jc w:val="center"/>
              <w:rPr>
                <w:rFonts w:hint="eastAsia" w:ascii="黑体" w:hAnsi="黑体" w:eastAsia="黑体" w:cs="黑体"/>
                <w:color w:val="auto"/>
                <w:kern w:val="0"/>
                <w:sz w:val="22"/>
                <w:highlight w:val="none"/>
                <w:lang w:val="en-US" w:eastAsia="zh-CN"/>
              </w:rPr>
            </w:pPr>
            <w:r>
              <w:rPr>
                <w:rFonts w:hint="eastAsia" w:ascii="黑体" w:hAnsi="黑体" w:eastAsia="黑体" w:cs="黑体"/>
                <w:color w:val="auto"/>
                <w:kern w:val="0"/>
                <w:sz w:val="22"/>
                <w:highlight w:val="none"/>
                <w:lang w:val="en-US" w:eastAsia="zh-CN"/>
              </w:rPr>
              <w:t>200万元</w:t>
            </w:r>
          </w:p>
        </w:tc>
        <w:tc>
          <w:tcPr>
            <w:tcW w:w="801" w:type="pct"/>
            <w:vAlign w:val="center"/>
          </w:tcPr>
          <w:p>
            <w:pPr>
              <w:ind w:firstLine="0" w:firstLineChars="0"/>
              <w:jc w:val="center"/>
              <w:rPr>
                <w:rFonts w:hint="eastAsia" w:ascii="黑体" w:hAnsi="黑体" w:eastAsia="黑体" w:cs="黑体"/>
                <w:color w:val="auto"/>
                <w:kern w:val="0"/>
                <w:sz w:val="22"/>
                <w:highlight w:val="none"/>
                <w:lang w:eastAsia="zh-CN"/>
              </w:rPr>
            </w:pPr>
            <w:r>
              <w:rPr>
                <w:rFonts w:hint="eastAsia" w:ascii="黑体" w:hAnsi="黑体" w:eastAsia="黑体" w:cs="黑体"/>
                <w:color w:val="auto"/>
                <w:kern w:val="0"/>
                <w:sz w:val="22"/>
                <w:highlight w:val="none"/>
                <w:lang w:val="en-US" w:eastAsia="zh-CN"/>
              </w:rPr>
              <w:t>详见招标文件</w:t>
            </w:r>
          </w:p>
        </w:tc>
        <w:tc>
          <w:tcPr>
            <w:tcW w:w="1024" w:type="pct"/>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kern w:val="0"/>
                <w:sz w:val="22"/>
                <w:highlight w:val="none"/>
                <w:lang w:val="en-US" w:eastAsia="zh-CN"/>
              </w:rPr>
              <w:t>本标项共确定1家中标供应商。</w:t>
            </w:r>
          </w:p>
        </w:tc>
      </w:tr>
    </w:tbl>
    <w:p>
      <w:pPr>
        <w:snapToGrid w:val="0"/>
        <w:ind w:firstLine="0" w:firstLineChars="0"/>
        <w:rPr>
          <w:rFonts w:hint="eastAsia" w:ascii="黑体" w:hAnsi="黑体" w:eastAsia="黑体" w:cs="黑体"/>
          <w:b/>
          <w:bCs/>
          <w:color w:val="auto"/>
          <w:szCs w:val="24"/>
          <w:highlight w:val="none"/>
          <w:lang w:eastAsia="zh-CN"/>
        </w:rPr>
      </w:pPr>
      <w:r>
        <w:rPr>
          <w:rFonts w:hint="eastAsia" w:ascii="黑体" w:hAnsi="黑体" w:eastAsia="黑体" w:cs="黑体"/>
          <w:b/>
          <w:bCs/>
          <w:color w:val="auto"/>
          <w:szCs w:val="24"/>
          <w:highlight w:val="none"/>
          <w:lang w:eastAsia="zh-CN"/>
        </w:rPr>
        <w:t>标段三：</w:t>
      </w:r>
    </w:p>
    <w:tbl>
      <w:tblPr>
        <w:tblStyle w:val="34"/>
        <w:tblW w:w="5035"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823"/>
        <w:gridCol w:w="1062"/>
        <w:gridCol w:w="586"/>
        <w:gridCol w:w="1335"/>
        <w:gridCol w:w="1608"/>
        <w:gridCol w:w="20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序号</w:t>
            </w:r>
          </w:p>
        </w:tc>
        <w:tc>
          <w:tcPr>
            <w:tcW w:w="1406" w:type="pct"/>
            <w:vAlign w:val="center"/>
          </w:tcPr>
          <w:p>
            <w:pPr>
              <w:ind w:firstLine="44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标项内容</w:t>
            </w:r>
          </w:p>
        </w:tc>
        <w:tc>
          <w:tcPr>
            <w:tcW w:w="529"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单位</w:t>
            </w:r>
          </w:p>
        </w:tc>
        <w:tc>
          <w:tcPr>
            <w:tcW w:w="292"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数量</w:t>
            </w:r>
          </w:p>
        </w:tc>
        <w:tc>
          <w:tcPr>
            <w:tcW w:w="665" w:type="pct"/>
            <w:vAlign w:val="center"/>
          </w:tcPr>
          <w:p>
            <w:pPr>
              <w:ind w:firstLine="0" w:firstLineChars="0"/>
              <w:jc w:val="center"/>
              <w:rPr>
                <w:rFonts w:hint="eastAsia" w:ascii="黑体" w:hAnsi="黑体" w:eastAsia="黑体" w:cs="黑体"/>
                <w:color w:val="auto"/>
                <w:kern w:val="0"/>
                <w:sz w:val="22"/>
                <w:highlight w:val="none"/>
                <w:lang w:eastAsia="zh-CN"/>
              </w:rPr>
            </w:pPr>
            <w:r>
              <w:rPr>
                <w:rFonts w:hint="eastAsia" w:ascii="黑体" w:hAnsi="黑体" w:eastAsia="黑体" w:cs="黑体"/>
                <w:color w:val="auto"/>
                <w:kern w:val="0"/>
                <w:sz w:val="22"/>
                <w:highlight w:val="none"/>
                <w:lang w:eastAsia="zh-CN"/>
              </w:rPr>
              <w:t>预算金额</w:t>
            </w:r>
          </w:p>
        </w:tc>
        <w:tc>
          <w:tcPr>
            <w:tcW w:w="801"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简要规格要求描述</w:t>
            </w:r>
          </w:p>
        </w:tc>
        <w:tc>
          <w:tcPr>
            <w:tcW w:w="1024" w:type="pct"/>
            <w:vAlign w:val="center"/>
          </w:tcPr>
          <w:p>
            <w:pPr>
              <w:ind w:firstLine="0" w:firstLineChars="0"/>
              <w:jc w:val="center"/>
              <w:rPr>
                <w:rFonts w:hint="eastAsia" w:ascii="黑体" w:hAnsi="黑体" w:eastAsia="黑体" w:cs="黑体"/>
                <w:color w:val="auto"/>
                <w:kern w:val="0"/>
                <w:sz w:val="22"/>
                <w:highlight w:val="none"/>
                <w:lang w:eastAsia="zh-CN"/>
              </w:rPr>
            </w:pPr>
            <w:r>
              <w:rPr>
                <w:rFonts w:hint="eastAsia" w:ascii="黑体" w:hAnsi="黑体" w:eastAsia="黑体" w:cs="黑体"/>
                <w:color w:val="auto"/>
                <w:kern w:val="0"/>
                <w:sz w:val="22"/>
                <w:highlight w:val="none"/>
                <w:lang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0"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1</w:t>
            </w:r>
          </w:p>
        </w:tc>
        <w:tc>
          <w:tcPr>
            <w:tcW w:w="1406" w:type="pct"/>
            <w:vAlign w:val="center"/>
          </w:tcPr>
          <w:p>
            <w:pPr>
              <w:ind w:firstLine="0" w:firstLineChars="0"/>
              <w:jc w:val="center"/>
              <w:rPr>
                <w:rFonts w:hint="eastAsia" w:ascii="黑体" w:hAnsi="黑体" w:eastAsia="黑体" w:cs="黑体"/>
                <w:bCs/>
                <w:color w:val="auto"/>
                <w:kern w:val="0"/>
                <w:sz w:val="22"/>
                <w:highlight w:val="none"/>
                <w:lang w:eastAsia="zh-CN"/>
              </w:rPr>
            </w:pPr>
            <w:r>
              <w:rPr>
                <w:rFonts w:hint="eastAsia" w:ascii="黑体" w:hAnsi="黑体" w:eastAsia="黑体" w:cs="黑体"/>
                <w:bCs/>
                <w:color w:val="auto"/>
                <w:kern w:val="0"/>
                <w:sz w:val="22"/>
                <w:highlight w:val="none"/>
                <w:lang w:eastAsia="zh-CN"/>
              </w:rPr>
              <w:t>监督性食品抽检服务（生产环节及小作坊）</w:t>
            </w:r>
          </w:p>
        </w:tc>
        <w:tc>
          <w:tcPr>
            <w:tcW w:w="529"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项</w:t>
            </w:r>
          </w:p>
        </w:tc>
        <w:tc>
          <w:tcPr>
            <w:tcW w:w="292"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1</w:t>
            </w:r>
          </w:p>
        </w:tc>
        <w:tc>
          <w:tcPr>
            <w:tcW w:w="665" w:type="pct"/>
            <w:vAlign w:val="center"/>
          </w:tcPr>
          <w:p>
            <w:pPr>
              <w:ind w:firstLine="0" w:firstLineChars="0"/>
              <w:jc w:val="center"/>
              <w:rPr>
                <w:rFonts w:hint="eastAsia" w:ascii="黑体" w:hAnsi="黑体" w:eastAsia="黑体" w:cs="黑体"/>
                <w:color w:val="auto"/>
                <w:kern w:val="0"/>
                <w:sz w:val="22"/>
                <w:highlight w:val="none"/>
                <w:lang w:val="en-US" w:eastAsia="zh-CN"/>
              </w:rPr>
            </w:pPr>
            <w:r>
              <w:rPr>
                <w:rFonts w:hint="eastAsia" w:ascii="黑体" w:hAnsi="黑体" w:eastAsia="黑体" w:cs="黑体"/>
                <w:color w:val="auto"/>
                <w:kern w:val="0"/>
                <w:sz w:val="22"/>
                <w:highlight w:val="none"/>
                <w:lang w:val="en-US" w:eastAsia="zh-CN"/>
              </w:rPr>
              <w:t>200万元</w:t>
            </w:r>
          </w:p>
        </w:tc>
        <w:tc>
          <w:tcPr>
            <w:tcW w:w="801" w:type="pct"/>
            <w:vAlign w:val="center"/>
          </w:tcPr>
          <w:p>
            <w:pPr>
              <w:ind w:firstLine="0" w:firstLineChars="0"/>
              <w:jc w:val="center"/>
              <w:rPr>
                <w:rFonts w:hint="eastAsia" w:ascii="黑体" w:hAnsi="黑体" w:eastAsia="黑体" w:cs="黑体"/>
                <w:color w:val="auto"/>
                <w:kern w:val="0"/>
                <w:sz w:val="22"/>
                <w:highlight w:val="none"/>
                <w:lang w:eastAsia="zh-CN"/>
              </w:rPr>
            </w:pPr>
            <w:r>
              <w:rPr>
                <w:rFonts w:hint="eastAsia" w:ascii="黑体" w:hAnsi="黑体" w:eastAsia="黑体" w:cs="黑体"/>
                <w:color w:val="auto"/>
                <w:kern w:val="0"/>
                <w:sz w:val="22"/>
                <w:highlight w:val="none"/>
                <w:lang w:val="en-US" w:eastAsia="zh-CN"/>
              </w:rPr>
              <w:t>详见招标文件</w:t>
            </w:r>
          </w:p>
        </w:tc>
        <w:tc>
          <w:tcPr>
            <w:tcW w:w="1024" w:type="pct"/>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kern w:val="0"/>
                <w:sz w:val="22"/>
                <w:highlight w:val="none"/>
                <w:lang w:val="en-US" w:eastAsia="zh-CN"/>
              </w:rPr>
              <w:t>本标项共确定1家中标供应商。</w:t>
            </w:r>
          </w:p>
        </w:tc>
      </w:tr>
    </w:tbl>
    <w:p>
      <w:pPr>
        <w:snapToGrid w:val="0"/>
        <w:ind w:firstLine="0" w:firstLineChars="0"/>
        <w:rPr>
          <w:rFonts w:hint="eastAsia" w:ascii="黑体" w:hAnsi="黑体" w:eastAsia="黑体" w:cs="黑体"/>
          <w:b/>
          <w:bCs/>
          <w:color w:val="auto"/>
          <w:szCs w:val="24"/>
          <w:highlight w:val="none"/>
          <w:lang w:eastAsia="zh-CN"/>
        </w:rPr>
      </w:pPr>
      <w:r>
        <w:rPr>
          <w:rFonts w:hint="eastAsia" w:ascii="黑体" w:hAnsi="黑体" w:eastAsia="黑体" w:cs="黑体"/>
          <w:b/>
          <w:bCs/>
          <w:color w:val="auto"/>
          <w:szCs w:val="24"/>
          <w:highlight w:val="none"/>
          <w:lang w:eastAsia="zh-CN"/>
        </w:rPr>
        <w:t>标段四：</w:t>
      </w:r>
    </w:p>
    <w:tbl>
      <w:tblPr>
        <w:tblStyle w:val="34"/>
        <w:tblW w:w="5035"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823"/>
        <w:gridCol w:w="1062"/>
        <w:gridCol w:w="586"/>
        <w:gridCol w:w="1335"/>
        <w:gridCol w:w="1608"/>
        <w:gridCol w:w="20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序号</w:t>
            </w:r>
          </w:p>
        </w:tc>
        <w:tc>
          <w:tcPr>
            <w:tcW w:w="1406" w:type="pct"/>
            <w:vAlign w:val="center"/>
          </w:tcPr>
          <w:p>
            <w:pPr>
              <w:ind w:firstLine="44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标项内容</w:t>
            </w:r>
          </w:p>
        </w:tc>
        <w:tc>
          <w:tcPr>
            <w:tcW w:w="529"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单位</w:t>
            </w:r>
          </w:p>
        </w:tc>
        <w:tc>
          <w:tcPr>
            <w:tcW w:w="292"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数量</w:t>
            </w:r>
          </w:p>
        </w:tc>
        <w:tc>
          <w:tcPr>
            <w:tcW w:w="665" w:type="pct"/>
            <w:vAlign w:val="center"/>
          </w:tcPr>
          <w:p>
            <w:pPr>
              <w:ind w:firstLine="0" w:firstLineChars="0"/>
              <w:jc w:val="center"/>
              <w:rPr>
                <w:rFonts w:hint="eastAsia" w:ascii="黑体" w:hAnsi="黑体" w:eastAsia="黑体" w:cs="黑体"/>
                <w:color w:val="auto"/>
                <w:kern w:val="0"/>
                <w:sz w:val="22"/>
                <w:highlight w:val="none"/>
                <w:lang w:eastAsia="zh-CN"/>
              </w:rPr>
            </w:pPr>
            <w:r>
              <w:rPr>
                <w:rFonts w:hint="eastAsia" w:ascii="黑体" w:hAnsi="黑体" w:eastAsia="黑体" w:cs="黑体"/>
                <w:color w:val="auto"/>
                <w:kern w:val="0"/>
                <w:sz w:val="22"/>
                <w:highlight w:val="none"/>
                <w:lang w:eastAsia="zh-CN"/>
              </w:rPr>
              <w:t>预算金额</w:t>
            </w:r>
          </w:p>
        </w:tc>
        <w:tc>
          <w:tcPr>
            <w:tcW w:w="801"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简要规格要求描述</w:t>
            </w:r>
          </w:p>
        </w:tc>
        <w:tc>
          <w:tcPr>
            <w:tcW w:w="1024" w:type="pct"/>
            <w:vAlign w:val="center"/>
          </w:tcPr>
          <w:p>
            <w:pPr>
              <w:ind w:firstLine="0" w:firstLineChars="0"/>
              <w:jc w:val="center"/>
              <w:rPr>
                <w:rFonts w:hint="eastAsia" w:ascii="黑体" w:hAnsi="黑体" w:eastAsia="黑体" w:cs="黑体"/>
                <w:color w:val="auto"/>
                <w:kern w:val="0"/>
                <w:sz w:val="22"/>
                <w:highlight w:val="none"/>
                <w:lang w:eastAsia="zh-CN"/>
              </w:rPr>
            </w:pPr>
            <w:r>
              <w:rPr>
                <w:rFonts w:hint="eastAsia" w:ascii="黑体" w:hAnsi="黑体" w:eastAsia="黑体" w:cs="黑体"/>
                <w:color w:val="auto"/>
                <w:kern w:val="0"/>
                <w:sz w:val="22"/>
                <w:highlight w:val="none"/>
                <w:lang w:eastAsia="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0"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1</w:t>
            </w:r>
          </w:p>
        </w:tc>
        <w:tc>
          <w:tcPr>
            <w:tcW w:w="1406" w:type="pct"/>
            <w:vAlign w:val="center"/>
          </w:tcPr>
          <w:p>
            <w:pPr>
              <w:ind w:firstLine="0" w:firstLineChars="0"/>
              <w:jc w:val="center"/>
              <w:rPr>
                <w:rFonts w:hint="eastAsia" w:ascii="黑体" w:hAnsi="黑体" w:eastAsia="黑体" w:cs="黑体"/>
                <w:bCs/>
                <w:color w:val="auto"/>
                <w:kern w:val="0"/>
                <w:sz w:val="22"/>
                <w:highlight w:val="none"/>
                <w:lang w:eastAsia="zh-CN"/>
              </w:rPr>
            </w:pPr>
            <w:r>
              <w:rPr>
                <w:rFonts w:hint="eastAsia" w:ascii="黑体" w:hAnsi="黑体" w:eastAsia="黑体" w:cs="黑体"/>
                <w:bCs/>
                <w:color w:val="auto"/>
                <w:kern w:val="0"/>
                <w:sz w:val="22"/>
                <w:highlight w:val="none"/>
                <w:lang w:eastAsia="zh-CN"/>
              </w:rPr>
              <w:t>监督性食品抽检服务（流通环节及你点我检）</w:t>
            </w:r>
          </w:p>
        </w:tc>
        <w:tc>
          <w:tcPr>
            <w:tcW w:w="529"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项</w:t>
            </w:r>
          </w:p>
        </w:tc>
        <w:tc>
          <w:tcPr>
            <w:tcW w:w="292" w:type="pct"/>
            <w:vAlign w:val="center"/>
          </w:tcPr>
          <w:p>
            <w:pPr>
              <w:ind w:firstLine="0" w:firstLineChars="0"/>
              <w:jc w:val="center"/>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1</w:t>
            </w:r>
          </w:p>
        </w:tc>
        <w:tc>
          <w:tcPr>
            <w:tcW w:w="665" w:type="pct"/>
            <w:vAlign w:val="center"/>
          </w:tcPr>
          <w:p>
            <w:pPr>
              <w:ind w:firstLine="0" w:firstLineChars="0"/>
              <w:jc w:val="center"/>
              <w:rPr>
                <w:rFonts w:hint="eastAsia" w:ascii="黑体" w:hAnsi="黑体" w:eastAsia="黑体" w:cs="黑体"/>
                <w:color w:val="auto"/>
                <w:kern w:val="0"/>
                <w:sz w:val="22"/>
                <w:highlight w:val="none"/>
                <w:lang w:val="en-US" w:eastAsia="zh-CN"/>
              </w:rPr>
            </w:pPr>
            <w:r>
              <w:rPr>
                <w:rFonts w:hint="eastAsia" w:ascii="黑体" w:hAnsi="黑体" w:eastAsia="黑体" w:cs="黑体"/>
                <w:color w:val="auto"/>
                <w:kern w:val="0"/>
                <w:sz w:val="22"/>
                <w:highlight w:val="none"/>
                <w:lang w:val="en-US" w:eastAsia="zh-CN"/>
              </w:rPr>
              <w:t>179万元</w:t>
            </w:r>
          </w:p>
        </w:tc>
        <w:tc>
          <w:tcPr>
            <w:tcW w:w="801" w:type="pct"/>
            <w:vAlign w:val="center"/>
          </w:tcPr>
          <w:p>
            <w:pPr>
              <w:ind w:firstLine="0" w:firstLineChars="0"/>
              <w:jc w:val="center"/>
              <w:rPr>
                <w:rFonts w:hint="eastAsia" w:ascii="黑体" w:hAnsi="黑体" w:eastAsia="黑体" w:cs="黑体"/>
                <w:color w:val="auto"/>
                <w:kern w:val="0"/>
                <w:sz w:val="22"/>
                <w:highlight w:val="none"/>
                <w:lang w:eastAsia="zh-CN"/>
              </w:rPr>
            </w:pPr>
            <w:r>
              <w:rPr>
                <w:rFonts w:hint="eastAsia" w:ascii="黑体" w:hAnsi="黑体" w:eastAsia="黑体" w:cs="黑体"/>
                <w:color w:val="auto"/>
                <w:kern w:val="0"/>
                <w:sz w:val="22"/>
                <w:highlight w:val="none"/>
                <w:lang w:val="en-US" w:eastAsia="zh-CN"/>
              </w:rPr>
              <w:t>详见招标文件</w:t>
            </w:r>
          </w:p>
        </w:tc>
        <w:tc>
          <w:tcPr>
            <w:tcW w:w="1024" w:type="pct"/>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kern w:val="0"/>
                <w:sz w:val="22"/>
                <w:highlight w:val="none"/>
                <w:lang w:val="en-US" w:eastAsia="zh-CN"/>
              </w:rPr>
              <w:t>本标项共确定1家中标供应商。</w:t>
            </w:r>
          </w:p>
        </w:tc>
      </w:tr>
    </w:tbl>
    <w:p>
      <w:pPr>
        <w:snapToGrid w:val="0"/>
        <w:ind w:firstLine="0" w:firstLineChars="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四、投标供应商资格要求:</w:t>
      </w:r>
    </w:p>
    <w:p>
      <w:pPr>
        <w:keepNext w:val="0"/>
        <w:keepLines w:val="0"/>
        <w:pageBreakBefore w:val="0"/>
        <w:kinsoku/>
        <w:overflowPunct/>
        <w:topLinePunct w:val="0"/>
        <w:autoSpaceDE/>
        <w:autoSpaceDN/>
        <w:bidi w:val="0"/>
        <w:adjustRightInd/>
        <w:spacing w:line="360" w:lineRule="auto"/>
        <w:ind w:firstLine="480"/>
        <w:jc w:val="left"/>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1.符合《中华人民共和国政府采购法》第二十二条规定条件。</w:t>
      </w:r>
    </w:p>
    <w:p>
      <w:pPr>
        <w:keepNext w:val="0"/>
        <w:keepLines w:val="0"/>
        <w:pageBreakBefore w:val="0"/>
        <w:kinsoku/>
        <w:overflowPunct/>
        <w:topLinePunct w:val="0"/>
        <w:autoSpaceDE/>
        <w:autoSpaceDN/>
        <w:bidi w:val="0"/>
        <w:adjustRightInd/>
        <w:spacing w:line="360" w:lineRule="auto"/>
        <w:ind w:firstLine="480"/>
        <w:jc w:val="left"/>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（1）具有独立承担民事责任和履行合同能力；</w:t>
      </w:r>
    </w:p>
    <w:p>
      <w:pPr>
        <w:keepNext w:val="0"/>
        <w:keepLines w:val="0"/>
        <w:pageBreakBefore w:val="0"/>
        <w:kinsoku/>
        <w:overflowPunct/>
        <w:topLinePunct w:val="0"/>
        <w:autoSpaceDE/>
        <w:autoSpaceDN/>
        <w:bidi w:val="0"/>
        <w:adjustRightInd/>
        <w:spacing w:line="360" w:lineRule="auto"/>
        <w:ind w:firstLine="480"/>
        <w:jc w:val="left"/>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（2）具有良好的商业信誉和健全的财务会计制度；</w:t>
      </w:r>
    </w:p>
    <w:p>
      <w:pPr>
        <w:keepNext w:val="0"/>
        <w:keepLines w:val="0"/>
        <w:pageBreakBefore w:val="0"/>
        <w:kinsoku/>
        <w:overflowPunct/>
        <w:topLinePunct w:val="0"/>
        <w:autoSpaceDE/>
        <w:autoSpaceDN/>
        <w:bidi w:val="0"/>
        <w:adjustRightInd/>
        <w:spacing w:line="360" w:lineRule="auto"/>
        <w:ind w:firstLine="480"/>
        <w:jc w:val="left"/>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（3）具有履行合同所必需的设备和专业技术能力；</w:t>
      </w:r>
    </w:p>
    <w:p>
      <w:pPr>
        <w:keepNext w:val="0"/>
        <w:keepLines w:val="0"/>
        <w:pageBreakBefore w:val="0"/>
        <w:kinsoku/>
        <w:overflowPunct/>
        <w:topLinePunct w:val="0"/>
        <w:autoSpaceDE/>
        <w:autoSpaceDN/>
        <w:bidi w:val="0"/>
        <w:adjustRightInd/>
        <w:spacing w:line="360" w:lineRule="auto"/>
        <w:ind w:firstLine="480"/>
        <w:jc w:val="left"/>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（4）有依法缴纳税收和社会保障资金的良好记录；</w:t>
      </w:r>
    </w:p>
    <w:p>
      <w:pPr>
        <w:keepNext w:val="0"/>
        <w:keepLines w:val="0"/>
        <w:pageBreakBefore w:val="0"/>
        <w:kinsoku/>
        <w:overflowPunct/>
        <w:topLinePunct w:val="0"/>
        <w:autoSpaceDE/>
        <w:autoSpaceDN/>
        <w:bidi w:val="0"/>
        <w:adjustRightInd/>
        <w:spacing w:line="360" w:lineRule="auto"/>
        <w:ind w:firstLine="480"/>
        <w:jc w:val="left"/>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（5）近三年经营活动中无违法记录。</w:t>
      </w:r>
    </w:p>
    <w:p>
      <w:pPr>
        <w:keepNext w:val="0"/>
        <w:keepLines w:val="0"/>
        <w:pageBreakBefore w:val="0"/>
        <w:kinsoku/>
        <w:overflowPunct/>
        <w:topLinePunct w:val="0"/>
        <w:autoSpaceDE/>
        <w:autoSpaceDN/>
        <w:bidi w:val="0"/>
        <w:adjustRightInd/>
        <w:spacing w:line="360" w:lineRule="auto"/>
        <w:ind w:firstLine="480"/>
        <w:jc w:val="left"/>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2.本项目的特定资格要求：投标人须经国家认证认可监督管理部门或者省质量技术监督部门（省市场监督管理部门）计量认证合格。</w:t>
      </w:r>
    </w:p>
    <w:p>
      <w:pPr>
        <w:keepNext w:val="0"/>
        <w:keepLines w:val="0"/>
        <w:pageBreakBefore w:val="0"/>
        <w:kinsoku/>
        <w:overflowPunct/>
        <w:topLinePunct w:val="0"/>
        <w:autoSpaceDE/>
        <w:autoSpaceDN/>
        <w:bidi w:val="0"/>
        <w:adjustRightInd/>
        <w:spacing w:line="360" w:lineRule="auto"/>
        <w:ind w:firstLine="480"/>
        <w:jc w:val="left"/>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lang w:val="en-US" w:eastAsia="zh-CN"/>
        </w:rPr>
        <w:t>3、</w:t>
      </w:r>
      <w:r>
        <w:rPr>
          <w:rFonts w:hint="eastAsia" w:ascii="黑体" w:hAnsi="黑体" w:eastAsia="黑体" w:cs="黑体"/>
          <w:color w:val="auto"/>
          <w:szCs w:val="24"/>
          <w:highlight w:val="none"/>
        </w:rPr>
        <w:t>在中华人民共和国境内注册，具有良好声誉的独立法人，法定代表人及法定代表授权委托人近三年无行贿犯罪记录，能承担本项目的供应商。</w:t>
      </w:r>
    </w:p>
    <w:p>
      <w:pPr>
        <w:keepNext w:val="0"/>
        <w:keepLines w:val="0"/>
        <w:pageBreakBefore w:val="0"/>
        <w:kinsoku/>
        <w:overflowPunct/>
        <w:topLinePunct w:val="0"/>
        <w:autoSpaceDE/>
        <w:autoSpaceDN/>
        <w:bidi w:val="0"/>
        <w:adjustRightInd/>
        <w:spacing w:line="360" w:lineRule="auto"/>
        <w:ind w:firstLine="480"/>
        <w:jc w:val="left"/>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lang w:val="en-US" w:eastAsia="zh-CN"/>
        </w:rPr>
        <w:t>4、</w:t>
      </w:r>
      <w:r>
        <w:rPr>
          <w:rFonts w:hint="eastAsia" w:ascii="黑体" w:hAnsi="黑体" w:eastAsia="黑体" w:cs="黑体"/>
          <w:color w:val="auto"/>
          <w:szCs w:val="24"/>
          <w:highlight w:val="none"/>
        </w:rPr>
        <w:t>供应商为单位负责人为同一人或者存在直接控股、管理关系的，不得参加本项目磋商活动。</w:t>
      </w:r>
    </w:p>
    <w:p>
      <w:pPr>
        <w:keepNext w:val="0"/>
        <w:keepLines w:val="0"/>
        <w:pageBreakBefore w:val="0"/>
        <w:kinsoku/>
        <w:overflowPunct/>
        <w:topLinePunct w:val="0"/>
        <w:autoSpaceDE/>
        <w:autoSpaceDN/>
        <w:bidi w:val="0"/>
        <w:adjustRightInd/>
        <w:spacing w:line="360" w:lineRule="auto"/>
        <w:ind w:firstLine="480"/>
        <w:jc w:val="left"/>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lang w:val="en-US" w:eastAsia="zh-CN"/>
        </w:rPr>
        <w:t>5</w:t>
      </w:r>
      <w:r>
        <w:rPr>
          <w:rFonts w:hint="eastAsia" w:ascii="黑体" w:hAnsi="黑体" w:eastAsia="黑体" w:cs="黑体"/>
          <w:color w:val="auto"/>
          <w:szCs w:val="24"/>
          <w:highlight w:val="none"/>
        </w:rPr>
        <w:t>.本项目不接受联合体投标。</w:t>
      </w:r>
    </w:p>
    <w:p>
      <w:pPr>
        <w:keepNext w:val="0"/>
        <w:keepLines w:val="0"/>
        <w:pageBreakBefore w:val="0"/>
        <w:kinsoku/>
        <w:wordWrap w:val="0"/>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6</w:t>
      </w:r>
      <w:r>
        <w:rPr>
          <w:rFonts w:hint="eastAsia" w:ascii="黑体" w:hAnsi="黑体" w:eastAsia="黑体" w:cs="黑体"/>
          <w:color w:val="auto"/>
          <w:highlight w:val="none"/>
        </w:rPr>
        <w:t>.凡拟参加本项目采购活动的供应商，如在“信用中国”网站（www.creditchina.gov.vn）被列入失信被执行人、重大税收违法案件当事人名单、政府采购严重违法失信名单的；投标截止之日至前三年内，在“中国政府采购网”(www.ccgp.gov.cn)被列入政府采购严重违法失信行为记录名单中的且在处罚有效期内的供应商，投标截止之日至前三年内，在“浙江政府采购网”（http://zfcg.czt.zj.gov.cn）“曝光台”中被曝光且在处罚有效期内的供应商，资格审查时均不予以通过，将拒绝其参加本次采购活动。</w:t>
      </w:r>
    </w:p>
    <w:p>
      <w:pPr>
        <w:pStyle w:val="30"/>
        <w:keepNext w:val="0"/>
        <w:keepLines w:val="0"/>
        <w:pageBreakBefore w:val="0"/>
        <w:kinsoku/>
        <w:overflowPunct/>
        <w:topLinePunct w:val="0"/>
        <w:autoSpaceDE/>
        <w:autoSpaceDN/>
        <w:bidi w:val="0"/>
        <w:adjustRightInd/>
        <w:spacing w:before="0" w:beforeAutospacing="0" w:after="0" w:afterAutospacing="0" w:line="360" w:lineRule="auto"/>
        <w:ind w:firstLine="0" w:firstLineChars="0"/>
        <w:textAlignment w:val="auto"/>
        <w:rPr>
          <w:rFonts w:hint="eastAsia" w:ascii="黑体" w:hAnsi="黑体" w:eastAsia="黑体" w:cs="黑体"/>
          <w:b/>
          <w:color w:val="auto"/>
          <w:highlight w:val="none"/>
          <w:lang w:val="zh-CN"/>
        </w:rPr>
      </w:pPr>
      <w:r>
        <w:rPr>
          <w:rFonts w:hint="eastAsia" w:ascii="黑体" w:hAnsi="黑体" w:eastAsia="黑体" w:cs="黑体"/>
          <w:b/>
          <w:color w:val="auto"/>
          <w:highlight w:val="none"/>
          <w:lang w:val="zh-CN"/>
        </w:rPr>
        <w:t>五、投标说明：</w:t>
      </w:r>
    </w:p>
    <w:p>
      <w:pPr>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keepNext w:val="0"/>
        <w:keepLines w:val="0"/>
        <w:pageBreakBefore w:val="0"/>
        <w:kinsoku/>
        <w:wordWrap w:val="0"/>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2.投标人应在开标前完成CA数字证书办理。（办理流程详见http://zfcg.czt.zj.gov.cn/bidClientTemplate/2019-05-27/12945.html）。完成CA数字证书办理预计一周左右，建议各投标人抓紧时间办理。</w:t>
      </w:r>
    </w:p>
    <w:p>
      <w:pPr>
        <w:keepNext w:val="0"/>
        <w:keepLines w:val="0"/>
        <w:pageBreakBefore w:val="0"/>
        <w:kinsoku/>
        <w:wordWrap w:val="0"/>
        <w:overflowPunct/>
        <w:topLinePunct w:val="0"/>
        <w:autoSpaceDE/>
        <w:autoSpaceDN/>
        <w:bidi w:val="0"/>
        <w:adjustRightInd/>
        <w:snapToGrid w:val="0"/>
        <w:spacing w:line="360" w:lineRule="auto"/>
        <w:ind w:firstLine="480"/>
        <w:textAlignment w:val="auto"/>
        <w:rPr>
          <w:rFonts w:hint="eastAsia" w:ascii="黑体" w:hAnsi="黑体" w:eastAsia="黑体" w:cs="黑体"/>
          <w:b/>
          <w:color w:val="auto"/>
          <w:highlight w:val="none"/>
        </w:rPr>
      </w:pPr>
      <w:r>
        <w:rPr>
          <w:rFonts w:hint="eastAsia" w:ascii="黑体" w:hAnsi="黑体" w:eastAsia="黑体" w:cs="黑体"/>
          <w:color w:val="auto"/>
          <w:highlight w:val="none"/>
        </w:rPr>
        <w:t>3.投标人通过政采云平台电子投标工具制作投标文件，电子投标工具请供应商自行前往浙江政府采购网下载并安装，（下载网址：http://zfcg.czt.zj.gov.cn/bidClientTemplate/2019-09-24/12975.html），电子投标具体流程文档详见网址：https://help.zcygov.cn/web/site_2/2018/12-28/2573.html。</w:t>
      </w:r>
    </w:p>
    <w:p>
      <w:pPr>
        <w:pStyle w:val="30"/>
        <w:keepNext w:val="0"/>
        <w:keepLines w:val="0"/>
        <w:pageBreakBefore w:val="0"/>
        <w:kinsoku/>
        <w:wordWrap w:val="0"/>
        <w:overflowPunct/>
        <w:topLinePunct w:val="0"/>
        <w:autoSpaceDE/>
        <w:autoSpaceDN/>
        <w:bidi w:val="0"/>
        <w:adjustRightInd/>
        <w:spacing w:before="0" w:beforeAutospacing="0" w:after="0" w:afterAutospacing="0" w:line="360" w:lineRule="auto"/>
        <w:ind w:firstLine="0" w:firstLineChars="0"/>
        <w:textAlignment w:val="auto"/>
        <w:rPr>
          <w:rFonts w:hint="eastAsia" w:ascii="黑体" w:hAnsi="黑体" w:eastAsia="黑体" w:cs="黑体"/>
          <w:color w:val="auto"/>
          <w:kern w:val="2"/>
          <w:highlight w:val="none"/>
        </w:rPr>
      </w:pPr>
      <w:r>
        <w:rPr>
          <w:rFonts w:hint="eastAsia" w:ascii="黑体" w:hAnsi="黑体" w:eastAsia="黑体" w:cs="黑体"/>
          <w:b/>
          <w:color w:val="auto"/>
          <w:highlight w:val="none"/>
          <w:lang w:val="zh-CN"/>
        </w:rPr>
        <w:t>六、报名及招标文件获取方式：</w:t>
      </w:r>
    </w:p>
    <w:p>
      <w:pPr>
        <w:keepNext w:val="0"/>
        <w:keepLines w:val="0"/>
        <w:pageBreakBefore w:val="0"/>
        <w:kinsoku/>
        <w:wordWrap w:val="0"/>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1. 报名需提供（1）营业执照副本复印件（加盖单位公章）；（2）法定代表人授权委托书原件；（3）报名人身份证复印件和联系人电话,于2021年</w:t>
      </w:r>
      <w:r>
        <w:rPr>
          <w:rFonts w:hint="eastAsia" w:ascii="黑体" w:hAnsi="黑体" w:eastAsia="黑体" w:cs="黑体"/>
          <w:color w:val="auto"/>
          <w:highlight w:val="none"/>
          <w:lang w:val="en-US" w:eastAsia="zh-CN"/>
        </w:rPr>
        <w:t>12</w:t>
      </w:r>
      <w:r>
        <w:rPr>
          <w:rFonts w:hint="eastAsia" w:ascii="黑体" w:hAnsi="黑体" w:eastAsia="黑体" w:cs="黑体"/>
          <w:color w:val="auto"/>
          <w:highlight w:val="none"/>
        </w:rPr>
        <w:t>月</w:t>
      </w:r>
      <w:r>
        <w:rPr>
          <w:rFonts w:hint="eastAsia" w:ascii="黑体" w:hAnsi="黑体" w:eastAsia="黑体" w:cs="黑体"/>
          <w:color w:val="auto"/>
          <w:highlight w:val="none"/>
          <w:lang w:val="en-US" w:eastAsia="zh-CN"/>
        </w:rPr>
        <w:t>27</w:t>
      </w:r>
      <w:r>
        <w:rPr>
          <w:rFonts w:hint="eastAsia" w:ascii="黑体" w:hAnsi="黑体" w:eastAsia="黑体" w:cs="黑体"/>
          <w:color w:val="auto"/>
          <w:highlight w:val="none"/>
        </w:rPr>
        <w:t>日16:30前以邮件形式发送到</w:t>
      </w:r>
      <w:r>
        <w:rPr>
          <w:rFonts w:hint="eastAsia" w:ascii="黑体" w:hAnsi="黑体" w:eastAsia="黑体" w:cs="黑体"/>
          <w:color w:val="auto"/>
          <w:highlight w:val="none"/>
          <w:u w:val="single"/>
        </w:rPr>
        <w:t>634465616@qq.com邮箱进行线上报名。</w:t>
      </w:r>
    </w:p>
    <w:p>
      <w:pPr>
        <w:keepNext w:val="0"/>
        <w:keepLines w:val="0"/>
        <w:pageBreakBefore w:val="0"/>
        <w:kinsoku/>
        <w:wordWrap w:val="0"/>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2.本项目招标文件实行网上获取，不提供招标文件纸质版。</w:t>
      </w:r>
    </w:p>
    <w:p>
      <w:pPr>
        <w:keepNext w:val="0"/>
        <w:keepLines w:val="0"/>
        <w:pageBreakBefore w:val="0"/>
        <w:kinsoku/>
        <w:wordWrap w:val="0"/>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3.获取采购文件网址：浙江政府采购网</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"http://zfcg.czt.zj.gov.cn/"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http://zfcg.czt.zj.gov.cn/</w:t>
      </w:r>
      <w:r>
        <w:rPr>
          <w:rStyle w:val="50"/>
          <w:rFonts w:hint="eastAsia" w:ascii="黑体" w:hAnsi="黑体" w:eastAsia="黑体" w:cs="黑体"/>
          <w:color w:val="auto"/>
          <w:highlight w:val="none"/>
        </w:rPr>
        <w:fldChar w:fldCharType="end"/>
      </w:r>
      <w:r>
        <w:rPr>
          <w:rFonts w:hint="eastAsia" w:ascii="黑体" w:hAnsi="黑体" w:eastAsia="黑体" w:cs="黑体"/>
          <w:color w:val="auto"/>
          <w:highlight w:val="none"/>
        </w:rPr>
        <w:t>（用“政采云”注册账号、密码登录系统后获取采购文件）</w:t>
      </w:r>
    </w:p>
    <w:p>
      <w:pPr>
        <w:keepNext w:val="0"/>
        <w:keepLines w:val="0"/>
        <w:pageBreakBefore w:val="0"/>
        <w:kinsoku/>
        <w:wordWrap w:val="0"/>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4.免费注册网址：浙江政府采购网（供应商注册页面）</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"https://middle.zcygov.cn/settle-front/" \l "/registry"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https://middle.zcygov.cn/settle-front/#/registry</w:t>
      </w:r>
      <w:r>
        <w:rPr>
          <w:rStyle w:val="50"/>
          <w:rFonts w:hint="eastAsia" w:ascii="黑体" w:hAnsi="黑体" w:eastAsia="黑体" w:cs="黑体"/>
          <w:color w:val="auto"/>
          <w:highlight w:val="none"/>
        </w:rPr>
        <w:fldChar w:fldCharType="end"/>
      </w:r>
      <w:r>
        <w:rPr>
          <w:rFonts w:hint="eastAsia" w:ascii="黑体" w:hAnsi="黑体" w:eastAsia="黑体" w:cs="黑体"/>
          <w:color w:val="auto"/>
          <w:highlight w:val="none"/>
        </w:rPr>
        <w:t>“政采云”，具体详见网站供应商注册要求，已经注册成功的供应商无需重复注册，本项目实行电子投标。</w:t>
      </w:r>
    </w:p>
    <w:p>
      <w:pPr>
        <w:keepNext w:val="0"/>
        <w:keepLines w:val="0"/>
        <w:pageBreakBefore w:val="0"/>
        <w:kinsoku/>
        <w:wordWrap w:val="0"/>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5.本采购公告中附件的采购文件仅供阅览使用，潜在供应商应当按照本采购公告规定方式和规定时间内获取采购文件，未按照规定方式和规定时间内获取的采购文件的，对采购文件提起质疑投诉不予以受理。</w:t>
      </w:r>
    </w:p>
    <w:p>
      <w:pPr>
        <w:keepNext w:val="0"/>
        <w:keepLines w:val="0"/>
        <w:pageBreakBefore w:val="0"/>
        <w:kinsoku/>
        <w:wordWrap w:val="0"/>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6.因疫情原因，投标人应当在 2021 年</w:t>
      </w:r>
      <w:r>
        <w:rPr>
          <w:rFonts w:hint="eastAsia" w:ascii="黑体" w:hAnsi="黑体" w:eastAsia="黑体" w:cs="黑体"/>
          <w:color w:val="auto"/>
          <w:highlight w:val="none"/>
          <w:lang w:val="en-US" w:eastAsia="zh-CN"/>
        </w:rPr>
        <w:t>12</w:t>
      </w:r>
      <w:r>
        <w:rPr>
          <w:rFonts w:hint="eastAsia" w:ascii="黑体" w:hAnsi="黑体" w:eastAsia="黑体" w:cs="黑体"/>
          <w:color w:val="auto"/>
          <w:highlight w:val="none"/>
        </w:rPr>
        <w:t>月</w:t>
      </w:r>
      <w:r>
        <w:rPr>
          <w:rFonts w:hint="eastAsia" w:ascii="黑体" w:hAnsi="黑体" w:eastAsia="黑体" w:cs="黑体"/>
          <w:color w:val="auto"/>
          <w:highlight w:val="none"/>
          <w:lang w:val="en-US" w:eastAsia="zh-CN"/>
        </w:rPr>
        <w:t>27</w:t>
      </w:r>
      <w:r>
        <w:rPr>
          <w:rFonts w:hint="eastAsia" w:ascii="黑体" w:hAnsi="黑体" w:eastAsia="黑体" w:cs="黑体"/>
          <w:color w:val="auto"/>
          <w:highlight w:val="none"/>
        </w:rPr>
        <w:t>日16:30时前（收到投标文件时间）将</w:t>
      </w:r>
      <w:r>
        <w:rPr>
          <w:rFonts w:hint="eastAsia" w:ascii="黑体" w:hAnsi="黑体" w:eastAsia="黑体" w:cs="黑体"/>
          <w:color w:val="auto"/>
          <w:highlight w:val="none"/>
          <w:u w:val="single"/>
          <w:lang w:val="zh-CN"/>
        </w:rPr>
        <w:t>纸质备份和电子备份(U盘)</w:t>
      </w:r>
      <w:r>
        <w:rPr>
          <w:rFonts w:hint="eastAsia" w:ascii="黑体" w:hAnsi="黑体" w:eastAsia="黑体" w:cs="黑体"/>
          <w:color w:val="auto"/>
          <w:highlight w:val="none"/>
        </w:rPr>
        <w:t>投标文件分别密封，邮寄到欧邦工程管理有限公司龙游分公司，地址：浙江省衢州市龙游县龙洲街道向阳世家小区68幢</w:t>
      </w:r>
      <w:bookmarkStart w:id="203" w:name="_GoBack"/>
      <w:bookmarkEnd w:id="203"/>
      <w:r>
        <w:rPr>
          <w:rFonts w:hint="eastAsia" w:ascii="黑体" w:hAnsi="黑体" w:eastAsia="黑体" w:cs="黑体"/>
          <w:color w:val="auto"/>
          <w:highlight w:val="none"/>
        </w:rPr>
        <w:t xml:space="preserve">二楼，逾期送达或未密封将被拒收。 </w:t>
      </w:r>
    </w:p>
    <w:p>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黑体" w:hAnsi="黑体" w:eastAsia="黑体" w:cs="黑体"/>
          <w:b/>
          <w:color w:val="auto"/>
          <w:kern w:val="0"/>
          <w:highlight w:val="none"/>
        </w:rPr>
      </w:pPr>
      <w:bookmarkStart w:id="9" w:name="_Toc524531971"/>
      <w:bookmarkStart w:id="10" w:name="_Toc520899992"/>
      <w:bookmarkStart w:id="11" w:name="_Toc199"/>
      <w:bookmarkStart w:id="12" w:name="_Toc28020"/>
      <w:bookmarkStart w:id="13" w:name="_Toc524532000"/>
      <w:bookmarkStart w:id="14" w:name="_Toc21445"/>
      <w:r>
        <w:rPr>
          <w:rFonts w:hint="eastAsia" w:ascii="黑体" w:hAnsi="黑体" w:eastAsia="黑体" w:cs="黑体"/>
          <w:b/>
          <w:color w:val="auto"/>
          <w:kern w:val="0"/>
          <w:highlight w:val="none"/>
        </w:rPr>
        <w:t>七、公告期限：</w:t>
      </w:r>
    </w:p>
    <w:p>
      <w:pPr>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黑体" w:hAnsi="黑体" w:eastAsia="黑体" w:cs="黑体"/>
          <w:bCs/>
          <w:color w:val="auto"/>
          <w:kern w:val="0"/>
          <w:highlight w:val="none"/>
        </w:rPr>
      </w:pPr>
      <w:r>
        <w:rPr>
          <w:rFonts w:hint="eastAsia" w:ascii="黑体" w:hAnsi="黑体" w:eastAsia="黑体" w:cs="黑体"/>
          <w:bCs/>
          <w:color w:val="auto"/>
          <w:kern w:val="0"/>
          <w:highlight w:val="none"/>
        </w:rPr>
        <w:t>自本公告发布之日起5个工作日。投标人认为招标文件使自己的权益受到损害的，可以自获取招标文件之日（招标文件公告期限届满之后获取招标文件的以公告期限届满之日起计算）起7个工作日内，以书面形式向采购人和招标代理机构提出质疑，逾期提出不予受理。</w:t>
      </w:r>
    </w:p>
    <w:p>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黑体" w:hAnsi="黑体" w:eastAsia="黑体" w:cs="黑体"/>
          <w:b/>
          <w:color w:val="auto"/>
          <w:kern w:val="0"/>
          <w:highlight w:val="none"/>
        </w:rPr>
      </w:pPr>
      <w:r>
        <w:rPr>
          <w:rFonts w:hint="eastAsia" w:ascii="黑体" w:hAnsi="黑体" w:eastAsia="黑体" w:cs="黑体"/>
          <w:b/>
          <w:color w:val="auto"/>
          <w:kern w:val="0"/>
          <w:highlight w:val="none"/>
        </w:rPr>
        <w:t>八、开始评标的有关信息：</w:t>
      </w:r>
    </w:p>
    <w:p>
      <w:pPr>
        <w:keepNext w:val="0"/>
        <w:keepLines w:val="0"/>
        <w:pageBreakBefore w:val="0"/>
        <w:tabs>
          <w:tab w:val="left" w:pos="900"/>
        </w:tabs>
        <w:kinsoku/>
        <w:overflowPunct/>
        <w:topLinePunct w:val="0"/>
        <w:autoSpaceDE/>
        <w:autoSpaceDN/>
        <w:bidi w:val="0"/>
        <w:adjustRightInd/>
        <w:snapToGrid w:val="0"/>
        <w:spacing w:line="360" w:lineRule="auto"/>
        <w:ind w:firstLine="540" w:firstLineChars="225"/>
        <w:textAlignment w:val="auto"/>
        <w:rPr>
          <w:rFonts w:hint="eastAsia" w:ascii="黑体" w:hAnsi="黑体" w:eastAsia="黑体" w:cs="黑体"/>
          <w:color w:val="auto"/>
          <w:highlight w:val="none"/>
        </w:rPr>
      </w:pPr>
      <w:r>
        <w:rPr>
          <w:rFonts w:hint="eastAsia" w:ascii="黑体" w:hAnsi="黑体" w:eastAsia="黑体" w:cs="黑体"/>
          <w:color w:val="auto"/>
          <w:highlight w:val="none"/>
        </w:rPr>
        <w:t>投标响应文件提交截止时间：2021年</w:t>
      </w:r>
      <w:r>
        <w:rPr>
          <w:rFonts w:hint="eastAsia" w:ascii="黑体" w:hAnsi="黑体" w:eastAsia="黑体" w:cs="黑体"/>
          <w:color w:val="auto"/>
          <w:highlight w:val="none"/>
          <w:lang w:val="en-US" w:eastAsia="zh-CN"/>
        </w:rPr>
        <w:t>12</w:t>
      </w:r>
      <w:r>
        <w:rPr>
          <w:rFonts w:hint="eastAsia" w:ascii="黑体" w:hAnsi="黑体" w:eastAsia="黑体" w:cs="黑体"/>
          <w:color w:val="auto"/>
          <w:highlight w:val="none"/>
        </w:rPr>
        <w:t>月</w:t>
      </w:r>
      <w:r>
        <w:rPr>
          <w:rFonts w:hint="eastAsia" w:ascii="黑体" w:hAnsi="黑体" w:eastAsia="黑体" w:cs="黑体"/>
          <w:color w:val="auto"/>
          <w:highlight w:val="none"/>
          <w:lang w:val="en-US" w:eastAsia="zh-CN"/>
        </w:rPr>
        <w:t>28</w:t>
      </w:r>
      <w:r>
        <w:rPr>
          <w:rFonts w:hint="eastAsia" w:ascii="黑体" w:hAnsi="黑体" w:eastAsia="黑体" w:cs="黑体"/>
          <w:color w:val="auto"/>
          <w:highlight w:val="none"/>
        </w:rPr>
        <w:t>日</w:t>
      </w:r>
      <w:r>
        <w:rPr>
          <w:rFonts w:hint="eastAsia" w:ascii="黑体" w:hAnsi="黑体" w:eastAsia="黑体" w:cs="黑体"/>
          <w:color w:val="auto"/>
          <w:highlight w:val="none"/>
          <w:lang w:val="en-US" w:eastAsia="zh-CN"/>
        </w:rPr>
        <w:t>0</w:t>
      </w:r>
      <w:r>
        <w:rPr>
          <w:rFonts w:hint="eastAsia" w:ascii="黑体" w:hAnsi="黑体" w:eastAsia="黑体" w:cs="黑体"/>
          <w:color w:val="auto"/>
          <w:highlight w:val="none"/>
        </w:rPr>
        <w:t>9:</w:t>
      </w:r>
      <w:r>
        <w:rPr>
          <w:rFonts w:hint="eastAsia" w:ascii="黑体" w:hAnsi="黑体" w:eastAsia="黑体" w:cs="黑体"/>
          <w:color w:val="auto"/>
          <w:highlight w:val="none"/>
          <w:lang w:val="en-US" w:eastAsia="zh-CN"/>
        </w:rPr>
        <w:t>0</w:t>
      </w:r>
      <w:r>
        <w:rPr>
          <w:rFonts w:hint="eastAsia" w:ascii="黑体" w:hAnsi="黑体" w:eastAsia="黑体" w:cs="黑体"/>
          <w:color w:val="auto"/>
          <w:highlight w:val="none"/>
        </w:rPr>
        <w:t>0时</w:t>
      </w:r>
    </w:p>
    <w:p>
      <w:pPr>
        <w:keepNext w:val="0"/>
        <w:keepLines w:val="0"/>
        <w:pageBreakBefore w:val="0"/>
        <w:tabs>
          <w:tab w:val="left" w:pos="900"/>
        </w:tabs>
        <w:kinsoku/>
        <w:overflowPunct/>
        <w:topLinePunct w:val="0"/>
        <w:autoSpaceDE/>
        <w:autoSpaceDN/>
        <w:bidi w:val="0"/>
        <w:adjustRightInd/>
        <w:snapToGrid w:val="0"/>
        <w:spacing w:line="360" w:lineRule="auto"/>
        <w:ind w:firstLine="540" w:firstLineChars="225"/>
        <w:textAlignment w:val="auto"/>
        <w:rPr>
          <w:rFonts w:hint="eastAsia" w:ascii="黑体" w:hAnsi="黑体" w:eastAsia="黑体" w:cs="黑体"/>
          <w:color w:val="auto"/>
          <w:highlight w:val="none"/>
        </w:rPr>
      </w:pPr>
      <w:r>
        <w:rPr>
          <w:rFonts w:hint="eastAsia" w:ascii="黑体" w:hAnsi="黑体" w:eastAsia="黑体" w:cs="黑体"/>
          <w:color w:val="auto"/>
          <w:highlight w:val="none"/>
        </w:rPr>
        <w:t>开标地点：线上</w:t>
      </w:r>
    </w:p>
    <w:p>
      <w:pPr>
        <w:keepNext w:val="0"/>
        <w:keepLines w:val="0"/>
        <w:pageBreakBefore w:val="0"/>
        <w:tabs>
          <w:tab w:val="left" w:pos="900"/>
        </w:tabs>
        <w:kinsoku/>
        <w:overflowPunct/>
        <w:topLinePunct w:val="0"/>
        <w:autoSpaceDE/>
        <w:autoSpaceDN/>
        <w:bidi w:val="0"/>
        <w:adjustRightInd/>
        <w:snapToGrid w:val="0"/>
        <w:spacing w:line="360" w:lineRule="auto"/>
        <w:ind w:firstLine="540" w:firstLineChars="225"/>
        <w:textAlignment w:val="auto"/>
        <w:rPr>
          <w:rFonts w:hint="eastAsia" w:ascii="黑体" w:hAnsi="黑体" w:eastAsia="黑体" w:cs="黑体"/>
          <w:color w:val="auto"/>
          <w:highlight w:val="none"/>
        </w:rPr>
      </w:pPr>
      <w:r>
        <w:rPr>
          <w:rFonts w:hint="eastAsia" w:ascii="黑体" w:hAnsi="黑体" w:eastAsia="黑体" w:cs="黑体"/>
          <w:color w:val="auto"/>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keepNext w:val="0"/>
        <w:keepLines w:val="0"/>
        <w:pageBreakBefore w:val="0"/>
        <w:tabs>
          <w:tab w:val="left" w:pos="900"/>
        </w:tabs>
        <w:kinsoku/>
        <w:overflowPunct/>
        <w:topLinePunct w:val="0"/>
        <w:autoSpaceDE/>
        <w:autoSpaceDN/>
        <w:bidi w:val="0"/>
        <w:adjustRightInd/>
        <w:snapToGrid w:val="0"/>
        <w:spacing w:line="360" w:lineRule="auto"/>
        <w:ind w:firstLine="0" w:firstLineChars="0"/>
        <w:textAlignment w:val="auto"/>
        <w:rPr>
          <w:rFonts w:hint="eastAsia" w:ascii="黑体" w:hAnsi="黑体" w:eastAsia="黑体" w:cs="黑体"/>
          <w:b/>
          <w:color w:val="auto"/>
          <w:kern w:val="0"/>
          <w:highlight w:val="none"/>
        </w:rPr>
      </w:pPr>
      <w:r>
        <w:rPr>
          <w:rFonts w:hint="eastAsia" w:ascii="黑体" w:hAnsi="黑体" w:eastAsia="黑体" w:cs="黑体"/>
          <w:b/>
          <w:color w:val="auto"/>
          <w:kern w:val="0"/>
          <w:highlight w:val="none"/>
        </w:rPr>
        <w:t>九、本次招标联系事项：</w:t>
      </w:r>
    </w:p>
    <w:p>
      <w:pPr>
        <w:keepNext w:val="0"/>
        <w:keepLines w:val="0"/>
        <w:pageBreakBefore w:val="0"/>
        <w:tabs>
          <w:tab w:val="left" w:pos="900"/>
        </w:tabs>
        <w:kinsoku/>
        <w:overflowPunct/>
        <w:topLinePunct w:val="0"/>
        <w:autoSpaceDE/>
        <w:autoSpaceDN/>
        <w:bidi w:val="0"/>
        <w:adjustRightInd/>
        <w:snapToGrid w:val="0"/>
        <w:spacing w:line="360" w:lineRule="auto"/>
        <w:ind w:left="420" w:firstLine="96" w:firstLineChars="40"/>
        <w:textAlignment w:val="auto"/>
        <w:rPr>
          <w:rFonts w:hint="eastAsia" w:ascii="黑体" w:hAnsi="黑体" w:eastAsia="黑体" w:cs="黑体"/>
          <w:color w:val="auto"/>
          <w:highlight w:val="none"/>
        </w:rPr>
      </w:pPr>
      <w:r>
        <w:rPr>
          <w:rFonts w:hint="eastAsia" w:ascii="黑体" w:hAnsi="黑体" w:eastAsia="黑体" w:cs="黑体"/>
          <w:color w:val="auto"/>
          <w:highlight w:val="none"/>
        </w:rPr>
        <w:t>欧邦工程管理有限公司</w:t>
      </w:r>
    </w:p>
    <w:p>
      <w:pPr>
        <w:keepNext w:val="0"/>
        <w:keepLines w:val="0"/>
        <w:pageBreakBefore w:val="0"/>
        <w:tabs>
          <w:tab w:val="left" w:pos="900"/>
        </w:tabs>
        <w:kinsoku/>
        <w:overflowPunct/>
        <w:topLinePunct w:val="0"/>
        <w:autoSpaceDE/>
        <w:autoSpaceDN/>
        <w:bidi w:val="0"/>
        <w:adjustRightInd/>
        <w:snapToGrid w:val="0"/>
        <w:spacing w:line="360" w:lineRule="auto"/>
        <w:ind w:left="420" w:firstLine="96" w:firstLineChars="40"/>
        <w:textAlignment w:val="auto"/>
        <w:rPr>
          <w:rFonts w:hint="eastAsia" w:ascii="黑体" w:hAnsi="黑体" w:eastAsia="黑体" w:cs="黑体"/>
          <w:color w:val="auto"/>
          <w:highlight w:val="none"/>
        </w:rPr>
      </w:pPr>
      <w:r>
        <w:rPr>
          <w:rFonts w:hint="eastAsia" w:ascii="黑体" w:hAnsi="黑体" w:eastAsia="黑体" w:cs="黑体"/>
          <w:color w:val="auto"/>
          <w:highlight w:val="none"/>
        </w:rPr>
        <w:t>联系人：潘女士  16657006009</w:t>
      </w:r>
    </w:p>
    <w:p>
      <w:pPr>
        <w:keepNext w:val="0"/>
        <w:keepLines w:val="0"/>
        <w:pageBreakBefore w:val="0"/>
        <w:tabs>
          <w:tab w:val="left" w:pos="900"/>
        </w:tabs>
        <w:kinsoku/>
        <w:overflowPunct/>
        <w:topLinePunct w:val="0"/>
        <w:autoSpaceDE/>
        <w:autoSpaceDN/>
        <w:bidi w:val="0"/>
        <w:adjustRightInd/>
        <w:snapToGrid w:val="0"/>
        <w:spacing w:line="360" w:lineRule="auto"/>
        <w:ind w:left="420" w:firstLine="96" w:firstLineChars="40"/>
        <w:textAlignment w:val="auto"/>
        <w:rPr>
          <w:rFonts w:hint="eastAsia" w:ascii="黑体" w:hAnsi="黑体" w:eastAsia="黑体" w:cs="黑体"/>
          <w:color w:val="auto"/>
          <w:highlight w:val="none"/>
        </w:rPr>
      </w:pPr>
      <w:r>
        <w:rPr>
          <w:rFonts w:hint="eastAsia" w:ascii="黑体" w:hAnsi="黑体" w:eastAsia="黑体" w:cs="黑体"/>
          <w:color w:val="auto"/>
          <w:highlight w:val="none"/>
        </w:rPr>
        <w:t>联系人：李先生  15257050188</w:t>
      </w:r>
    </w:p>
    <w:p>
      <w:pPr>
        <w:keepNext w:val="0"/>
        <w:keepLines w:val="0"/>
        <w:pageBreakBefore w:val="0"/>
        <w:tabs>
          <w:tab w:val="left" w:pos="900"/>
        </w:tabs>
        <w:kinsoku/>
        <w:overflowPunct/>
        <w:topLinePunct w:val="0"/>
        <w:autoSpaceDE/>
        <w:autoSpaceDN/>
        <w:bidi w:val="0"/>
        <w:adjustRightInd/>
        <w:snapToGrid w:val="0"/>
        <w:spacing w:line="360" w:lineRule="auto"/>
        <w:ind w:left="420" w:firstLine="96" w:firstLineChars="40"/>
        <w:textAlignment w:val="auto"/>
        <w:rPr>
          <w:rFonts w:hint="eastAsia" w:ascii="黑体" w:hAnsi="黑体" w:eastAsia="黑体" w:cs="黑体"/>
          <w:color w:val="auto"/>
          <w:highlight w:val="none"/>
        </w:rPr>
      </w:pPr>
      <w:r>
        <w:rPr>
          <w:rFonts w:hint="eastAsia" w:ascii="黑体" w:hAnsi="黑体" w:eastAsia="黑体" w:cs="黑体"/>
          <w:color w:val="auto"/>
          <w:highlight w:val="none"/>
        </w:rPr>
        <w:t>联系地址：龙游县龙洲街道向阳世家小区68幢二楼</w:t>
      </w:r>
    </w:p>
    <w:p>
      <w:pPr>
        <w:keepNext w:val="0"/>
        <w:keepLines w:val="0"/>
        <w:pageBreakBefore w:val="0"/>
        <w:tabs>
          <w:tab w:val="left" w:pos="900"/>
        </w:tabs>
        <w:kinsoku/>
        <w:overflowPunct/>
        <w:topLinePunct w:val="0"/>
        <w:autoSpaceDE/>
        <w:autoSpaceDN/>
        <w:bidi w:val="0"/>
        <w:adjustRightInd/>
        <w:snapToGrid w:val="0"/>
        <w:spacing w:line="360" w:lineRule="auto"/>
        <w:ind w:left="420" w:firstLine="96" w:firstLineChars="40"/>
        <w:textAlignment w:val="auto"/>
        <w:rPr>
          <w:rFonts w:hint="eastAsia" w:ascii="黑体" w:hAnsi="黑体" w:eastAsia="黑体" w:cs="黑体"/>
          <w:color w:val="auto"/>
          <w:highlight w:val="none"/>
        </w:rPr>
      </w:pPr>
      <w:r>
        <w:rPr>
          <w:rFonts w:hint="eastAsia" w:ascii="黑体" w:hAnsi="黑体" w:eastAsia="黑体" w:cs="黑体"/>
          <w:color w:val="auto"/>
          <w:highlight w:val="none"/>
        </w:rPr>
        <w:t>龙游县市场监督管理局</w:t>
      </w:r>
    </w:p>
    <w:p>
      <w:pPr>
        <w:keepNext w:val="0"/>
        <w:keepLines w:val="0"/>
        <w:pageBreakBefore w:val="0"/>
        <w:tabs>
          <w:tab w:val="left" w:pos="900"/>
        </w:tabs>
        <w:kinsoku/>
        <w:overflowPunct/>
        <w:topLinePunct w:val="0"/>
        <w:autoSpaceDE/>
        <w:autoSpaceDN/>
        <w:bidi w:val="0"/>
        <w:adjustRightInd/>
        <w:snapToGrid w:val="0"/>
        <w:spacing w:line="360" w:lineRule="auto"/>
        <w:ind w:left="420" w:firstLine="96" w:firstLineChars="40"/>
        <w:textAlignment w:val="auto"/>
        <w:rPr>
          <w:rFonts w:hint="default" w:ascii="黑体" w:hAnsi="黑体" w:eastAsia="黑体" w:cs="黑体"/>
          <w:color w:val="auto"/>
          <w:highlight w:val="none"/>
          <w:lang w:val="en-US" w:eastAsia="zh-CN"/>
        </w:rPr>
      </w:pPr>
      <w:r>
        <w:rPr>
          <w:rFonts w:hint="eastAsia" w:ascii="黑体" w:hAnsi="黑体" w:eastAsia="黑体" w:cs="黑体"/>
          <w:color w:val="auto"/>
          <w:highlight w:val="none"/>
        </w:rPr>
        <w:t>联系人：</w:t>
      </w:r>
      <w:r>
        <w:rPr>
          <w:rFonts w:hint="eastAsia" w:ascii="黑体" w:hAnsi="黑体" w:eastAsia="黑体" w:cs="黑体"/>
          <w:color w:val="auto"/>
          <w:highlight w:val="none"/>
          <w:lang w:eastAsia="zh-CN"/>
        </w:rPr>
        <w:t>留老师</w:t>
      </w:r>
      <w:r>
        <w:rPr>
          <w:rFonts w:hint="eastAsia" w:ascii="黑体" w:hAnsi="黑体" w:eastAsia="黑体" w:cs="黑体"/>
          <w:color w:val="auto"/>
          <w:highlight w:val="none"/>
          <w:lang w:val="en-US" w:eastAsia="zh-CN"/>
        </w:rPr>
        <w:t xml:space="preserve">   15068928286</w:t>
      </w:r>
    </w:p>
    <w:p>
      <w:pPr>
        <w:keepNext w:val="0"/>
        <w:keepLines w:val="0"/>
        <w:pageBreakBefore w:val="0"/>
        <w:tabs>
          <w:tab w:val="left" w:pos="900"/>
        </w:tabs>
        <w:kinsoku/>
        <w:overflowPunct/>
        <w:topLinePunct w:val="0"/>
        <w:autoSpaceDE/>
        <w:autoSpaceDN/>
        <w:bidi w:val="0"/>
        <w:adjustRightInd/>
        <w:snapToGrid w:val="0"/>
        <w:spacing w:line="360" w:lineRule="auto"/>
        <w:ind w:left="420" w:firstLine="96" w:firstLineChars="40"/>
        <w:textAlignment w:val="auto"/>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联系人：余老师   15158794695</w:t>
      </w:r>
    </w:p>
    <w:p>
      <w:pPr>
        <w:keepNext w:val="0"/>
        <w:keepLines w:val="0"/>
        <w:pageBreakBefore w:val="0"/>
        <w:tabs>
          <w:tab w:val="left" w:pos="900"/>
        </w:tabs>
        <w:kinsoku/>
        <w:overflowPunct/>
        <w:topLinePunct w:val="0"/>
        <w:autoSpaceDE/>
        <w:autoSpaceDN/>
        <w:bidi w:val="0"/>
        <w:adjustRightInd/>
        <w:snapToGrid w:val="0"/>
        <w:spacing w:line="360" w:lineRule="auto"/>
        <w:ind w:firstLine="0" w:firstLineChars="0"/>
        <w:textAlignment w:val="auto"/>
        <w:rPr>
          <w:rFonts w:hint="eastAsia" w:ascii="黑体" w:hAnsi="黑体" w:eastAsia="黑体" w:cs="黑体"/>
          <w:b/>
          <w:color w:val="auto"/>
          <w:highlight w:val="none"/>
        </w:rPr>
      </w:pPr>
      <w:r>
        <w:rPr>
          <w:rFonts w:hint="eastAsia" w:ascii="黑体" w:hAnsi="黑体" w:eastAsia="黑体" w:cs="黑体"/>
          <w:b/>
          <w:color w:val="auto"/>
          <w:highlight w:val="none"/>
        </w:rPr>
        <w:t>十、招标文件发布及下载地址：</w:t>
      </w:r>
    </w:p>
    <w:p>
      <w:pPr>
        <w:keepNext w:val="0"/>
        <w:keepLines w:val="0"/>
        <w:pageBreakBefore w:val="0"/>
        <w:kinsoku/>
        <w:overflowPunct/>
        <w:topLinePunct w:val="0"/>
        <w:autoSpaceDE/>
        <w:autoSpaceDN/>
        <w:bidi w:val="0"/>
        <w:adjustRightInd/>
        <w:spacing w:line="360" w:lineRule="auto"/>
        <w:ind w:firstLine="480"/>
        <w:jc w:val="left"/>
        <w:textAlignment w:val="auto"/>
        <w:rPr>
          <w:rFonts w:hint="eastAsia" w:ascii="黑体" w:hAnsi="黑体" w:eastAsia="黑体" w:cs="黑体"/>
          <w:color w:val="auto"/>
          <w:highlight w:val="none"/>
        </w:rPr>
      </w:pPr>
      <w:r>
        <w:rPr>
          <w:rFonts w:hint="eastAsia" w:ascii="黑体" w:hAnsi="黑体" w:eastAsia="黑体" w:cs="黑体"/>
          <w:color w:val="auto"/>
          <w:highlight w:val="none"/>
        </w:rPr>
        <w:t xml:space="preserve">浙江政府采购网          </w:t>
      </w:r>
      <w:r>
        <w:rPr>
          <w:rFonts w:hint="eastAsia" w:ascii="黑体" w:hAnsi="黑体" w:eastAsia="黑体" w:cs="黑体"/>
          <w:b/>
          <w:color w:val="auto"/>
          <w:highlight w:val="none"/>
        </w:rPr>
        <w:t>（</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"http://www.zjzfcg.gov.cn" </w:instrText>
      </w:r>
      <w:r>
        <w:rPr>
          <w:rFonts w:hint="eastAsia" w:ascii="黑体" w:hAnsi="黑体" w:eastAsia="黑体" w:cs="黑体"/>
          <w:color w:val="auto"/>
          <w:highlight w:val="none"/>
        </w:rPr>
        <w:fldChar w:fldCharType="separate"/>
      </w:r>
      <w:r>
        <w:rPr>
          <w:rStyle w:val="50"/>
          <w:rFonts w:hint="eastAsia" w:ascii="黑体" w:hAnsi="黑体" w:eastAsia="黑体" w:cs="黑体"/>
          <w:color w:val="auto"/>
          <w:highlight w:val="none"/>
        </w:rPr>
        <w:t>http://zfcg.czt.zj.gov.cn</w:t>
      </w:r>
      <w:r>
        <w:rPr>
          <w:rStyle w:val="50"/>
          <w:rFonts w:hint="eastAsia" w:ascii="黑体" w:hAnsi="黑体" w:eastAsia="黑体" w:cs="黑体"/>
          <w:color w:val="auto"/>
          <w:highlight w:val="none"/>
        </w:rPr>
        <w:fldChar w:fldCharType="end"/>
      </w:r>
      <w:r>
        <w:rPr>
          <w:rFonts w:hint="eastAsia" w:ascii="黑体" w:hAnsi="黑体" w:eastAsia="黑体" w:cs="黑体"/>
          <w:b/>
          <w:color w:val="auto"/>
          <w:highlight w:val="none"/>
        </w:rPr>
        <w:t>）</w:t>
      </w:r>
    </w:p>
    <w:p>
      <w:pPr>
        <w:keepNext w:val="0"/>
        <w:keepLines w:val="0"/>
        <w:pageBreakBefore w:val="0"/>
        <w:tabs>
          <w:tab w:val="left" w:pos="900"/>
        </w:tabs>
        <w:kinsoku/>
        <w:overflowPunct/>
        <w:topLinePunct w:val="0"/>
        <w:autoSpaceDE/>
        <w:autoSpaceDN/>
        <w:bidi w:val="0"/>
        <w:adjustRightInd/>
        <w:snapToGrid w:val="0"/>
        <w:spacing w:line="360" w:lineRule="auto"/>
        <w:ind w:firstLine="0" w:firstLineChars="0"/>
        <w:textAlignment w:val="auto"/>
        <w:rPr>
          <w:rFonts w:hint="eastAsia" w:ascii="黑体" w:hAnsi="黑体" w:eastAsia="黑体" w:cs="黑体"/>
          <w:b/>
          <w:color w:val="auto"/>
          <w:highlight w:val="none"/>
        </w:rPr>
      </w:pPr>
      <w:r>
        <w:rPr>
          <w:rFonts w:hint="eastAsia" w:ascii="黑体" w:hAnsi="黑体" w:eastAsia="黑体" w:cs="黑体"/>
          <w:b/>
          <w:color w:val="auto"/>
          <w:highlight w:val="none"/>
        </w:rPr>
        <w:t>十一、其他：</w:t>
      </w:r>
    </w:p>
    <w:p>
      <w:pPr>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1.未注册加入浙江省政府采购供应商库的供应商一旦被确定为成交供应商的，应当在《成交通知书》发出前的三个工作日内按《关于印发浙江省政府投标人注册及诚信管理暂行办法通知》[浙财采监字〔2009〕28号]文件的规定进行注册申请，否则，欧邦工程管理有限公司将拒绝向其发出《成交通知书》，并可以直接推荐排名次之的供应商为成交供应商，或者重新组织招标。</w:t>
      </w:r>
    </w:p>
    <w:p>
      <w:pPr>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2.质疑和投诉：供应商如认为招标文件、采购过程和中标结果使自身的合法权益受到损害的，可以在知道或者应知其权益受到损害之日起七个工作日内，以书面形式向欧邦工程管理有限公司提出质疑。</w:t>
      </w:r>
    </w:p>
    <w:p>
      <w:pPr>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3.供应商对欧邦工程管理有限公司的质疑答复不满意或者欧邦工程管理有限公司未在规定时间内作出答复的，可以在答复期满后十五个工作日内向龙游县财政局政府采购监管科政府采购监管科</w:t>
      </w:r>
      <w:r>
        <w:rPr>
          <w:rFonts w:hint="eastAsia" w:ascii="黑体" w:hAnsi="黑体" w:eastAsia="黑体" w:cs="黑体"/>
          <w:color w:val="auto"/>
          <w:highlight w:val="none"/>
          <w:lang w:val="zh-CN"/>
        </w:rPr>
        <w:t>投诉。</w:t>
      </w:r>
      <w:r>
        <w:rPr>
          <w:rFonts w:hint="eastAsia" w:ascii="黑体" w:hAnsi="黑体" w:eastAsia="黑体" w:cs="黑体"/>
          <w:color w:val="auto"/>
          <w:highlight w:val="none"/>
        </w:rPr>
        <w:t>（电话：0570-7011687）。</w:t>
      </w:r>
    </w:p>
    <w:p>
      <w:pPr>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 xml:space="preserve">4.本次招标采取开标后资格审查。 </w:t>
      </w:r>
    </w:p>
    <w:p>
      <w:pPr>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 xml:space="preserve">5.新型冠状病毒感染的肺炎疫情防控期间，投标人的法定代表人（或其委托代人） 无须出席开标现场会议。 </w:t>
      </w:r>
    </w:p>
    <w:p>
      <w:pPr>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 xml:space="preserve">6.本采购公告中附件的采购文件仅供阅览使用，潜在供应商应当按照本采购公告 规定方式获取采购文件，未按照规定方式获取的采购文件的，对采购文件提起质疑投 诉不予受理。 </w:t>
      </w:r>
    </w:p>
    <w:p>
      <w:pPr>
        <w:keepNext w:val="0"/>
        <w:keepLines w:val="0"/>
        <w:pageBreakBefore w:val="0"/>
        <w:kinsoku/>
        <w:overflowPunct/>
        <w:topLinePunct w:val="0"/>
        <w:autoSpaceDE/>
        <w:autoSpaceDN/>
        <w:bidi w:val="0"/>
        <w:adjustRightInd/>
        <w:snapToGrid w:val="0"/>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7.为确保招投标活动的公开、公平、公正，切实维护各方合法权益，凡在招标投标、开标评标过程中，受到敲诈、勒索或发现围标串标、虚假投标、恶意竞标等涉黑涉恶线索者，请及时保留相关证据并向有关部门举报。</w:t>
      </w:r>
    </w:p>
    <w:p>
      <w:pPr>
        <w:keepNext w:val="0"/>
        <w:keepLines w:val="0"/>
        <w:pageBreakBefore w:val="0"/>
        <w:kinsoku/>
        <w:overflowPunct/>
        <w:topLinePunct w:val="0"/>
        <w:autoSpaceDE/>
        <w:autoSpaceDN/>
        <w:bidi w:val="0"/>
        <w:adjustRightInd/>
        <w:snapToGrid w:val="0"/>
        <w:spacing w:line="360" w:lineRule="auto"/>
        <w:ind w:firstLine="0" w:firstLineChars="0"/>
        <w:textAlignment w:val="auto"/>
        <w:rPr>
          <w:rFonts w:hint="eastAsia" w:ascii="黑体" w:hAnsi="黑体" w:eastAsia="黑体" w:cs="黑体"/>
          <w:color w:val="auto"/>
          <w:highlight w:val="none"/>
        </w:rPr>
      </w:pPr>
      <w:r>
        <w:rPr>
          <w:rFonts w:hint="eastAsia" w:ascii="黑体" w:hAnsi="黑体" w:eastAsia="黑体" w:cs="黑体"/>
          <w:b/>
          <w:color w:val="auto"/>
          <w:highlight w:val="none"/>
        </w:rPr>
        <w:t>十二、电子投标注意事项:</w:t>
      </w:r>
    </w:p>
    <w:p>
      <w:pPr>
        <w:keepNext w:val="0"/>
        <w:keepLines w:val="0"/>
        <w:pageBreakBefore w:val="0"/>
        <w:tabs>
          <w:tab w:val="left" w:pos="900"/>
        </w:tabs>
        <w:kinsoku/>
        <w:overflowPunct/>
        <w:topLinePunct w:val="0"/>
        <w:autoSpaceDE/>
        <w:autoSpaceDN/>
        <w:bidi w:val="0"/>
        <w:adjustRightInd/>
        <w:snapToGrid w:val="0"/>
        <w:spacing w:line="360" w:lineRule="auto"/>
        <w:ind w:firstLine="540" w:firstLineChars="225"/>
        <w:textAlignment w:val="auto"/>
        <w:rPr>
          <w:rFonts w:hint="eastAsia" w:ascii="黑体" w:hAnsi="黑体" w:eastAsia="黑体" w:cs="黑体"/>
          <w:color w:val="auto"/>
          <w:highlight w:val="none"/>
        </w:rPr>
      </w:pPr>
      <w:r>
        <w:rPr>
          <w:rFonts w:hint="eastAsia" w:ascii="黑体" w:hAnsi="黑体" w:eastAsia="黑体" w:cs="黑体"/>
          <w:color w:val="auto"/>
          <w:highlight w:val="none"/>
        </w:rPr>
        <w:t>1.请务必确保投标文件制作客户端为最新版本，旧版本可能导致投标文件解密失败。</w:t>
      </w:r>
    </w:p>
    <w:p>
      <w:pPr>
        <w:keepNext w:val="0"/>
        <w:keepLines w:val="0"/>
        <w:pageBreakBefore w:val="0"/>
        <w:tabs>
          <w:tab w:val="left" w:pos="900"/>
        </w:tabs>
        <w:kinsoku/>
        <w:overflowPunct/>
        <w:topLinePunct w:val="0"/>
        <w:autoSpaceDE/>
        <w:autoSpaceDN/>
        <w:bidi w:val="0"/>
        <w:adjustRightInd/>
        <w:snapToGrid w:val="0"/>
        <w:spacing w:line="360" w:lineRule="auto"/>
        <w:ind w:firstLine="540" w:firstLineChars="225"/>
        <w:textAlignment w:val="auto"/>
        <w:rPr>
          <w:rFonts w:hint="eastAsia" w:ascii="黑体" w:hAnsi="黑体" w:eastAsia="黑体" w:cs="黑体"/>
          <w:color w:val="auto"/>
          <w:highlight w:val="none"/>
        </w:rPr>
      </w:pPr>
      <w:r>
        <w:rPr>
          <w:rFonts w:hint="eastAsia" w:ascii="黑体" w:hAnsi="黑体" w:eastAsia="黑体" w:cs="黑体"/>
          <w:color w:val="auto"/>
          <w:highlight w:val="none"/>
        </w:rPr>
        <w:t>2.请务必确保投标文件制作时所用的 CA锁与投标文件解密时的CA锁为同一把，否则可能导致投标文件解密失败。</w:t>
      </w:r>
    </w:p>
    <w:p>
      <w:pPr>
        <w:keepNext w:val="0"/>
        <w:keepLines w:val="0"/>
        <w:pageBreakBefore w:val="0"/>
        <w:tabs>
          <w:tab w:val="left" w:pos="900"/>
        </w:tabs>
        <w:kinsoku/>
        <w:overflowPunct/>
        <w:topLinePunct w:val="0"/>
        <w:autoSpaceDE/>
        <w:autoSpaceDN/>
        <w:bidi w:val="0"/>
        <w:adjustRightInd/>
        <w:snapToGrid w:val="0"/>
        <w:spacing w:line="360" w:lineRule="auto"/>
        <w:ind w:firstLine="540" w:firstLineChars="225"/>
        <w:textAlignment w:val="auto"/>
        <w:rPr>
          <w:rFonts w:hint="eastAsia" w:ascii="黑体" w:hAnsi="黑体" w:eastAsia="黑体" w:cs="黑体"/>
          <w:color w:val="auto"/>
          <w:highlight w:val="none"/>
        </w:rPr>
      </w:pPr>
      <w:r>
        <w:rPr>
          <w:rFonts w:hint="eastAsia" w:ascii="黑体" w:hAnsi="黑体" w:eastAsia="黑体" w:cs="黑体"/>
          <w:color w:val="auto"/>
          <w:highlight w:val="none"/>
        </w:rPr>
        <w:t>3.在投标文件解密前，请务必检验CA锁与所用电脑的兼容性，部分电脑因 CA驱动未正常安装、USB接口兼容性差等原因可能造成投标文件解密失败。</w:t>
      </w:r>
    </w:p>
    <w:p>
      <w:pPr>
        <w:keepNext w:val="0"/>
        <w:keepLines w:val="0"/>
        <w:pageBreakBefore w:val="0"/>
        <w:tabs>
          <w:tab w:val="left" w:pos="900"/>
        </w:tabs>
        <w:kinsoku/>
        <w:overflowPunct/>
        <w:topLinePunct w:val="0"/>
        <w:autoSpaceDE/>
        <w:autoSpaceDN/>
        <w:bidi w:val="0"/>
        <w:adjustRightInd/>
        <w:snapToGrid w:val="0"/>
        <w:spacing w:line="360" w:lineRule="auto"/>
        <w:ind w:firstLine="540" w:firstLineChars="225"/>
        <w:textAlignment w:val="auto"/>
        <w:rPr>
          <w:rFonts w:hint="eastAsia" w:ascii="黑体" w:hAnsi="黑体" w:eastAsia="黑体" w:cs="黑体"/>
          <w:color w:val="auto"/>
          <w:highlight w:val="none"/>
        </w:rPr>
      </w:pPr>
    </w:p>
    <w:p>
      <w:pPr>
        <w:keepNext w:val="0"/>
        <w:keepLines w:val="0"/>
        <w:pageBreakBefore w:val="0"/>
        <w:kinsoku/>
        <w:overflowPunct/>
        <w:topLinePunct w:val="0"/>
        <w:autoSpaceDE/>
        <w:autoSpaceDN/>
        <w:bidi w:val="0"/>
        <w:adjustRightInd/>
        <w:snapToGrid w:val="0"/>
        <w:spacing w:line="360" w:lineRule="auto"/>
        <w:ind w:firstLine="4440" w:firstLineChars="1850"/>
        <w:textAlignment w:val="auto"/>
        <w:rPr>
          <w:rFonts w:hint="eastAsia" w:ascii="黑体" w:hAnsi="黑体" w:eastAsia="黑体" w:cs="黑体"/>
          <w:color w:val="auto"/>
          <w:highlight w:val="none"/>
        </w:rPr>
      </w:pPr>
      <w:r>
        <w:rPr>
          <w:rFonts w:hint="eastAsia" w:ascii="黑体" w:hAnsi="黑体" w:eastAsia="黑体" w:cs="黑体"/>
          <w:color w:val="auto"/>
          <w:highlight w:val="none"/>
        </w:rPr>
        <w:t>招   标   人：龙游县市场监督管理局</w:t>
      </w:r>
    </w:p>
    <w:p>
      <w:pPr>
        <w:keepNext w:val="0"/>
        <w:keepLines w:val="0"/>
        <w:pageBreakBefore w:val="0"/>
        <w:kinsoku/>
        <w:overflowPunct/>
        <w:topLinePunct w:val="0"/>
        <w:autoSpaceDE/>
        <w:autoSpaceDN/>
        <w:bidi w:val="0"/>
        <w:adjustRightInd/>
        <w:spacing w:line="360" w:lineRule="auto"/>
        <w:ind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 xml:space="preserve">                                 招标代理机构：欧邦工程管理有限公司</w:t>
      </w:r>
    </w:p>
    <w:p>
      <w:pPr>
        <w:keepNext w:val="0"/>
        <w:keepLines w:val="0"/>
        <w:pageBreakBefore w:val="0"/>
        <w:kinsoku/>
        <w:overflowPunct/>
        <w:topLinePunct w:val="0"/>
        <w:autoSpaceDE/>
        <w:autoSpaceDN/>
        <w:bidi w:val="0"/>
        <w:adjustRightInd/>
        <w:spacing w:line="360" w:lineRule="auto"/>
        <w:ind w:right="480" w:firstLine="480"/>
        <w:textAlignment w:val="auto"/>
        <w:rPr>
          <w:rFonts w:hint="eastAsia" w:ascii="黑体" w:hAnsi="黑体" w:eastAsia="黑体" w:cs="黑体"/>
          <w:color w:val="auto"/>
          <w:highlight w:val="none"/>
        </w:rPr>
      </w:pPr>
      <w:r>
        <w:rPr>
          <w:rFonts w:hint="eastAsia" w:ascii="黑体" w:hAnsi="黑体" w:eastAsia="黑体" w:cs="黑体"/>
          <w:color w:val="auto"/>
          <w:highlight w:val="none"/>
        </w:rPr>
        <w:t xml:space="preserve">                                        日 期：2021年</w:t>
      </w:r>
      <w:r>
        <w:rPr>
          <w:rFonts w:hint="eastAsia" w:ascii="黑体" w:hAnsi="黑体" w:eastAsia="黑体" w:cs="黑体"/>
          <w:color w:val="auto"/>
          <w:highlight w:val="none"/>
          <w:lang w:val="en-US" w:eastAsia="zh-CN"/>
        </w:rPr>
        <w:t>12</w:t>
      </w:r>
      <w:r>
        <w:rPr>
          <w:rFonts w:hint="eastAsia" w:ascii="黑体" w:hAnsi="黑体" w:eastAsia="黑体" w:cs="黑体"/>
          <w:color w:val="auto"/>
          <w:highlight w:val="none"/>
        </w:rPr>
        <w:t>月</w:t>
      </w:r>
      <w:r>
        <w:rPr>
          <w:rFonts w:hint="eastAsia" w:ascii="黑体" w:hAnsi="黑体" w:eastAsia="黑体" w:cs="黑体"/>
          <w:color w:val="auto"/>
          <w:highlight w:val="none"/>
          <w:lang w:val="en-US" w:eastAsia="zh-CN"/>
        </w:rPr>
        <w:t>03</w:t>
      </w:r>
      <w:r>
        <w:rPr>
          <w:rFonts w:hint="eastAsia" w:ascii="黑体" w:hAnsi="黑体" w:eastAsia="黑体" w:cs="黑体"/>
          <w:color w:val="auto"/>
          <w:highlight w:val="none"/>
        </w:rPr>
        <w:t>日</w:t>
      </w:r>
    </w:p>
    <w:bookmarkEnd w:id="9"/>
    <w:bookmarkEnd w:id="10"/>
    <w:bookmarkEnd w:id="11"/>
    <w:bookmarkEnd w:id="12"/>
    <w:bookmarkEnd w:id="13"/>
    <w:bookmarkEnd w:id="14"/>
    <w:p>
      <w:pPr>
        <w:pStyle w:val="31"/>
        <w:ind w:firstLine="2168" w:firstLineChars="600"/>
        <w:jc w:val="both"/>
        <w:rPr>
          <w:rFonts w:hint="eastAsia" w:ascii="黑体" w:hAnsi="黑体" w:eastAsia="黑体" w:cs="黑体"/>
          <w:color w:val="auto"/>
          <w:sz w:val="36"/>
          <w:szCs w:val="36"/>
          <w:highlight w:val="none"/>
        </w:rPr>
      </w:pPr>
      <w:bookmarkStart w:id="15" w:name="_Toc15896"/>
      <w:bookmarkStart w:id="16" w:name="_Toc524531972"/>
      <w:bookmarkStart w:id="17" w:name="_Toc3267"/>
      <w:bookmarkStart w:id="18" w:name="_Toc27512"/>
      <w:bookmarkStart w:id="19" w:name="_Toc50628048"/>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p>
    <w:p>
      <w:pPr>
        <w:pStyle w:val="31"/>
        <w:ind w:firstLine="2168" w:firstLineChars="600"/>
        <w:jc w:val="both"/>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第二章 投标须知前附表及投标须知</w:t>
      </w:r>
      <w:bookmarkEnd w:id="15"/>
      <w:bookmarkEnd w:id="16"/>
      <w:bookmarkEnd w:id="17"/>
      <w:bookmarkEnd w:id="18"/>
      <w:bookmarkEnd w:id="19"/>
      <w:bookmarkStart w:id="20" w:name="_Toc366144029"/>
      <w:bookmarkStart w:id="21" w:name="_Toc356371431"/>
      <w:bookmarkStart w:id="22" w:name="_Toc18416"/>
      <w:bookmarkStart w:id="23" w:name="_Toc9164"/>
      <w:bookmarkStart w:id="24" w:name="_Toc524531973"/>
      <w:bookmarkStart w:id="25" w:name="_Toc7634"/>
    </w:p>
    <w:p>
      <w:pPr>
        <w:ind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投标须知前附表</w:t>
      </w:r>
      <w:bookmarkEnd w:id="20"/>
      <w:bookmarkEnd w:id="21"/>
      <w:bookmarkEnd w:id="22"/>
      <w:bookmarkEnd w:id="23"/>
      <w:bookmarkEnd w:id="24"/>
      <w:bookmarkEnd w:id="25"/>
    </w:p>
    <w:tbl>
      <w:tblPr>
        <w:tblStyle w:val="34"/>
        <w:tblW w:w="9962" w:type="dxa"/>
        <w:jc w:val="center"/>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04"/>
        <w:gridCol w:w="6877"/>
      </w:tblGrid>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序号</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内容</w:t>
            </w:r>
          </w:p>
        </w:tc>
        <w:tc>
          <w:tcPr>
            <w:tcW w:w="6877"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说明与要求</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采购人</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龙游县市场监督管理局</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项目名称</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龙游县市场监督管理局2022年-2023年食品安全监督抽检项目</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3</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采购方式</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公开招标</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4</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检测服务采购总预算</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799</w:t>
            </w:r>
            <w:r>
              <w:rPr>
                <w:rFonts w:hint="eastAsia" w:ascii="黑体" w:hAnsi="黑体" w:eastAsia="黑体" w:cs="黑体"/>
                <w:color w:val="auto"/>
                <w:sz w:val="21"/>
                <w:szCs w:val="21"/>
                <w:highlight w:val="none"/>
              </w:rPr>
              <w:t>万元</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5</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投标人资格要求</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详见招标公告</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6</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投标有效期</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投标文件递交截止之日起90天</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7</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公开招标响应文件格式、制作及组成</w:t>
            </w:r>
          </w:p>
        </w:tc>
        <w:tc>
          <w:tcPr>
            <w:tcW w:w="6877" w:type="dxa"/>
            <w:tcBorders>
              <w:tl2br w:val="nil"/>
              <w:tr2bl w:val="nil"/>
            </w:tcBorders>
            <w:vAlign w:val="center"/>
          </w:tcPr>
          <w:p>
            <w:pPr>
              <w:wordWrap w:val="0"/>
              <w:autoSpaceDE w:val="0"/>
              <w:autoSpaceDN w:val="0"/>
              <w:adjustRightIn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投标人应准备电子投标文件、纸质备份投标文件：</w:t>
            </w:r>
          </w:p>
          <w:p>
            <w:pPr>
              <w:wordWrap w:val="0"/>
              <w:autoSpaceDE w:val="0"/>
              <w:autoSpaceDN w:val="0"/>
              <w:adjustRightIn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（1）电子投标文件，按政采云平台供应商项目采购-电子招投标操作指南（网址：https://help.zcygov.cn/web/site_2/2018/12-28/2573.html）及本招标文件要求递交。</w:t>
            </w:r>
          </w:p>
          <w:p>
            <w:pPr>
              <w:wordWrap w:val="0"/>
              <w:autoSpaceDE w:val="0"/>
              <w:autoSpaceDN w:val="0"/>
              <w:adjustRightIn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w:t>
            </w:r>
            <w:r>
              <w:rPr>
                <w:rFonts w:hint="eastAsia" w:ascii="黑体" w:hAnsi="黑体" w:eastAsia="黑体" w:cs="黑体"/>
                <w:color w:val="auto"/>
                <w:sz w:val="21"/>
                <w:szCs w:val="21"/>
                <w:highlight w:val="none"/>
                <w:u w:val="single"/>
              </w:rPr>
              <w:t>纸质备份和电子备份(U盘)</w:t>
            </w:r>
            <w:r>
              <w:rPr>
                <w:rFonts w:hint="eastAsia" w:ascii="黑体" w:hAnsi="黑体" w:eastAsia="黑体" w:cs="黑体"/>
                <w:color w:val="auto"/>
                <w:sz w:val="21"/>
                <w:szCs w:val="21"/>
                <w:highlight w:val="none"/>
              </w:rPr>
              <w:t>响应文件系电子响应文件纸质版和电子版，两者内容应一致，以备份文件的形式邮寄。数量为：资格证明文件正本 1 份；技术商务文件正本1份；报价文件正本 1 份；电子版响应文件U盘。</w:t>
            </w:r>
          </w:p>
          <w:p>
            <w:pPr>
              <w:wordWrap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注：</w:t>
            </w:r>
            <w:r>
              <w:rPr>
                <w:rFonts w:hint="eastAsia" w:ascii="黑体" w:hAnsi="黑体" w:eastAsia="黑体" w:cs="黑体"/>
                <w:color w:val="auto"/>
                <w:sz w:val="21"/>
                <w:szCs w:val="21"/>
                <w:highlight w:val="none"/>
                <w:u w:val="single"/>
              </w:rPr>
              <w:t>（项目评标结束之后，中标单位需再提供响应文件副本2份用于采购方备案）</w:t>
            </w:r>
            <w:r>
              <w:rPr>
                <w:rFonts w:hint="eastAsia" w:ascii="黑体" w:hAnsi="黑体" w:eastAsia="黑体" w:cs="黑体"/>
                <w:color w:val="auto"/>
                <w:sz w:val="21"/>
                <w:szCs w:val="21"/>
                <w:highlight w:val="none"/>
              </w:rPr>
              <w:t>纸质版投标响应文件纸质版应装订成册，建议胶装。</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8</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pacing w:val="-20"/>
                <w:sz w:val="21"/>
                <w:szCs w:val="21"/>
                <w:highlight w:val="none"/>
              </w:rPr>
            </w:pPr>
            <w:r>
              <w:rPr>
                <w:rFonts w:hint="eastAsia" w:ascii="黑体" w:hAnsi="黑体" w:eastAsia="黑体" w:cs="黑体"/>
                <w:color w:val="auto"/>
                <w:sz w:val="21"/>
                <w:szCs w:val="21"/>
                <w:highlight w:val="none"/>
              </w:rPr>
              <w:t>电子投标文件的传输递交</w:t>
            </w:r>
          </w:p>
        </w:tc>
        <w:tc>
          <w:tcPr>
            <w:tcW w:w="6877" w:type="dxa"/>
            <w:tcBorders>
              <w:tl2br w:val="nil"/>
              <w:tr2bl w:val="nil"/>
            </w:tcBorders>
            <w:vAlign w:val="center"/>
          </w:tcPr>
          <w:p>
            <w:pPr>
              <w:autoSpaceDE w:val="0"/>
              <w:autoSpaceDN w:val="0"/>
              <w:adjustRightIn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r>
              <w:rPr>
                <w:rFonts w:hint="eastAsia" w:ascii="黑体" w:hAnsi="黑体" w:eastAsia="黑体" w:cs="黑体"/>
                <w:b/>
                <w:bCs/>
                <w:color w:val="auto"/>
                <w:sz w:val="21"/>
                <w:szCs w:val="21"/>
                <w:highlight w:val="none"/>
              </w:rPr>
              <w:t>供应商应在投标截止时间起半小时内完成电子响应文件的解密。</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9</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投标文件递交截止时间</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2021年</w:t>
            </w:r>
            <w:r>
              <w:rPr>
                <w:rFonts w:hint="eastAsia" w:ascii="黑体" w:hAnsi="黑体" w:eastAsia="黑体" w:cs="黑体"/>
                <w:color w:val="auto"/>
                <w:sz w:val="21"/>
                <w:szCs w:val="21"/>
                <w:highlight w:val="none"/>
                <w:lang w:val="en-US" w:eastAsia="zh-CN"/>
              </w:rPr>
              <w:t>12</w:t>
            </w:r>
            <w:r>
              <w:rPr>
                <w:rFonts w:hint="eastAsia" w:ascii="黑体" w:hAnsi="黑体" w:eastAsia="黑体" w:cs="黑体"/>
                <w:color w:val="auto"/>
                <w:sz w:val="21"/>
                <w:szCs w:val="21"/>
                <w:highlight w:val="none"/>
              </w:rPr>
              <w:t>月</w:t>
            </w:r>
            <w:r>
              <w:rPr>
                <w:rFonts w:hint="eastAsia" w:ascii="黑体" w:hAnsi="黑体" w:eastAsia="黑体" w:cs="黑体"/>
                <w:color w:val="auto"/>
                <w:sz w:val="21"/>
                <w:szCs w:val="21"/>
                <w:highlight w:val="none"/>
                <w:lang w:val="en-US" w:eastAsia="zh-CN"/>
              </w:rPr>
              <w:t>28</w:t>
            </w:r>
            <w:r>
              <w:rPr>
                <w:rFonts w:hint="eastAsia" w:ascii="黑体" w:hAnsi="黑体" w:eastAsia="黑体" w:cs="黑体"/>
                <w:color w:val="auto"/>
                <w:sz w:val="21"/>
                <w:szCs w:val="21"/>
                <w:highlight w:val="none"/>
              </w:rPr>
              <w:t>日09:</w:t>
            </w:r>
            <w:r>
              <w:rPr>
                <w:rFonts w:hint="eastAsia" w:ascii="黑体" w:hAnsi="黑体" w:eastAsia="黑体" w:cs="黑体"/>
                <w:color w:val="auto"/>
                <w:sz w:val="21"/>
                <w:szCs w:val="21"/>
                <w:highlight w:val="none"/>
                <w:lang w:val="en-US" w:eastAsia="zh-CN"/>
              </w:rPr>
              <w:t>0</w:t>
            </w:r>
            <w:r>
              <w:rPr>
                <w:rFonts w:hint="eastAsia" w:ascii="黑体" w:hAnsi="黑体" w:eastAsia="黑体" w:cs="黑体"/>
                <w:color w:val="auto"/>
                <w:sz w:val="21"/>
                <w:szCs w:val="21"/>
                <w:highlight w:val="none"/>
              </w:rPr>
              <w:t>0前（北京时间）</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10</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pacing w:val="-20"/>
                <w:sz w:val="21"/>
                <w:szCs w:val="21"/>
                <w:highlight w:val="none"/>
              </w:rPr>
            </w:pPr>
            <w:r>
              <w:rPr>
                <w:rFonts w:hint="eastAsia" w:ascii="黑体" w:hAnsi="黑体" w:eastAsia="黑体" w:cs="黑体"/>
                <w:color w:val="auto"/>
                <w:sz w:val="21"/>
                <w:szCs w:val="21"/>
                <w:highlight w:val="none"/>
              </w:rPr>
              <w:t>开标地点</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线上</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11</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pacing w:val="-20"/>
                <w:sz w:val="21"/>
                <w:szCs w:val="21"/>
                <w:highlight w:val="none"/>
              </w:rPr>
            </w:pPr>
            <w:r>
              <w:rPr>
                <w:rFonts w:hint="eastAsia" w:ascii="黑体" w:hAnsi="黑体" w:eastAsia="黑体" w:cs="黑体"/>
                <w:color w:val="auto"/>
                <w:sz w:val="21"/>
                <w:szCs w:val="21"/>
                <w:highlight w:val="none"/>
              </w:rPr>
              <w:t>评标地点</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龙游县公共资源交易中心1楼评标室</w:t>
            </w:r>
            <w:r>
              <w:rPr>
                <w:rFonts w:hint="eastAsia" w:ascii="黑体" w:hAnsi="黑体" w:eastAsia="黑体" w:cs="黑体"/>
                <w:color w:val="auto"/>
                <w:sz w:val="21"/>
                <w:szCs w:val="21"/>
                <w:highlight w:val="none"/>
                <w:lang w:val="en-US" w:eastAsia="zh-CN"/>
              </w:rPr>
              <w:t>2</w:t>
            </w:r>
            <w:r>
              <w:rPr>
                <w:rFonts w:hint="eastAsia" w:ascii="黑体" w:hAnsi="黑体" w:eastAsia="黑体" w:cs="黑体"/>
                <w:color w:val="auto"/>
                <w:sz w:val="21"/>
                <w:szCs w:val="21"/>
                <w:highlight w:val="none"/>
              </w:rPr>
              <w:t>（龙游县龙翔路378号，原香溢市场西侧）</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12</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开标时间</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2021年</w:t>
            </w:r>
            <w:r>
              <w:rPr>
                <w:rFonts w:hint="eastAsia" w:ascii="黑体" w:hAnsi="黑体" w:eastAsia="黑体" w:cs="黑体"/>
                <w:color w:val="auto"/>
                <w:sz w:val="21"/>
                <w:szCs w:val="21"/>
                <w:highlight w:val="none"/>
                <w:lang w:val="en-US" w:eastAsia="zh-CN"/>
              </w:rPr>
              <w:t>12</w:t>
            </w:r>
            <w:r>
              <w:rPr>
                <w:rFonts w:hint="eastAsia" w:ascii="黑体" w:hAnsi="黑体" w:eastAsia="黑体" w:cs="黑体"/>
                <w:color w:val="auto"/>
                <w:sz w:val="21"/>
                <w:szCs w:val="21"/>
                <w:highlight w:val="none"/>
              </w:rPr>
              <w:t>月</w:t>
            </w:r>
            <w:r>
              <w:rPr>
                <w:rFonts w:hint="eastAsia" w:ascii="黑体" w:hAnsi="黑体" w:eastAsia="黑体" w:cs="黑体"/>
                <w:color w:val="auto"/>
                <w:sz w:val="21"/>
                <w:szCs w:val="21"/>
                <w:highlight w:val="none"/>
                <w:lang w:val="en-US" w:eastAsia="zh-CN"/>
              </w:rPr>
              <w:t>28</w:t>
            </w:r>
            <w:r>
              <w:rPr>
                <w:rFonts w:hint="eastAsia" w:ascii="黑体" w:hAnsi="黑体" w:eastAsia="黑体" w:cs="黑体"/>
                <w:color w:val="auto"/>
                <w:sz w:val="21"/>
                <w:szCs w:val="21"/>
                <w:highlight w:val="none"/>
              </w:rPr>
              <w:t>日09:</w:t>
            </w:r>
            <w:r>
              <w:rPr>
                <w:rFonts w:hint="eastAsia" w:ascii="黑体" w:hAnsi="黑体" w:eastAsia="黑体" w:cs="黑体"/>
                <w:color w:val="auto"/>
                <w:sz w:val="21"/>
                <w:szCs w:val="21"/>
                <w:highlight w:val="none"/>
                <w:lang w:val="en-US" w:eastAsia="zh-CN"/>
              </w:rPr>
              <w:t>00</w:t>
            </w:r>
            <w:r>
              <w:rPr>
                <w:rFonts w:hint="eastAsia" w:ascii="黑体" w:hAnsi="黑体" w:eastAsia="黑体" w:cs="黑体"/>
                <w:color w:val="auto"/>
                <w:sz w:val="21"/>
                <w:szCs w:val="21"/>
                <w:highlight w:val="none"/>
              </w:rPr>
              <w:t>时（北京时间）</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13</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签订合同</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中标通知书发出后30日内签订合同。</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14</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履约保证金交纳</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中标人在合同签订前向采购人交纳中标金额2%的履约保证金。</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15</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履约保证金退还</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合同履行完毕后七个工作日内无息退还。</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16</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联合体投标</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本项目不接受联合体投标</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17</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踏勘现场</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不组织</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18</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样品</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不提供</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19</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演示</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不要求</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20</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采购进口产品</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本项目不允许采购进口产品</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21</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节能产品</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不适用</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22</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环境标志产品</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不适用</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23</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小微企业有关政策</w:t>
            </w:r>
          </w:p>
        </w:tc>
        <w:tc>
          <w:tcPr>
            <w:tcW w:w="6877" w:type="dxa"/>
            <w:tcBorders>
              <w:tl2br w:val="nil"/>
              <w:tr2bl w:val="nil"/>
            </w:tcBorders>
            <w:vAlign w:val="center"/>
          </w:tcPr>
          <w:p>
            <w:pPr>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1、根据财库〔2011〕181号的相关规定，在评审时对小型和微型企业的投标报价给予 6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2% 的价格扣除，须同时提供联合体协议约定（包含小型、微型企业的协议合同份额）。</w:t>
            </w:r>
          </w:p>
          <w:p>
            <w:pPr>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2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b/>
                <w:color w:val="auto"/>
                <w:sz w:val="21"/>
                <w:szCs w:val="21"/>
                <w:highlight w:val="none"/>
              </w:rPr>
              <w:t>(注：未提供以上材料的，均不给予价格扣除）。</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24</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lang w:eastAsia="zh-CN"/>
              </w:rPr>
            </w:pPr>
            <w:r>
              <w:rPr>
                <w:rFonts w:hint="eastAsia" w:ascii="黑体" w:hAnsi="黑体" w:eastAsia="黑体" w:cs="黑体"/>
                <w:color w:val="auto"/>
                <w:sz w:val="21"/>
                <w:szCs w:val="21"/>
                <w:highlight w:val="none"/>
                <w:lang w:eastAsia="zh-CN"/>
              </w:rPr>
              <w:t>中标候选人</w:t>
            </w:r>
          </w:p>
        </w:tc>
        <w:tc>
          <w:tcPr>
            <w:tcW w:w="6877" w:type="dxa"/>
            <w:tcBorders>
              <w:tl2br w:val="nil"/>
              <w:tr2bl w:val="nil"/>
            </w:tcBorders>
            <w:vAlign w:val="center"/>
          </w:tcPr>
          <w:p>
            <w:pPr>
              <w:pStyle w:val="20"/>
              <w:spacing w:line="360" w:lineRule="exact"/>
              <w:ind w:firstLine="0" w:firstLineChars="0"/>
              <w:rPr>
                <w:rFonts w:hint="eastAsia" w:ascii="黑体" w:hAnsi="黑体" w:eastAsia="黑体" w:cs="黑体"/>
                <w:b/>
                <w:color w:val="auto"/>
                <w:sz w:val="21"/>
                <w:szCs w:val="21"/>
                <w:highlight w:val="none"/>
              </w:rPr>
            </w:pPr>
            <w:r>
              <w:rPr>
                <w:rFonts w:hint="eastAsia" w:ascii="黑体" w:hAnsi="黑体" w:eastAsia="黑体" w:cs="黑体"/>
                <w:b w:val="0"/>
                <w:bCs/>
                <w:color w:val="auto"/>
                <w:sz w:val="21"/>
                <w:szCs w:val="21"/>
                <w:highlight w:val="none"/>
              </w:rPr>
              <w:t>本次招标由评标委员会每个标段推荐1名中标候选人，每个标段不可重复</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25</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联系人</w:t>
            </w:r>
          </w:p>
        </w:tc>
        <w:tc>
          <w:tcPr>
            <w:tcW w:w="6877" w:type="dxa"/>
            <w:tcBorders>
              <w:tl2br w:val="nil"/>
              <w:tr2bl w:val="nil"/>
            </w:tcBorders>
            <w:vAlign w:val="center"/>
          </w:tcPr>
          <w:p>
            <w:pPr>
              <w:snapToGrid w:val="0"/>
              <w:spacing w:line="360" w:lineRule="exact"/>
              <w:ind w:firstLine="0" w:firstLineChars="0"/>
              <w:rPr>
                <w:rFonts w:hint="eastAsia" w:ascii="黑体" w:hAnsi="黑体" w:eastAsia="黑体" w:cs="黑体"/>
                <w:color w:val="auto"/>
                <w:sz w:val="21"/>
                <w:szCs w:val="21"/>
                <w:highlight w:val="none"/>
                <w:lang w:val="zh-CN" w:eastAsia="zh-CN"/>
              </w:rPr>
            </w:pPr>
            <w:r>
              <w:rPr>
                <w:rFonts w:hint="eastAsia" w:ascii="黑体" w:hAnsi="黑体" w:eastAsia="黑体" w:cs="黑体"/>
                <w:color w:val="auto"/>
                <w:sz w:val="21"/>
                <w:szCs w:val="21"/>
                <w:highlight w:val="none"/>
                <w:lang w:val="zh-CN"/>
              </w:rPr>
              <w:t>采购单位：</w:t>
            </w:r>
            <w:r>
              <w:rPr>
                <w:rFonts w:hint="eastAsia" w:ascii="黑体" w:hAnsi="黑体" w:eastAsia="黑体" w:cs="黑体"/>
                <w:color w:val="auto"/>
                <w:sz w:val="21"/>
                <w:szCs w:val="21"/>
                <w:highlight w:val="none"/>
                <w:lang w:val="zh-CN" w:eastAsia="zh-CN"/>
              </w:rPr>
              <w:t>留</w:t>
            </w:r>
            <w:r>
              <w:rPr>
                <w:rFonts w:hint="eastAsia" w:ascii="黑体" w:hAnsi="黑体" w:eastAsia="黑体" w:cs="黑体"/>
                <w:color w:val="auto"/>
                <w:sz w:val="21"/>
                <w:szCs w:val="21"/>
                <w:highlight w:val="none"/>
                <w:lang w:val="en-US" w:eastAsia="zh-CN"/>
              </w:rPr>
              <w:t>老师</w:t>
            </w:r>
            <w:r>
              <w:rPr>
                <w:rFonts w:hint="eastAsia" w:ascii="黑体" w:hAnsi="黑体" w:eastAsia="黑体" w:cs="黑体"/>
                <w:color w:val="auto"/>
                <w:sz w:val="21"/>
                <w:szCs w:val="21"/>
                <w:highlight w:val="none"/>
                <w:lang w:val="zh-CN" w:eastAsia="zh-CN"/>
              </w:rPr>
              <w:t xml:space="preserve">  </w:t>
            </w:r>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lang w:val="zh-CN"/>
              </w:rPr>
              <w:t>联系电话：</w:t>
            </w:r>
            <w:r>
              <w:rPr>
                <w:rFonts w:hint="eastAsia" w:ascii="黑体" w:hAnsi="黑体" w:eastAsia="黑体" w:cs="黑体"/>
                <w:color w:val="auto"/>
                <w:sz w:val="21"/>
                <w:szCs w:val="21"/>
                <w:highlight w:val="none"/>
                <w:lang w:val="zh-CN" w:eastAsia="zh-CN"/>
              </w:rPr>
              <w:t>15068928286</w:t>
            </w:r>
          </w:p>
          <w:p>
            <w:pPr>
              <w:snapToGrid w:val="0"/>
              <w:spacing w:line="360" w:lineRule="exact"/>
              <w:ind w:firstLine="1050" w:firstLineChars="500"/>
              <w:rPr>
                <w:rFonts w:hint="eastAsia" w:ascii="黑体" w:hAnsi="黑体" w:eastAsia="黑体" w:cs="黑体"/>
                <w:color w:val="auto"/>
                <w:sz w:val="21"/>
                <w:szCs w:val="21"/>
                <w:highlight w:val="none"/>
                <w:lang w:val="zh-CN"/>
              </w:rPr>
            </w:pPr>
            <w:r>
              <w:rPr>
                <w:rFonts w:hint="eastAsia" w:ascii="黑体" w:hAnsi="黑体" w:eastAsia="黑体" w:cs="黑体"/>
                <w:color w:val="auto"/>
                <w:sz w:val="21"/>
                <w:szCs w:val="21"/>
                <w:highlight w:val="none"/>
                <w:lang w:val="zh-CN" w:eastAsia="zh-CN"/>
              </w:rPr>
              <w:t>余</w:t>
            </w:r>
            <w:r>
              <w:rPr>
                <w:rFonts w:hint="eastAsia" w:ascii="黑体" w:hAnsi="黑体" w:eastAsia="黑体" w:cs="黑体"/>
                <w:color w:val="auto"/>
                <w:sz w:val="21"/>
                <w:szCs w:val="21"/>
                <w:highlight w:val="none"/>
                <w:lang w:val="en-US" w:eastAsia="zh-CN"/>
              </w:rPr>
              <w:t>老师</w:t>
            </w:r>
            <w:r>
              <w:rPr>
                <w:rFonts w:hint="eastAsia" w:ascii="黑体" w:hAnsi="黑体" w:eastAsia="黑体" w:cs="黑体"/>
                <w:color w:val="auto"/>
                <w:sz w:val="21"/>
                <w:szCs w:val="21"/>
                <w:highlight w:val="none"/>
                <w:lang w:val="zh-CN" w:eastAsia="zh-CN"/>
              </w:rPr>
              <w:t xml:space="preserve">   </w:t>
            </w:r>
            <w:r>
              <w:rPr>
                <w:rFonts w:hint="eastAsia" w:ascii="黑体" w:hAnsi="黑体" w:eastAsia="黑体" w:cs="黑体"/>
                <w:color w:val="auto"/>
                <w:sz w:val="21"/>
                <w:szCs w:val="21"/>
                <w:highlight w:val="none"/>
                <w:lang w:val="zh-CN"/>
              </w:rPr>
              <w:t>联系电话：</w:t>
            </w:r>
            <w:r>
              <w:rPr>
                <w:rFonts w:hint="eastAsia" w:ascii="黑体" w:hAnsi="黑体" w:eastAsia="黑体" w:cs="黑体"/>
                <w:color w:val="auto"/>
                <w:sz w:val="21"/>
                <w:szCs w:val="21"/>
                <w:highlight w:val="none"/>
                <w:lang w:val="zh-CN" w:eastAsia="zh-CN"/>
              </w:rPr>
              <w:t>15158794695</w:t>
            </w:r>
            <w:r>
              <w:rPr>
                <w:rFonts w:hint="eastAsia" w:ascii="黑体" w:hAnsi="黑体" w:eastAsia="黑体" w:cs="黑体"/>
                <w:color w:val="auto"/>
                <w:sz w:val="21"/>
                <w:szCs w:val="21"/>
                <w:highlight w:val="none"/>
                <w:lang w:val="zh-CN"/>
              </w:rPr>
              <w:t xml:space="preserve"> </w:t>
            </w:r>
          </w:p>
          <w:p>
            <w:pPr>
              <w:snapToGrid w:val="0"/>
              <w:spacing w:line="360" w:lineRule="exact"/>
              <w:ind w:firstLine="0" w:firstLineChars="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val="zh-CN"/>
              </w:rPr>
              <w:t>代理公司：潘女士   联系电话：</w:t>
            </w:r>
            <w:r>
              <w:rPr>
                <w:rFonts w:hint="eastAsia" w:ascii="黑体" w:hAnsi="黑体" w:eastAsia="黑体" w:cs="黑体"/>
                <w:color w:val="auto"/>
                <w:sz w:val="21"/>
                <w:szCs w:val="21"/>
                <w:highlight w:val="none"/>
              </w:rPr>
              <w:t>16657006009</w:t>
            </w:r>
          </w:p>
          <w:p>
            <w:pPr>
              <w:snapToGrid w:val="0"/>
              <w:spacing w:line="360" w:lineRule="exact"/>
              <w:ind w:firstLine="1050" w:firstLineChars="500"/>
              <w:rPr>
                <w:rFonts w:hint="eastAsia" w:ascii="黑体" w:hAnsi="黑体" w:eastAsia="黑体" w:cs="黑体"/>
                <w:b/>
                <w:color w:val="auto"/>
                <w:sz w:val="21"/>
                <w:szCs w:val="21"/>
                <w:highlight w:val="none"/>
              </w:rPr>
            </w:pPr>
            <w:r>
              <w:rPr>
                <w:rFonts w:hint="eastAsia" w:ascii="黑体" w:hAnsi="黑体" w:eastAsia="黑体" w:cs="黑体"/>
                <w:color w:val="auto"/>
                <w:sz w:val="21"/>
                <w:szCs w:val="21"/>
                <w:highlight w:val="none"/>
                <w:lang w:val="zh-CN"/>
              </w:rPr>
              <w:t>李先生   联系电话：1</w:t>
            </w:r>
            <w:r>
              <w:rPr>
                <w:rFonts w:hint="eastAsia" w:ascii="黑体" w:hAnsi="黑体" w:eastAsia="黑体" w:cs="黑体"/>
                <w:color w:val="auto"/>
                <w:sz w:val="21"/>
                <w:szCs w:val="21"/>
                <w:highlight w:val="none"/>
              </w:rPr>
              <w:t>5257050188</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81" w:type="dxa"/>
            <w:tcBorders>
              <w:tl2br w:val="nil"/>
              <w:tr2bl w:val="nil"/>
            </w:tcBorders>
            <w:vAlign w:val="center"/>
          </w:tcPr>
          <w:p>
            <w:pPr>
              <w:pStyle w:val="20"/>
              <w:snapToGrid w:val="0"/>
              <w:spacing w:line="360" w:lineRule="exact"/>
              <w:ind w:firstLine="0" w:firstLineChars="0"/>
              <w:jc w:val="center"/>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26</w:t>
            </w:r>
          </w:p>
        </w:tc>
        <w:tc>
          <w:tcPr>
            <w:tcW w:w="2304" w:type="dxa"/>
            <w:tcBorders>
              <w:tl2br w:val="nil"/>
              <w:tr2bl w:val="nil"/>
            </w:tcBorders>
            <w:vAlign w:val="center"/>
          </w:tcPr>
          <w:p>
            <w:pPr>
              <w:pStyle w:val="20"/>
              <w:snapToGrid w:val="0"/>
              <w:spacing w:line="36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采购公告，更正公告，中标公告发布网址</w:t>
            </w:r>
          </w:p>
        </w:tc>
        <w:tc>
          <w:tcPr>
            <w:tcW w:w="6877" w:type="dxa"/>
            <w:tcBorders>
              <w:tl2br w:val="nil"/>
              <w:tr2bl w:val="nil"/>
            </w:tcBorders>
            <w:vAlign w:val="center"/>
          </w:tcPr>
          <w:p>
            <w:pPr>
              <w:pStyle w:val="20"/>
              <w:snapToGrid w:val="0"/>
              <w:spacing w:line="360" w:lineRule="exact"/>
              <w:ind w:firstLine="0" w:firstLineChars="0"/>
              <w:rPr>
                <w:rFonts w:hint="eastAsia" w:ascii="黑体" w:hAnsi="黑体" w:eastAsia="黑体" w:cs="黑体"/>
                <w:color w:val="auto"/>
                <w:highlight w:val="none"/>
              </w:rPr>
            </w:pPr>
            <w:r>
              <w:rPr>
                <w:rStyle w:val="72"/>
                <w:rFonts w:hint="eastAsia" w:ascii="黑体" w:hAnsi="黑体" w:eastAsia="黑体" w:cs="黑体"/>
                <w:bCs/>
                <w:color w:val="auto"/>
                <w:szCs w:val="21"/>
                <w:highlight w:val="none"/>
              </w:rPr>
              <w:t>http://zfcg.czt.zj.gov.cn（浙江政府采购网）</w:t>
            </w:r>
          </w:p>
        </w:tc>
      </w:tr>
    </w:tbl>
    <w:p>
      <w:pPr>
        <w:snapToGrid w:val="0"/>
        <w:ind w:firstLine="0" w:firstLineChars="0"/>
        <w:rPr>
          <w:rFonts w:hint="eastAsia" w:ascii="黑体" w:hAnsi="黑体" w:eastAsia="黑体" w:cs="黑体"/>
          <w:color w:val="auto"/>
          <w:szCs w:val="24"/>
          <w:highlight w:val="none"/>
        </w:rPr>
      </w:pPr>
      <w:bookmarkStart w:id="26" w:name="_Toc524531974"/>
      <w:bookmarkStart w:id="27" w:name="_Toc16856"/>
      <w:bookmarkStart w:id="28" w:name="_Toc28985"/>
      <w:bookmarkStart w:id="29" w:name="_Toc14591"/>
    </w:p>
    <w:p>
      <w:pPr>
        <w:snapToGrid w:val="0"/>
        <w:ind w:firstLine="0" w:firstLineChars="0"/>
        <w:rPr>
          <w:rFonts w:hint="eastAsia" w:ascii="黑体" w:hAnsi="黑体" w:eastAsia="黑体" w:cs="黑体"/>
          <w:color w:val="auto"/>
          <w:szCs w:val="24"/>
          <w:highlight w:val="none"/>
        </w:rPr>
        <w:sectPr>
          <w:pgSz w:w="11906" w:h="16838"/>
          <w:pgMar w:top="1440" w:right="1080" w:bottom="1440" w:left="1080" w:header="851" w:footer="850" w:gutter="0"/>
          <w:pgBorders>
            <w:top w:val="none" w:sz="0" w:space="0"/>
            <w:left w:val="none" w:sz="0" w:space="0"/>
            <w:bottom w:val="none" w:sz="0" w:space="0"/>
            <w:right w:val="none" w:sz="0" w:space="0"/>
          </w:pgBorders>
          <w:cols w:space="0" w:num="1"/>
          <w:titlePg/>
          <w:docGrid w:linePitch="312" w:charSpace="0"/>
        </w:sectPr>
      </w:pPr>
    </w:p>
    <w:p>
      <w:pPr>
        <w:pStyle w:val="28"/>
        <w:ind w:firstLine="600"/>
        <w:rPr>
          <w:rFonts w:hint="eastAsia" w:ascii="黑体" w:hAnsi="黑体" w:eastAsia="黑体" w:cs="黑体"/>
          <w:color w:val="auto"/>
          <w:sz w:val="30"/>
          <w:szCs w:val="30"/>
          <w:highlight w:val="none"/>
        </w:rPr>
      </w:pPr>
      <w:bookmarkStart w:id="30" w:name="_Toc50628049"/>
      <w:r>
        <w:rPr>
          <w:rFonts w:hint="eastAsia" w:ascii="黑体" w:hAnsi="黑体" w:eastAsia="黑体" w:cs="黑体"/>
          <w:color w:val="auto"/>
          <w:sz w:val="30"/>
          <w:szCs w:val="30"/>
          <w:highlight w:val="none"/>
        </w:rPr>
        <w:t>一、投标须知</w:t>
      </w:r>
      <w:bookmarkEnd w:id="26"/>
      <w:bookmarkEnd w:id="27"/>
      <w:bookmarkEnd w:id="28"/>
      <w:bookmarkEnd w:id="29"/>
      <w:bookmarkEnd w:id="30"/>
    </w:p>
    <w:p>
      <w:pPr>
        <w:snapToGrid w:val="0"/>
        <w:spacing w:line="46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1.适用范围</w:t>
      </w:r>
    </w:p>
    <w:p>
      <w:pPr>
        <w:tabs>
          <w:tab w:val="left" w:pos="0"/>
          <w:tab w:val="left" w:pos="900"/>
          <w:tab w:val="left" w:pos="7020"/>
          <w:tab w:val="left" w:pos="8460"/>
        </w:tabs>
        <w:snapToGrid w:val="0"/>
        <w:spacing w:line="46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本招标文件仅适用于本次招标采购项目的招标、投标、评标、定标、验收、合同履约、付款等行为。</w:t>
      </w:r>
    </w:p>
    <w:p>
      <w:pPr>
        <w:snapToGrid w:val="0"/>
        <w:spacing w:line="46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2.定义</w:t>
      </w:r>
    </w:p>
    <w:p>
      <w:pPr>
        <w:snapToGrid w:val="0"/>
        <w:spacing w:line="46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2.1“招标人”系指“龙游县市场监督管理局”。</w:t>
      </w:r>
    </w:p>
    <w:p>
      <w:pPr>
        <w:snapToGrid w:val="0"/>
        <w:spacing w:line="46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2.2“投标人”系指向招标人提交投标文件的供应商。</w:t>
      </w:r>
    </w:p>
    <w:p>
      <w:pPr>
        <w:snapToGrid w:val="0"/>
        <w:spacing w:line="46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2.3“招标组织人”系指“欧邦工程管理有限公司”。</w:t>
      </w:r>
    </w:p>
    <w:p>
      <w:pPr>
        <w:snapToGrid w:val="0"/>
        <w:spacing w:line="46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2.4“货物”系指投标人按投标文件规定向采购人提供的各类设备、技术资料及使用手册等。</w:t>
      </w:r>
    </w:p>
    <w:p>
      <w:pPr>
        <w:snapToGrid w:val="0"/>
        <w:spacing w:line="46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2.5“服务”系指根据本合同规定，中标人必须承担安装、调试、技术协助、培训以及其他类似的义务。</w:t>
      </w:r>
    </w:p>
    <w:p>
      <w:pPr>
        <w:snapToGrid w:val="0"/>
        <w:spacing w:line="46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2.6“▲”是指按本招标文件要求投标人必须实质性响应的条款，有任何一项缺失或非实质性响应将取消其投标资格。</w:t>
      </w:r>
    </w:p>
    <w:p>
      <w:pPr>
        <w:snapToGrid w:val="0"/>
        <w:spacing w:line="46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3.投标费用</w:t>
      </w:r>
    </w:p>
    <w:p>
      <w:pPr>
        <w:tabs>
          <w:tab w:val="left" w:pos="0"/>
          <w:tab w:val="left" w:pos="900"/>
          <w:tab w:val="left" w:pos="7020"/>
          <w:tab w:val="left" w:pos="8460"/>
        </w:tabs>
        <w:snapToGrid w:val="0"/>
        <w:spacing w:line="46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不论投标结果如何，投标人均应自行承担所有与投标有关的全部费用。</w:t>
      </w:r>
    </w:p>
    <w:p>
      <w:pPr>
        <w:snapToGrid w:val="0"/>
        <w:spacing w:line="46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4.招标方式</w:t>
      </w:r>
    </w:p>
    <w:p>
      <w:pPr>
        <w:snapToGrid w:val="0"/>
        <w:spacing w:line="46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本次招标采用公开招标方式进行。</w:t>
      </w:r>
    </w:p>
    <w:p>
      <w:pPr>
        <w:snapToGrid w:val="0"/>
        <w:spacing w:line="46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5.投标委托：</w:t>
      </w:r>
      <w:r>
        <w:rPr>
          <w:rFonts w:hint="eastAsia" w:ascii="黑体" w:hAnsi="黑体" w:eastAsia="黑体" w:cs="黑体"/>
          <w:color w:val="auto"/>
          <w:szCs w:val="24"/>
          <w:highlight w:val="none"/>
        </w:rPr>
        <w:t>供应商不用到场开标。</w:t>
      </w:r>
    </w:p>
    <w:p>
      <w:pPr>
        <w:snapToGrid w:val="0"/>
        <w:spacing w:line="46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6.联合体投标</w:t>
      </w:r>
    </w:p>
    <w:p>
      <w:pPr>
        <w:snapToGrid w:val="0"/>
        <w:spacing w:line="46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本项目不接受联合体投标。</w:t>
      </w:r>
    </w:p>
    <w:p>
      <w:pPr>
        <w:snapToGrid w:val="0"/>
        <w:spacing w:line="460" w:lineRule="exact"/>
        <w:ind w:firstLine="480"/>
        <w:rPr>
          <w:rFonts w:hint="eastAsia" w:ascii="黑体" w:hAnsi="黑体" w:eastAsia="黑体" w:cs="黑体"/>
          <w:b/>
          <w:bCs/>
          <w:color w:val="auto"/>
          <w:kern w:val="0"/>
          <w:szCs w:val="24"/>
          <w:highlight w:val="none"/>
        </w:rPr>
      </w:pPr>
      <w:r>
        <w:rPr>
          <w:rFonts w:hint="eastAsia" w:ascii="黑体" w:hAnsi="黑体" w:eastAsia="黑体" w:cs="黑体"/>
          <w:b/>
          <w:bCs/>
          <w:color w:val="auto"/>
          <w:kern w:val="0"/>
          <w:szCs w:val="24"/>
          <w:highlight w:val="none"/>
        </w:rPr>
        <w:t>7.转包与分包</w:t>
      </w:r>
    </w:p>
    <w:p>
      <w:pPr>
        <w:autoSpaceDE w:val="0"/>
        <w:autoSpaceDN w:val="0"/>
        <w:adjustRightInd w:val="0"/>
        <w:snapToGrid w:val="0"/>
        <w:spacing w:line="46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本项目不允许转包。分包必须征得采购人书面同意，采购人有绝对权利阻止分包。</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b/>
          <w:bCs/>
          <w:color w:val="auto"/>
          <w:szCs w:val="24"/>
          <w:highlight w:val="none"/>
        </w:rPr>
        <w:t>8.特别说明：</w:t>
      </w:r>
    </w:p>
    <w:p>
      <w:pPr>
        <w:snapToGrid w:val="0"/>
        <w:spacing w:line="460" w:lineRule="exact"/>
        <w:ind w:firstLine="240" w:firstLineChars="10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▲8.1单位负责人为同一人或者存在直接控股、管理关系的不同供应商，不得参加本项目的政府采购活动。</w:t>
      </w:r>
    </w:p>
    <w:p>
      <w:pPr>
        <w:snapToGrid w:val="0"/>
        <w:spacing w:line="460" w:lineRule="exact"/>
        <w:ind w:firstLine="240" w:firstLineChars="10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8.2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非单一产品采购项目，招标文件中确定核心产品。多家投标人提供的核心产品品牌全部相同的，按前款规定处理。</w:t>
      </w:r>
    </w:p>
    <w:p>
      <w:pPr>
        <w:snapToGrid w:val="0"/>
        <w:spacing w:line="460" w:lineRule="exact"/>
        <w:ind w:firstLine="240" w:firstLineChars="10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8.3投标人投标所使用的资格、信誉、荣誉、业绩与企业认证必须为本法人所拥有。投标人母公司（总机构）或者同一母公司下属的其他子公司（同一总机构下属的其他分支机构）的资格、信誉、荣誉、业绩与企业认证等，不为该投标人所拥有。</w:t>
      </w:r>
    </w:p>
    <w:p>
      <w:pPr>
        <w:snapToGrid w:val="0"/>
        <w:spacing w:line="460" w:lineRule="exact"/>
        <w:ind w:firstLine="240" w:firstLineChars="10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▲8.4投标人应仔细阅读招标文件的所有内容，按照招标文件的要求提交投标文件，并对所提供的全部资料的真实性承担法律责任。</w:t>
      </w:r>
    </w:p>
    <w:p>
      <w:pPr>
        <w:snapToGrid w:val="0"/>
        <w:spacing w:line="460" w:lineRule="exact"/>
        <w:ind w:firstLine="240" w:firstLineChars="10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8.5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8.6项目需要落实的政府采购政策:</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8.6.1中小企业参与政府采购活动</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根据《中小企业划型标准规定》（工信部联企业[2011]300号）、《政府采购促进中小企业发展管理办法》（财库[2020]46号，以下简称《办法》）的有关规定，《办法》所称中小企业（含中型、小型、微型企业，下同）应当同时符合以下条件。</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1.符合中小企业划分标准；</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（一）在货物采购项目中，货物由中小企业制造，即货物由中小企业生产且使用该中小企业商号或者注册商标；</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（二）在工程采购项目中，工程由中小企业承建，即工程施工单位为中小企业；</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（三）在服务采购项目中，服务由中小企业承接，即提供服务的人员为中小企业依照《中华人民共和国劳动合同法》订立劳动合同的从业人员。</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在货物采购项目中，供应商提供的货物既有中小企业制造货物，也有大型企业制造货物的，不享受本办法规定的中小企业扶持政策。</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以联合体形式参加政府采购活动，联合体各方均为中小企业的，联合体视同中小企业。其中，联合体各方均为小微企业的，联合体视同小微企业。</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所投所有产品的制造商如为中小企业，参加询价响应时，在响应文件中响应方应提供制造商的《中小企业声明函》。</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特别说明：本款适用于所投的所有产品的制造商均为中小企业（所投产品中有大型企业提供的不适用于本款）。响应方在《产品适用中小企业政策情况表》（统一格式）详细、完整填写，否则将不能享受商务报价里中小企业产品优惠政策。</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8.6.2监狱企业参与政府采购活动</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符合财政部 司法部《关于政府采购支持监狱企业发展有关问题的通知》（财库〔2014〕68号）规定。</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8.6.3残疾人福利性单位参与政府采购活动</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符合财政部 民政部 中国残疾人联合会《关于促进残疾人就业政府采购政策的通知》（财库〔2017〕141号）规定的单位。</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享受政府采购支持政策的残疾人福利性单位应当同时满足以下条件： </w:t>
      </w:r>
    </w:p>
    <w:p>
      <w:pPr>
        <w:numPr>
          <w:ilvl w:val="0"/>
          <w:numId w:val="4"/>
        </w:num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安置的残疾人占本单位在职职工人数的比例不低于25%（含25%），并且安置的残疾人人数不少于10人（含10人）； </w:t>
      </w:r>
    </w:p>
    <w:p>
      <w:pPr>
        <w:numPr>
          <w:ilvl w:val="0"/>
          <w:numId w:val="4"/>
        </w:num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依法与安置的每位残疾人签订了一年以上（含一年）的劳动合同或服务协议； </w:t>
      </w:r>
    </w:p>
    <w:p>
      <w:pPr>
        <w:numPr>
          <w:ilvl w:val="0"/>
          <w:numId w:val="4"/>
        </w:num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为安置的每位残疾人按月足额缴纳了基本养老保险、基本医疗保险、失业保险、工伤保险和生育保险等社会保险费；</w:t>
      </w:r>
    </w:p>
    <w:p>
      <w:pPr>
        <w:numPr>
          <w:ilvl w:val="0"/>
          <w:numId w:val="4"/>
        </w:num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通过银行等金融机构向安置的每位残疾人，按月支付了不低于单位所在区县适用的经省级人民政府批准的月最低工资标准的工资； </w:t>
      </w:r>
    </w:p>
    <w:p>
      <w:pPr>
        <w:numPr>
          <w:ilvl w:val="0"/>
          <w:numId w:val="4"/>
        </w:num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提供本单位制造的货物、承担的工程或者服务（以下简称产品），或者提供其他残疾人福利性单位制造的货物（不包括使用非残疾人福利性单位注册商标的货物）。</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残疾人福利性单位属于小型、微型企业的，不重复享受政策。供应商提供的《残疾人福利性单位声明函》与事实不符的，依照《政府采购法》第七十七条第一款的规定追究法律责任。</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中标供应商为残疾人福利性单位的，应当随中标结果同时公告其《残疾人福利性单位声明函》，接受社会监督。</w:t>
      </w:r>
    </w:p>
    <w:p>
      <w:pPr>
        <w:snapToGrid w:val="0"/>
        <w:spacing w:line="460" w:lineRule="exact"/>
        <w:ind w:firstLine="480"/>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8.6.4说明：若投标人和所投产品制造商属小型/微型企业，或残疾人福利性单位或监狱企业其所投产品的投标报价扣减6%后再计入报价得分的评审（不累计扣减）。</w:t>
      </w:r>
      <w:bookmarkStart w:id="31" w:name="_Toc684"/>
      <w:bookmarkStart w:id="32" w:name="_Toc524531975"/>
      <w:bookmarkStart w:id="33" w:name="_Toc356371434"/>
      <w:bookmarkStart w:id="34" w:name="_Toc15457"/>
      <w:bookmarkStart w:id="35" w:name="_Toc366144031"/>
      <w:bookmarkStart w:id="36" w:name="_Toc27258"/>
    </w:p>
    <w:p>
      <w:pPr>
        <w:pStyle w:val="28"/>
        <w:ind w:firstLine="600"/>
        <w:rPr>
          <w:rFonts w:hint="eastAsia" w:ascii="黑体" w:hAnsi="黑体" w:eastAsia="黑体" w:cs="黑体"/>
          <w:color w:val="auto"/>
          <w:sz w:val="30"/>
          <w:szCs w:val="30"/>
          <w:highlight w:val="none"/>
        </w:rPr>
      </w:pPr>
      <w:bookmarkStart w:id="37" w:name="_Toc50628050"/>
    </w:p>
    <w:p>
      <w:pPr>
        <w:pStyle w:val="28"/>
        <w:ind w:firstLine="600"/>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二、招标文件说明</w:t>
      </w:r>
      <w:bookmarkEnd w:id="31"/>
      <w:bookmarkEnd w:id="32"/>
      <w:bookmarkEnd w:id="33"/>
      <w:bookmarkEnd w:id="34"/>
      <w:bookmarkEnd w:id="35"/>
      <w:bookmarkEnd w:id="36"/>
      <w:bookmarkEnd w:id="37"/>
    </w:p>
    <w:p>
      <w:pPr>
        <w:snapToGrid w:val="0"/>
        <w:spacing w:line="480" w:lineRule="exact"/>
        <w:ind w:firstLine="480"/>
        <w:jc w:val="left"/>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9.招标文件的组成</w:t>
      </w:r>
    </w:p>
    <w:p>
      <w:pPr>
        <w:snapToGrid w:val="0"/>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9.1招标公告</w:t>
      </w:r>
    </w:p>
    <w:p>
      <w:pPr>
        <w:snapToGrid w:val="0"/>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9.2投标须知前附表及投标须知</w:t>
      </w:r>
    </w:p>
    <w:p>
      <w:pPr>
        <w:snapToGrid w:val="0"/>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9.3采购内容及要求</w:t>
      </w:r>
    </w:p>
    <w:p>
      <w:pPr>
        <w:snapToGrid w:val="0"/>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9.4合同的主要条款</w:t>
      </w:r>
    </w:p>
    <w:p>
      <w:pPr>
        <w:snapToGrid w:val="0"/>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9.5应提交的有关格式范例</w:t>
      </w:r>
    </w:p>
    <w:p>
      <w:pPr>
        <w:snapToGrid w:val="0"/>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9.6评标办法及开评标程序</w:t>
      </w:r>
    </w:p>
    <w:p>
      <w:pPr>
        <w:snapToGrid w:val="0"/>
        <w:spacing w:line="480" w:lineRule="exact"/>
        <w:ind w:firstLine="480"/>
        <w:jc w:val="left"/>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10.招标文件的澄清及修改</w:t>
      </w:r>
    </w:p>
    <w:p>
      <w:pPr>
        <w:tabs>
          <w:tab w:val="left" w:pos="525"/>
        </w:tabs>
        <w:spacing w:line="480" w:lineRule="exact"/>
        <w:ind w:firstLine="480"/>
        <w:jc w:val="left"/>
        <w:rPr>
          <w:rFonts w:hint="eastAsia" w:ascii="黑体" w:hAnsi="黑体" w:eastAsia="黑体" w:cs="黑体"/>
          <w:color w:val="auto"/>
          <w:szCs w:val="24"/>
          <w:highlight w:val="none"/>
        </w:rPr>
      </w:pPr>
      <w:bookmarkStart w:id="38" w:name="_Toc5619"/>
      <w:bookmarkStart w:id="39" w:name="_Toc366144032"/>
      <w:bookmarkStart w:id="40" w:name="_Toc356371435"/>
      <w:bookmarkStart w:id="41" w:name="_Toc16377"/>
      <w:r>
        <w:rPr>
          <w:rFonts w:hint="eastAsia" w:ascii="黑体" w:hAnsi="黑体" w:eastAsia="黑体" w:cs="黑体"/>
          <w:color w:val="auto"/>
          <w:szCs w:val="24"/>
          <w:highlight w:val="none"/>
        </w:rPr>
        <w:t>10.1任何要求对招标文件进行澄清的投标人，均应按招标公告中规定的时间和通讯地址，以书面形式（如信件、传真等）送达招标组织人，在规定时间内未收到质疑则视为各投标人均对此无异议。招标组织人对规定时间前收到的任何质疑将在浙江政府采购网（https://zfcg.czt.zj.gov.cn/）公布澄清，投标人自行到网上查看。无论是招标人根据需要主动对招标文件进行必要的修改或是根据投标人的要求对招标文件做出答复（答复中不包括问题的来源），并视为本招标文件的组成部分。</w:t>
      </w:r>
    </w:p>
    <w:p>
      <w:pPr>
        <w:tabs>
          <w:tab w:val="left" w:pos="525"/>
        </w:tabs>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10.2因其他紧急情况影响本项目正常招标活动的，招标组织人将于投标截止日期5天前书面通知所有已报名的投标人。</w:t>
      </w:r>
    </w:p>
    <w:p>
      <w:pPr>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10.3不论招标人向投标人发送的资料文件，还是投标人提出的问题，均通过浙江政府采购网（https://zfcg.czt.zj.gov.cn/）发布，任何口头提问及答复一律无效。</w:t>
      </w:r>
    </w:p>
    <w:p>
      <w:pPr>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10.4当招标文件、澄清（答疑）纪要内容相互矛盾时，以最后发出的通知（或纪要）或修改文件为准。</w:t>
      </w:r>
    </w:p>
    <w:p>
      <w:pPr>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10.5若有必要，招标人将酌情延长递交投标文件的截止日期。</w:t>
      </w:r>
    </w:p>
    <w:p>
      <w:pPr>
        <w:pStyle w:val="28"/>
        <w:ind w:firstLine="600"/>
        <w:rPr>
          <w:rFonts w:hint="eastAsia" w:ascii="黑体" w:hAnsi="黑体" w:eastAsia="黑体" w:cs="黑体"/>
          <w:color w:val="auto"/>
          <w:sz w:val="30"/>
          <w:szCs w:val="30"/>
          <w:highlight w:val="none"/>
        </w:rPr>
      </w:pPr>
      <w:bookmarkStart w:id="42" w:name="_Toc50628051"/>
      <w:bookmarkStart w:id="43" w:name="_Toc16271"/>
      <w:bookmarkStart w:id="44" w:name="_Toc524531976"/>
      <w:r>
        <w:rPr>
          <w:rFonts w:hint="eastAsia" w:ascii="黑体" w:hAnsi="黑体" w:eastAsia="黑体" w:cs="黑体"/>
          <w:color w:val="auto"/>
          <w:sz w:val="30"/>
          <w:szCs w:val="30"/>
          <w:highlight w:val="none"/>
        </w:rPr>
        <w:t>三、投标文件的编制</w:t>
      </w:r>
      <w:bookmarkEnd w:id="38"/>
      <w:bookmarkEnd w:id="39"/>
      <w:bookmarkEnd w:id="40"/>
      <w:bookmarkEnd w:id="41"/>
      <w:bookmarkEnd w:id="42"/>
      <w:bookmarkEnd w:id="43"/>
      <w:bookmarkEnd w:id="44"/>
    </w:p>
    <w:p>
      <w:pPr>
        <w:snapToGrid w:val="0"/>
        <w:spacing w:line="48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11.总体要求</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11.1供应商应仔细阅读招标文件的所有内容，按本文件的要求提供投标文件，并保证所提供的全部资料的真实性和有效性，以使其投标文件对招标文件作出实质性响应，否则，其投标文件可能导致废标处理。</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11.2投标文件及供应商与采购有关的来往通知，函件和文件均应使用中文。</w:t>
      </w:r>
    </w:p>
    <w:p>
      <w:pPr>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11.3供应商应按本文件中提供的文件格式、内容和要求制作投标文件。投标文件应装订成册。</w:t>
      </w:r>
    </w:p>
    <w:p>
      <w:pPr>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11.4（1）</w:t>
      </w:r>
      <w:r>
        <w:rPr>
          <w:rFonts w:hint="eastAsia" w:ascii="黑体" w:hAnsi="黑体" w:eastAsia="黑体" w:cs="黑体"/>
          <w:color w:val="auto"/>
          <w:highlight w:val="none"/>
          <w:lang w:val="zh-CN"/>
        </w:rPr>
        <w:t>电子投标文件按政采云平台供应商项目采购</w:t>
      </w:r>
      <w:r>
        <w:rPr>
          <w:rFonts w:hint="eastAsia" w:ascii="黑体" w:hAnsi="黑体" w:eastAsia="黑体" w:cs="黑体"/>
          <w:color w:val="auto"/>
          <w:highlight w:val="none"/>
        </w:rPr>
        <w:t>-</w:t>
      </w:r>
      <w:r>
        <w:rPr>
          <w:rFonts w:hint="eastAsia" w:ascii="黑体" w:hAnsi="黑体" w:eastAsia="黑体" w:cs="黑体"/>
          <w:color w:val="auto"/>
          <w:highlight w:val="none"/>
          <w:lang w:val="zh-CN"/>
        </w:rPr>
        <w:t>电子招投标操作指南</w:t>
      </w:r>
      <w:r>
        <w:rPr>
          <w:rFonts w:hint="eastAsia" w:ascii="黑体" w:hAnsi="黑体" w:eastAsia="黑体" w:cs="黑体"/>
          <w:color w:val="auto"/>
          <w:highlight w:val="none"/>
        </w:rPr>
        <w:t>（</w:t>
      </w:r>
      <w:r>
        <w:rPr>
          <w:rFonts w:hint="eastAsia" w:ascii="黑体" w:hAnsi="黑体" w:eastAsia="黑体" w:cs="黑体"/>
          <w:color w:val="auto"/>
          <w:highlight w:val="none"/>
          <w:lang w:val="zh-CN"/>
        </w:rPr>
        <w:t>网址</w:t>
      </w:r>
      <w:r>
        <w:rPr>
          <w:rFonts w:hint="eastAsia" w:ascii="黑体" w:hAnsi="黑体" w:eastAsia="黑体" w:cs="黑体"/>
          <w:color w:val="auto"/>
          <w:highlight w:val="none"/>
        </w:rPr>
        <w:t>：https://help.zcygov.cn/web/site_2/2018/12-28/2573.html）</w:t>
      </w:r>
      <w:r>
        <w:rPr>
          <w:rFonts w:hint="eastAsia" w:ascii="黑体" w:hAnsi="黑体" w:eastAsia="黑体" w:cs="黑体"/>
          <w:color w:val="auto"/>
          <w:highlight w:val="none"/>
          <w:lang w:val="zh-CN"/>
        </w:rPr>
        <w:t>及本招标文件要求制作、加密。（2）纸质备份投标文件严格按照规定的顺序装订成册并编制目录，混乱的编排导致投标文件被误读或招标人查找不到有效文件是投标人的风险。</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11.5带▲号的资信技术文件中若要求原件备查的，必须按要求提供原件核查，无原件的将导致投标无效。无▲号仅涉及打分的资信技术文件中若要求原件备查的，无原件将不予认可。经公证过的复印件、扫描件等同原件，其它未经公证过的材料将不予认可。</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12.投标文件的组成及份数（份数不足按无效标处理）</w:t>
      </w:r>
    </w:p>
    <w:p>
      <w:pPr>
        <w:tabs>
          <w:tab w:val="left" w:pos="0"/>
          <w:tab w:val="left" w:pos="900"/>
          <w:tab w:val="left" w:pos="7020"/>
          <w:tab w:val="left" w:pos="8460"/>
        </w:tabs>
        <w:snapToGrid w:val="0"/>
        <w:spacing w:line="480" w:lineRule="exact"/>
        <w:ind w:firstLine="480"/>
        <w:rPr>
          <w:rFonts w:hint="eastAsia" w:ascii="黑体" w:hAnsi="黑体" w:eastAsia="黑体" w:cs="黑体"/>
          <w:b/>
          <w:color w:val="auto"/>
          <w:szCs w:val="24"/>
          <w:highlight w:val="none"/>
        </w:rPr>
      </w:pPr>
      <w:r>
        <w:rPr>
          <w:rFonts w:hint="eastAsia" w:ascii="黑体" w:hAnsi="黑体" w:eastAsia="黑体" w:cs="黑体"/>
          <w:color w:val="auto"/>
          <w:szCs w:val="24"/>
          <w:highlight w:val="none"/>
        </w:rPr>
        <w:t>投标文件应分为【资信证明文件】、【技术商务文件】和【报价文件】。资信证明文件、技术商务文件、报价文件均提供</w:t>
      </w:r>
      <w:r>
        <w:rPr>
          <w:rFonts w:hint="eastAsia" w:ascii="黑体" w:hAnsi="黑体" w:eastAsia="黑体" w:cs="黑体"/>
          <w:b/>
          <w:bCs/>
          <w:color w:val="auto"/>
          <w:szCs w:val="24"/>
          <w:highlight w:val="none"/>
        </w:rPr>
        <w:t>正本壹份</w:t>
      </w:r>
      <w:r>
        <w:rPr>
          <w:rFonts w:hint="eastAsia" w:ascii="黑体" w:hAnsi="黑体" w:eastAsia="黑体" w:cs="黑体"/>
          <w:color w:val="auto"/>
          <w:szCs w:val="24"/>
          <w:highlight w:val="none"/>
        </w:rPr>
        <w:t>。</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12.1【资信证明文件】</w:t>
      </w:r>
    </w:p>
    <w:p>
      <w:pPr>
        <w:snapToGrid w:val="0"/>
        <w:spacing w:line="480" w:lineRule="exact"/>
        <w:ind w:firstLine="480"/>
        <w:rPr>
          <w:rFonts w:hint="eastAsia" w:ascii="黑体" w:hAnsi="黑体" w:eastAsia="黑体" w:cs="黑体"/>
          <w:b/>
          <w:color w:val="auto"/>
          <w:szCs w:val="24"/>
          <w:highlight w:val="none"/>
        </w:rPr>
      </w:pPr>
      <w:r>
        <w:rPr>
          <w:rFonts w:hint="eastAsia" w:ascii="黑体" w:hAnsi="黑体" w:eastAsia="黑体" w:cs="黑体"/>
          <w:color w:val="auto"/>
          <w:szCs w:val="24"/>
          <w:highlight w:val="none"/>
        </w:rPr>
        <w:t>▲12.1.1</w:t>
      </w:r>
      <w:r>
        <w:rPr>
          <w:rFonts w:hint="eastAsia" w:ascii="黑体" w:hAnsi="黑体" w:eastAsia="黑体" w:cs="黑体"/>
          <w:color w:val="auto"/>
          <w:highlight w:val="none"/>
        </w:rPr>
        <w:t>投标声明书</w:t>
      </w:r>
      <w:r>
        <w:rPr>
          <w:rFonts w:hint="eastAsia" w:ascii="黑体" w:hAnsi="黑体" w:eastAsia="黑体" w:cs="黑体"/>
          <w:color w:val="auto"/>
          <w:szCs w:val="24"/>
          <w:highlight w:val="none"/>
        </w:rPr>
        <w:t>；</w:t>
      </w:r>
    </w:p>
    <w:p>
      <w:pPr>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▲12.1.2</w:t>
      </w:r>
      <w:r>
        <w:rPr>
          <w:rFonts w:hint="eastAsia" w:ascii="黑体" w:hAnsi="黑体" w:eastAsia="黑体" w:cs="黑体"/>
          <w:bCs/>
          <w:color w:val="auto"/>
          <w:highlight w:val="none"/>
        </w:rPr>
        <w:t>供应商资格声明</w:t>
      </w:r>
      <w:r>
        <w:rPr>
          <w:rFonts w:hint="eastAsia" w:ascii="黑体" w:hAnsi="黑体" w:eastAsia="黑体" w:cs="黑体"/>
          <w:color w:val="auto"/>
          <w:szCs w:val="24"/>
          <w:highlight w:val="none"/>
        </w:rPr>
        <w:t>；</w:t>
      </w:r>
    </w:p>
    <w:p>
      <w:pPr>
        <w:widowControl/>
        <w:snapToGrid w:val="0"/>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▲12.1.3所有资质文件；</w:t>
      </w:r>
    </w:p>
    <w:p>
      <w:pPr>
        <w:adjustRightInd w:val="0"/>
        <w:snapToGrid w:val="0"/>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投标人基本情况表、法人营业执照、税务登记证、组织机构代码（如营业执照为五证合一上述3项仅需提供营业执照）；</w:t>
      </w:r>
    </w:p>
    <w:p>
      <w:pPr>
        <w:widowControl/>
        <w:snapToGrid w:val="0"/>
        <w:spacing w:line="480" w:lineRule="exact"/>
        <w:ind w:firstLine="480"/>
        <w:jc w:val="left"/>
        <w:rPr>
          <w:rFonts w:hint="eastAsia" w:ascii="黑体" w:hAnsi="黑体" w:eastAsia="黑体" w:cs="黑体"/>
          <w:color w:val="auto"/>
          <w:highlight w:val="none"/>
        </w:rPr>
      </w:pPr>
      <w:r>
        <w:rPr>
          <w:rFonts w:hint="eastAsia" w:ascii="黑体" w:hAnsi="黑体" w:eastAsia="黑体" w:cs="黑体"/>
          <w:color w:val="auto"/>
          <w:szCs w:val="24"/>
          <w:highlight w:val="none"/>
        </w:rPr>
        <w:t>▲12.1.4</w:t>
      </w:r>
      <w:r>
        <w:rPr>
          <w:rFonts w:hint="eastAsia" w:ascii="黑体" w:hAnsi="黑体" w:eastAsia="黑体" w:cs="黑体"/>
          <w:color w:val="auto"/>
          <w:highlight w:val="none"/>
        </w:rPr>
        <w:t>法定代表人身份证明或法定代表人授权委托书，法定代表人或授权代表身份证复印件；</w:t>
      </w:r>
    </w:p>
    <w:p>
      <w:pPr>
        <w:ind w:firstLine="480"/>
        <w:rPr>
          <w:rFonts w:hint="eastAsia" w:ascii="黑体" w:hAnsi="黑体" w:eastAsia="黑体" w:cs="黑体"/>
          <w:color w:val="auto"/>
          <w:highlight w:val="none"/>
        </w:rPr>
      </w:pPr>
      <w:r>
        <w:rPr>
          <w:rFonts w:hint="eastAsia" w:ascii="黑体" w:hAnsi="黑体" w:eastAsia="黑体" w:cs="黑体"/>
          <w:color w:val="auto"/>
          <w:szCs w:val="24"/>
          <w:highlight w:val="none"/>
        </w:rPr>
        <w:t>▲12.1.5</w:t>
      </w:r>
      <w:r>
        <w:rPr>
          <w:rFonts w:hint="eastAsia" w:ascii="黑体" w:hAnsi="黑体" w:eastAsia="黑体" w:cs="黑体"/>
          <w:color w:val="auto"/>
          <w:highlight w:val="none"/>
        </w:rPr>
        <w:t>参加政府采购活动前3年内在经营活动中没有重大违法记录的书面声明；</w:t>
      </w:r>
    </w:p>
    <w:p>
      <w:pPr>
        <w:ind w:firstLine="480"/>
        <w:rPr>
          <w:rFonts w:hint="eastAsia" w:ascii="黑体" w:hAnsi="黑体" w:eastAsia="黑体" w:cs="黑体"/>
          <w:color w:val="auto"/>
          <w:highlight w:val="none"/>
        </w:rPr>
      </w:pPr>
      <w:r>
        <w:rPr>
          <w:rFonts w:hint="eastAsia" w:ascii="黑体" w:hAnsi="黑体" w:eastAsia="黑体" w:cs="黑体"/>
          <w:color w:val="auto"/>
          <w:szCs w:val="24"/>
          <w:highlight w:val="none"/>
        </w:rPr>
        <w:t>▲</w:t>
      </w:r>
      <w:r>
        <w:rPr>
          <w:rFonts w:hint="eastAsia" w:ascii="黑体" w:hAnsi="黑体" w:eastAsia="黑体" w:cs="黑体"/>
          <w:color w:val="auto"/>
          <w:highlight w:val="none"/>
        </w:rPr>
        <w:t>12.1.6信用中国查询截图；</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12.2【技术商务文件】</w:t>
      </w:r>
    </w:p>
    <w:p>
      <w:pPr>
        <w:adjustRightInd w:val="0"/>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12.2.1类似案例业绩一览表（格式附后）；</w:t>
      </w:r>
    </w:p>
    <w:p>
      <w:pPr>
        <w:adjustRightInd w:val="0"/>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12.2.2售后服务承诺书（格式附后）；</w:t>
      </w:r>
    </w:p>
    <w:p>
      <w:pPr>
        <w:adjustRightInd w:val="0"/>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12.2.3投标人基本情况表（格式附后）；</w:t>
      </w:r>
    </w:p>
    <w:p>
      <w:pPr>
        <w:adjustRightInd w:val="0"/>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12.2.4项目团队人员情况表（格式附后）；</w:t>
      </w:r>
    </w:p>
    <w:p>
      <w:pPr>
        <w:adjustRightInd w:val="0"/>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12.2.5项目实施方案（格式自拟）；</w:t>
      </w:r>
    </w:p>
    <w:p>
      <w:pPr>
        <w:adjustRightInd w:val="0"/>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12.2.6工作进度安排（格式附后）；</w:t>
      </w:r>
    </w:p>
    <w:p>
      <w:pPr>
        <w:adjustRightInd w:val="0"/>
        <w:snapToGrid w:val="0"/>
        <w:spacing w:line="480" w:lineRule="exact"/>
        <w:ind w:firstLine="480"/>
        <w:rPr>
          <w:rFonts w:hint="eastAsia" w:ascii="黑体" w:hAnsi="黑体" w:eastAsia="黑体" w:cs="黑体"/>
          <w:color w:val="auto"/>
          <w:szCs w:val="24"/>
          <w:highlight w:val="none"/>
          <w:lang w:val="en-US" w:eastAsia="zh-CN"/>
        </w:rPr>
      </w:pPr>
      <w:r>
        <w:rPr>
          <w:rFonts w:hint="eastAsia" w:ascii="黑体" w:hAnsi="黑体" w:eastAsia="黑体" w:cs="黑体"/>
          <w:color w:val="auto"/>
          <w:szCs w:val="24"/>
          <w:highlight w:val="none"/>
          <w:lang w:val="en-US" w:eastAsia="zh-CN"/>
        </w:rPr>
        <w:t>12.2.7</w:t>
      </w:r>
      <w:r>
        <w:rPr>
          <w:rFonts w:hint="eastAsia" w:ascii="黑体" w:hAnsi="黑体" w:eastAsia="黑体" w:cs="黑体"/>
          <w:color w:val="auto"/>
          <w:szCs w:val="24"/>
          <w:highlight w:val="none"/>
        </w:rPr>
        <w:t>提供食品抽检过程中针对各种突发事件的应急措施；</w:t>
      </w:r>
    </w:p>
    <w:p>
      <w:pPr>
        <w:adjustRightInd w:val="0"/>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12.2.</w:t>
      </w:r>
      <w:r>
        <w:rPr>
          <w:rFonts w:hint="eastAsia" w:ascii="黑体" w:hAnsi="黑体" w:eastAsia="黑体" w:cs="黑体"/>
          <w:color w:val="auto"/>
          <w:szCs w:val="24"/>
          <w:highlight w:val="none"/>
          <w:lang w:val="en-US" w:eastAsia="zh-CN"/>
        </w:rPr>
        <w:t>8</w:t>
      </w:r>
      <w:r>
        <w:rPr>
          <w:rFonts w:hint="eastAsia" w:ascii="黑体" w:hAnsi="黑体" w:eastAsia="黑体" w:cs="黑体"/>
          <w:color w:val="auto"/>
          <w:szCs w:val="24"/>
          <w:highlight w:val="none"/>
        </w:rPr>
        <w:t>《小微企业声明函》和页面查询结果记录及网页截图证明（查询时间为投标前一周内，并加盖单位公章）；《残疾人福利性单位声明函》、《监狱企业声明函》；（格式附后）</w:t>
      </w:r>
    </w:p>
    <w:p>
      <w:pPr>
        <w:adjustRightInd w:val="0"/>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12.2.</w:t>
      </w:r>
      <w:r>
        <w:rPr>
          <w:rFonts w:hint="eastAsia" w:ascii="黑体" w:hAnsi="黑体" w:eastAsia="黑体" w:cs="黑体"/>
          <w:color w:val="auto"/>
          <w:szCs w:val="24"/>
          <w:highlight w:val="none"/>
          <w:lang w:val="en-US" w:eastAsia="zh-CN"/>
        </w:rPr>
        <w:t>9</w:t>
      </w:r>
      <w:r>
        <w:rPr>
          <w:rFonts w:hint="eastAsia" w:ascii="黑体" w:hAnsi="黑体" w:eastAsia="黑体" w:cs="黑体"/>
          <w:color w:val="auto"/>
          <w:szCs w:val="24"/>
          <w:highlight w:val="none"/>
          <w:shd w:val="pct10" w:color="auto" w:fill="FFFFFF"/>
        </w:rPr>
        <w:t>涉及评分的其他材料</w:t>
      </w:r>
      <w:r>
        <w:rPr>
          <w:rFonts w:hint="eastAsia" w:ascii="黑体" w:hAnsi="黑体" w:eastAsia="黑体" w:cs="黑体"/>
          <w:color w:val="auto"/>
          <w:szCs w:val="24"/>
          <w:highlight w:val="none"/>
        </w:rPr>
        <w:t>。</w:t>
      </w:r>
    </w:p>
    <w:p>
      <w:pPr>
        <w:tabs>
          <w:tab w:val="center" w:pos="4592"/>
        </w:tabs>
        <w:autoSpaceDE w:val="0"/>
        <w:autoSpaceDN w:val="0"/>
        <w:adjustRightInd w:val="0"/>
        <w:snapToGrid w:val="0"/>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注：由于本项目为电子标，供应商的法定代表人（或其委托代理人）无需出席开标现场会议，评审过程中的涉及到的原件部分，由各供应商随纸质备份文件一起邮寄给欧邦工程管理有限公司。</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12.3【报价文件】</w:t>
      </w:r>
    </w:p>
    <w:p>
      <w:pPr>
        <w:pStyle w:val="20"/>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▲12.3.1投标函；</w:t>
      </w:r>
    </w:p>
    <w:p>
      <w:pPr>
        <w:pStyle w:val="20"/>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▲12.3.2报价一览表；</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12.3.3投标人需要说明的其他文件和说明（格式自拟）。</w:t>
      </w:r>
    </w:p>
    <w:p>
      <w:pPr>
        <w:snapToGrid w:val="0"/>
        <w:spacing w:line="48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13.投标文件内容填写说明</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13.1供应商应在认真阅读招标文件所有内容的基础上，按照招标文件的要求编制完整的投标文件。投标文件应按照招标文件中规定的统一格式填写，严格按照规定的顺序装订成册并编制目录，混乱的编排导致投标文件被误读或招标人查找不到有效文件是供应商的风险。招标文件对投标文件格式有要求的应按格式逐项填写内容，不准有空项。</w:t>
      </w:r>
    </w:p>
    <w:p>
      <w:pPr>
        <w:snapToGrid w:val="0"/>
        <w:spacing w:line="480" w:lineRule="exact"/>
        <w:ind w:firstLine="468"/>
        <w:rPr>
          <w:rFonts w:hint="eastAsia" w:ascii="黑体" w:hAnsi="黑体" w:eastAsia="黑体" w:cs="黑体"/>
          <w:color w:val="auto"/>
          <w:spacing w:val="-3"/>
          <w:szCs w:val="24"/>
          <w:highlight w:val="none"/>
        </w:rPr>
      </w:pPr>
      <w:r>
        <w:rPr>
          <w:rFonts w:hint="eastAsia" w:ascii="黑体" w:hAnsi="黑体" w:eastAsia="黑体" w:cs="黑体"/>
          <w:color w:val="auto"/>
          <w:spacing w:val="-3"/>
          <w:szCs w:val="24"/>
          <w:highlight w:val="none"/>
        </w:rPr>
        <w:t>13.2无相应内容可填的项应填写“无”、“未测试”、“没有相应指标”等明确的回答文字。</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13.3供应商必须保证投标文件所提供的全部资料真实可靠，并接受招标人对其中任何资料进一步审查的要求。</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13.4《开标一览表》为在开标仪式上唱标的内容，要求按格式填写、统一规范，不得自行增减内容。</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13.5投标文件须对招标文件中的内容做出实质性的和完整的响应，否则其投标将被拒绝。如果投标文件填报的内容资料不详，或没有提供招标文件中所要求的全部资料及数据，将会导致投标被拒绝。</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13.6供应商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13.7投标文件不得涂改和增删，如有错漏必须修改，修改处须由必须由法人或授权代表在旁边签字或加盖投标单位公章才有效。</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13.8由于字迹模糊或表达不清引起的后果由投标人负责。</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13.9技术规格性能响应表：所投产品如与采购产品在型号、规格、技术参数、性能、工艺、材料、质量等方面有偏离或对产品配置有好的建议，应填写《技术规格性能响应表》，否则认为响应招标文件要求。</w:t>
      </w:r>
    </w:p>
    <w:p>
      <w:pPr>
        <w:snapToGrid w:val="0"/>
        <w:spacing w:line="48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14.投标报价</w:t>
      </w:r>
    </w:p>
    <w:p>
      <w:pPr>
        <w:pStyle w:val="20"/>
        <w:snapToGrid w:val="0"/>
        <w:spacing w:line="480" w:lineRule="exact"/>
        <w:ind w:firstLine="48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14.1投标报价应按招标文件中相关附表格式填写。</w:t>
      </w:r>
    </w:p>
    <w:p>
      <w:pPr>
        <w:ind w:firstLine="840" w:firstLineChars="350"/>
        <w:rPr>
          <w:rFonts w:hint="eastAsia" w:ascii="黑体" w:hAnsi="黑体" w:eastAsia="黑体" w:cs="黑体"/>
          <w:b/>
          <w:color w:val="auto"/>
          <w:highlight w:val="none"/>
        </w:rPr>
      </w:pPr>
      <w:r>
        <w:rPr>
          <w:rFonts w:hint="eastAsia" w:ascii="黑体" w:hAnsi="黑体" w:eastAsia="黑体" w:cs="黑体"/>
          <w:color w:val="auto"/>
          <w:szCs w:val="24"/>
          <w:highlight w:val="none"/>
        </w:rPr>
        <w:t>▲14.2本项目采用总价包干合同，投标报价应以人民币为结算货币，</w:t>
      </w:r>
      <w:r>
        <w:rPr>
          <w:rFonts w:hint="eastAsia" w:ascii="黑体" w:hAnsi="黑体" w:eastAsia="黑体" w:cs="黑体"/>
          <w:b/>
          <w:color w:val="auto"/>
          <w:highlight w:val="none"/>
        </w:rPr>
        <w:t>投标报价应为提供本次采购全包干价，投标报价应包含本项目金额应包括完成本项目服务内容和要求所产生的所有费用，包括资料收集、分析、成果整理、报告编制、等各项全部费用。</w:t>
      </w:r>
    </w:p>
    <w:p>
      <w:pPr>
        <w:widowControl/>
        <w:tabs>
          <w:tab w:val="center" w:pos="4771"/>
        </w:tabs>
        <w:spacing w:line="380" w:lineRule="exact"/>
        <w:ind w:firstLine="235" w:firstLineChars="98"/>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（以上所有费用包括在综合单价中，不另列）。</w:t>
      </w:r>
    </w:p>
    <w:p>
      <w:pPr>
        <w:widowControl/>
        <w:tabs>
          <w:tab w:val="center" w:pos="4771"/>
        </w:tabs>
        <w:spacing w:line="380" w:lineRule="exact"/>
        <w:ind w:firstLine="235" w:firstLineChars="98"/>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投标单价固定是指投标单位所填写的投标单价在合同实施期间不因市场因素而变动，投标单位在计算报价时可考虑一定的风险系数（由投标单位自行考虑）。</w:t>
      </w:r>
    </w:p>
    <w:p>
      <w:pPr>
        <w:tabs>
          <w:tab w:val="left" w:pos="525"/>
        </w:tabs>
        <w:snapToGrid w:val="0"/>
        <w:spacing w:line="480" w:lineRule="exact"/>
        <w:ind w:firstLine="240" w:firstLineChars="100"/>
        <w:jc w:val="left"/>
        <w:rPr>
          <w:rFonts w:hint="eastAsia" w:ascii="黑体" w:hAnsi="黑体" w:eastAsia="黑体" w:cs="黑体"/>
          <w:color w:val="auto"/>
          <w:szCs w:val="24"/>
          <w:highlight w:val="none"/>
        </w:rPr>
      </w:pPr>
      <w:r>
        <w:rPr>
          <w:rFonts w:hint="eastAsia" w:ascii="黑体" w:hAnsi="黑体" w:eastAsia="黑体" w:cs="黑体"/>
          <w:color w:val="auto"/>
          <w:szCs w:val="24"/>
          <w:highlight w:val="none"/>
        </w:rPr>
        <w:t>▲14.3投标文件只允许有一个报价（含单项），有选择的或有条件的报价将不予接受。</w:t>
      </w:r>
    </w:p>
    <w:p>
      <w:pPr>
        <w:snapToGrid w:val="0"/>
        <w:spacing w:line="48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15.投标有效期</w:t>
      </w:r>
    </w:p>
    <w:p>
      <w:pPr>
        <w:snapToGrid w:val="0"/>
        <w:spacing w:line="480" w:lineRule="exact"/>
        <w:ind w:firstLine="240" w:firstLineChars="100"/>
        <w:rPr>
          <w:rFonts w:hint="eastAsia" w:ascii="黑体" w:hAnsi="黑体" w:eastAsia="黑体" w:cs="黑体"/>
          <w:color w:val="auto"/>
          <w:szCs w:val="24"/>
          <w:highlight w:val="none"/>
        </w:rPr>
      </w:pPr>
      <w:r>
        <w:rPr>
          <w:rFonts w:hint="eastAsia" w:ascii="黑体" w:hAnsi="黑体" w:eastAsia="黑体" w:cs="黑体"/>
          <w:color w:val="auto"/>
          <w:szCs w:val="24"/>
          <w:highlight w:val="none"/>
        </w:rPr>
        <w:t>▲15.1投标文件从投标文件递交截止之日起，有效期为90天。</w:t>
      </w:r>
    </w:p>
    <w:p>
      <w:pPr>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15.2特殊情况下，在原投标文件有效期截止之前，招标人可要求投标人同意延长投标文件有效期。这种要求与答复均应以书面形式提交。供应商可拒绝招标人的这种要求，其保证金将不会被没收。接受延长投标文件有效期的投标人将不会被要求和允许修正投标文件，而只会被要求相应地延长其投标保证金的有效期。在这种情况下，保证金的退还和没收的规定将在延长了的有效期内继续有效。</w:t>
      </w:r>
    </w:p>
    <w:p>
      <w:pPr>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16响应文件的关联和签署</w:t>
      </w:r>
    </w:p>
    <w:p>
      <w:pPr>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（一）</w:t>
      </w:r>
      <w:r>
        <w:rPr>
          <w:rFonts w:hint="eastAsia" w:ascii="黑体" w:hAnsi="黑体" w:eastAsia="黑体" w:cs="黑体"/>
          <w:color w:val="auto"/>
          <w:highlight w:val="none"/>
        </w:rPr>
        <w:tab/>
      </w:r>
      <w:r>
        <w:rPr>
          <w:rFonts w:hint="eastAsia" w:ascii="黑体" w:hAnsi="黑体" w:eastAsia="黑体" w:cs="黑体"/>
          <w:color w:val="auto"/>
          <w:highlight w:val="none"/>
        </w:rPr>
        <w:t>电子响应文件</w:t>
      </w:r>
    </w:p>
    <w:p>
      <w:pPr>
        <w:wordWrap w:val="0"/>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电子投标文件按政采云平台供应商项目采购-电子招投标操作指南（网址：https://help.zcygov.cn/web/site_2/2018/12-28/2573.html）及本招标文件规定的格式和顺序编制电子投标文件并进行关联定位。</w:t>
      </w:r>
    </w:p>
    <w:p>
      <w:pPr>
        <w:wordWrap w:val="0"/>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（二）纸质备份文件</w:t>
      </w:r>
    </w:p>
    <w:p>
      <w:pPr>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纸质备份投标文件的格式</w:t>
      </w:r>
    </w:p>
    <w:p>
      <w:pPr>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16.1</w:t>
      </w:r>
      <w:r>
        <w:rPr>
          <w:rFonts w:hint="eastAsia" w:ascii="黑体" w:hAnsi="黑体" w:eastAsia="黑体" w:cs="黑体"/>
          <w:bCs/>
          <w:color w:val="auto"/>
          <w:highlight w:val="none"/>
        </w:rPr>
        <w:t>供应商</w:t>
      </w:r>
      <w:r>
        <w:rPr>
          <w:rFonts w:hint="eastAsia" w:ascii="黑体" w:hAnsi="黑体" w:eastAsia="黑体" w:cs="黑体"/>
          <w:color w:val="auto"/>
          <w:highlight w:val="none"/>
        </w:rPr>
        <w:t>的纸质备份投标文件由资格证明部分、技术商务部分和报价部分三部分组成，并按以下要求制作，否则视为无效响应：</w:t>
      </w:r>
    </w:p>
    <w:p>
      <w:pPr>
        <w:spacing w:line="480" w:lineRule="exact"/>
        <w:ind w:firstLine="480"/>
        <w:rPr>
          <w:rFonts w:hint="eastAsia" w:ascii="黑体" w:hAnsi="黑体" w:eastAsia="黑体" w:cs="黑体"/>
          <w:b/>
          <w:color w:val="auto"/>
          <w:highlight w:val="none"/>
        </w:rPr>
      </w:pPr>
      <w:r>
        <w:rPr>
          <w:rFonts w:hint="eastAsia" w:ascii="黑体" w:hAnsi="黑体" w:eastAsia="黑体" w:cs="黑体"/>
          <w:color w:val="auto"/>
          <w:highlight w:val="none"/>
        </w:rPr>
        <w:t>16.1.1纸质备份投标文件（含资格证明部分、技术商务部分和报价部分）中正本1份。正本必须用A4幅面纸张打印装订，并在封面标明“正本”、“副本”字样。正本与副本如有不一致，以正本为准。</w:t>
      </w:r>
    </w:p>
    <w:p>
      <w:pPr>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16.2纸质备份投标文件应由</w:t>
      </w:r>
      <w:r>
        <w:rPr>
          <w:rFonts w:hint="eastAsia" w:ascii="黑体" w:hAnsi="黑体" w:eastAsia="黑体" w:cs="黑体"/>
          <w:bCs/>
          <w:color w:val="auto"/>
          <w:highlight w:val="none"/>
        </w:rPr>
        <w:t>供应商</w:t>
      </w:r>
      <w:r>
        <w:rPr>
          <w:rFonts w:hint="eastAsia" w:ascii="黑体" w:hAnsi="黑体" w:eastAsia="黑体" w:cs="黑体"/>
          <w:color w:val="auto"/>
          <w:highlight w:val="none"/>
        </w:rPr>
        <w:t>的法定代表人或者其授权代表签字并加盖公章，如由后者签字，应提供“法定代表人授权委托书”。</w:t>
      </w:r>
    </w:p>
    <w:p>
      <w:pPr>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16.3响应使用货币为人民币。</w:t>
      </w:r>
    </w:p>
    <w:p>
      <w:pPr>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16.4</w:t>
      </w:r>
      <w:r>
        <w:rPr>
          <w:rFonts w:hint="eastAsia" w:ascii="黑体" w:hAnsi="黑体" w:eastAsia="黑体" w:cs="黑体"/>
          <w:bCs/>
          <w:color w:val="auto"/>
          <w:highlight w:val="none"/>
        </w:rPr>
        <w:t>供应商</w:t>
      </w:r>
      <w:r>
        <w:rPr>
          <w:rFonts w:hint="eastAsia" w:ascii="黑体" w:hAnsi="黑体" w:eastAsia="黑体" w:cs="黑体"/>
          <w:color w:val="auto"/>
          <w:highlight w:val="none"/>
        </w:rPr>
        <w:t xml:space="preserve">应提交证明其拟供采购内容符合招标文件要求的相应材料，该材料可以是文字资料、图纸和数据，并须提供主要技术要求的详细描述。                          </w:t>
      </w:r>
    </w:p>
    <w:p>
      <w:pPr>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16.5投标文件的正本和副本均应使用不能擦去的墨料或墨水打印、书写或复印，并由法定代表人或其授权代表签署，盖</w:t>
      </w:r>
      <w:r>
        <w:rPr>
          <w:rFonts w:hint="eastAsia" w:ascii="黑体" w:hAnsi="黑体" w:eastAsia="黑体" w:cs="黑体"/>
          <w:bCs/>
          <w:color w:val="auto"/>
          <w:highlight w:val="none"/>
        </w:rPr>
        <w:t>供应商</w:t>
      </w:r>
      <w:r>
        <w:rPr>
          <w:rFonts w:hint="eastAsia" w:ascii="黑体" w:hAnsi="黑体" w:eastAsia="黑体" w:cs="黑体"/>
          <w:color w:val="auto"/>
          <w:highlight w:val="none"/>
        </w:rPr>
        <w:t>公章。</w:t>
      </w:r>
    </w:p>
    <w:p>
      <w:pPr>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 xml:space="preserve">16.6全套投标文件应无涂改和行间插字，除非是为改正供应商造成的必须修改的错误而进行的。有改动时，修改处应由法人代表或授权代表签署并加盖公章。 </w:t>
      </w:r>
    </w:p>
    <w:p>
      <w:pPr>
        <w:spacing w:line="48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16.7未按本须知规定的格式填写投标文件或投标文件字迹模糊不清的，其响应将被拒绝。</w:t>
      </w:r>
    </w:p>
    <w:p>
      <w:pPr>
        <w:spacing w:line="480" w:lineRule="exact"/>
        <w:ind w:firstLine="480"/>
        <w:rPr>
          <w:rFonts w:hint="eastAsia" w:ascii="黑体" w:hAnsi="黑体" w:eastAsia="黑体" w:cs="黑体"/>
          <w:b/>
          <w:color w:val="auto"/>
          <w:highlight w:val="none"/>
        </w:rPr>
      </w:pPr>
      <w:r>
        <w:rPr>
          <w:rFonts w:hint="eastAsia" w:ascii="黑体" w:hAnsi="黑体" w:eastAsia="黑体" w:cs="黑体"/>
          <w:bCs/>
          <w:color w:val="auto"/>
          <w:highlight w:val="none"/>
        </w:rPr>
        <w:t>16.8所有资格证明文件复印件均须在有效期内。</w:t>
      </w:r>
    </w:p>
    <w:p>
      <w:pPr>
        <w:pStyle w:val="28"/>
        <w:ind w:firstLine="600"/>
        <w:rPr>
          <w:rFonts w:hint="eastAsia" w:ascii="黑体" w:hAnsi="黑体" w:eastAsia="黑体" w:cs="黑体"/>
          <w:color w:val="auto"/>
          <w:sz w:val="30"/>
          <w:szCs w:val="30"/>
          <w:highlight w:val="none"/>
        </w:rPr>
      </w:pPr>
      <w:bookmarkStart w:id="45" w:name="_Toc12444"/>
      <w:bookmarkStart w:id="46" w:name="_Toc50628052"/>
      <w:bookmarkStart w:id="47" w:name="_Toc18986"/>
      <w:bookmarkStart w:id="48" w:name="_Toc366144035"/>
      <w:bookmarkStart w:id="49" w:name="_Toc524531979"/>
      <w:bookmarkStart w:id="50" w:name="_Toc14140"/>
      <w:bookmarkStart w:id="51" w:name="_Toc356371437"/>
      <w:r>
        <w:rPr>
          <w:rFonts w:hint="eastAsia" w:ascii="黑体" w:hAnsi="黑体" w:eastAsia="黑体" w:cs="黑体"/>
          <w:color w:val="auto"/>
          <w:sz w:val="30"/>
          <w:szCs w:val="30"/>
          <w:highlight w:val="none"/>
        </w:rPr>
        <w:t>四、投标文件的递交</w:t>
      </w:r>
      <w:bookmarkEnd w:id="45"/>
      <w:bookmarkEnd w:id="46"/>
      <w:bookmarkEnd w:id="47"/>
      <w:bookmarkEnd w:id="48"/>
      <w:bookmarkEnd w:id="49"/>
      <w:bookmarkEnd w:id="50"/>
      <w:bookmarkEnd w:id="51"/>
    </w:p>
    <w:p>
      <w:pPr>
        <w:snapToGrid w:val="0"/>
        <w:spacing w:line="48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17.递交投标文件截止期</w:t>
      </w:r>
    </w:p>
    <w:p>
      <w:pPr>
        <w:autoSpaceDE w:val="0"/>
        <w:autoSpaceDN w:val="0"/>
        <w:adjustRightInd w:val="0"/>
        <w:snapToGrid w:val="0"/>
        <w:spacing w:line="46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17.1 投标人应按前附表规定的日期、时间和地点递交投标文件。</w:t>
      </w:r>
    </w:p>
    <w:p>
      <w:pPr>
        <w:autoSpaceDE w:val="0"/>
        <w:autoSpaceDN w:val="0"/>
        <w:adjustRightInd w:val="0"/>
        <w:snapToGrid w:val="0"/>
        <w:spacing w:line="46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17.2 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snapToGrid w:val="0"/>
        <w:spacing w:line="48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18.投标文件的修改和撤销</w:t>
      </w:r>
    </w:p>
    <w:p>
      <w:pPr>
        <w:snapToGrid w:val="0"/>
        <w:spacing w:line="460" w:lineRule="exact"/>
        <w:ind w:firstLine="480"/>
        <w:rPr>
          <w:rFonts w:hint="eastAsia" w:ascii="黑体" w:hAnsi="黑体" w:eastAsia="黑体" w:cs="黑体"/>
          <w:color w:val="auto"/>
          <w:sz w:val="30"/>
          <w:szCs w:val="30"/>
          <w:highlight w:val="none"/>
        </w:rPr>
      </w:pPr>
      <w:bookmarkStart w:id="52" w:name="_Toc524531980"/>
      <w:bookmarkStart w:id="53" w:name="_Toc356371438"/>
      <w:bookmarkStart w:id="54" w:name="_Toc22112"/>
      <w:bookmarkStart w:id="55" w:name="_Toc7581"/>
      <w:bookmarkStart w:id="56" w:name="_Toc982"/>
      <w:bookmarkStart w:id="57" w:name="_Toc366144036"/>
      <w:r>
        <w:rPr>
          <w:rFonts w:hint="eastAsia" w:ascii="黑体" w:hAnsi="黑体" w:eastAsia="黑体" w:cs="黑体"/>
          <w:color w:val="auto"/>
          <w:szCs w:val="24"/>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bookmarkStart w:id="58" w:name="_Toc50628053"/>
    </w:p>
    <w:p>
      <w:pPr>
        <w:pStyle w:val="28"/>
        <w:ind w:firstLine="600"/>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五、投标无效的情形</w:t>
      </w:r>
      <w:bookmarkEnd w:id="52"/>
      <w:bookmarkEnd w:id="53"/>
      <w:bookmarkEnd w:id="54"/>
      <w:bookmarkEnd w:id="55"/>
      <w:bookmarkEnd w:id="56"/>
      <w:bookmarkEnd w:id="57"/>
      <w:bookmarkEnd w:id="58"/>
    </w:p>
    <w:p>
      <w:pPr>
        <w:snapToGrid w:val="0"/>
        <w:spacing w:line="480" w:lineRule="exact"/>
        <w:ind w:firstLine="480"/>
        <w:rPr>
          <w:rFonts w:hint="eastAsia" w:ascii="黑体" w:hAnsi="黑体" w:eastAsia="黑体" w:cs="黑体"/>
          <w:b/>
          <w:color w:val="auto"/>
          <w:szCs w:val="24"/>
          <w:highlight w:val="none"/>
        </w:rPr>
      </w:pPr>
      <w:r>
        <w:rPr>
          <w:rFonts w:hint="eastAsia" w:ascii="黑体" w:hAnsi="黑体" w:eastAsia="黑体" w:cs="黑体"/>
          <w:b/>
          <w:color w:val="auto"/>
          <w:szCs w:val="24"/>
          <w:highlight w:val="none"/>
        </w:rPr>
        <w:t>19.实质上没有响应招标文件要求的投标将被视为无效投标。</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19.1投标人不得通过修正或撤消不合要求的偏离或保留从而使其投标成为实质上响应的投标。如发生下列情况之一的，其投标视为无效：</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19.2投标文件等逾期送达的</w:t>
      </w:r>
      <w:r>
        <w:rPr>
          <w:rFonts w:hint="eastAsia" w:ascii="黑体" w:hAnsi="黑体" w:eastAsia="黑体" w:cs="黑体"/>
          <w:color w:val="auto"/>
          <w:szCs w:val="24"/>
          <w:highlight w:val="none"/>
        </w:rPr>
        <w:t>；</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19.3</w:t>
      </w:r>
      <w:r>
        <w:rPr>
          <w:rFonts w:hint="eastAsia" w:ascii="黑体" w:hAnsi="黑体" w:eastAsia="黑体" w:cs="黑体"/>
          <w:color w:val="auto"/>
          <w:szCs w:val="24"/>
          <w:highlight w:val="none"/>
        </w:rPr>
        <w:t>不具备招标文件规定资格要求；</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19.4</w:t>
      </w:r>
      <w:r>
        <w:rPr>
          <w:rFonts w:hint="eastAsia" w:ascii="黑体" w:hAnsi="黑体" w:eastAsia="黑体" w:cs="黑体"/>
          <w:color w:val="auto"/>
          <w:szCs w:val="24"/>
          <w:highlight w:val="none"/>
        </w:rPr>
        <w:t>法人代表授权书应签字、盖章而未签盖的，法人代表或被授权人无法提供有效身份证明原件的，和其他未有效授权的；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19.5</w:t>
      </w:r>
      <w:r>
        <w:rPr>
          <w:rFonts w:hint="eastAsia" w:ascii="黑体" w:hAnsi="黑体" w:eastAsia="黑体" w:cs="黑体"/>
          <w:color w:val="auto"/>
          <w:szCs w:val="24"/>
          <w:highlight w:val="none"/>
        </w:rPr>
        <w:t>招标文件中有▲处条款或▲处参数投标人未作实质性响应的；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19.6</w:t>
      </w:r>
      <w:r>
        <w:rPr>
          <w:rFonts w:hint="eastAsia" w:ascii="黑体" w:hAnsi="黑体" w:eastAsia="黑体" w:cs="黑体"/>
          <w:color w:val="auto"/>
          <w:szCs w:val="24"/>
          <w:highlight w:val="none"/>
        </w:rPr>
        <w:t>投标文件的实质性内容未使用中文表述、意思表述不明确、前后矛盾或者使用计量单位不符合招标文件要求的（经评标委员会认定允许其当场更正的笔误除外）；</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19.7</w:t>
      </w:r>
      <w:r>
        <w:rPr>
          <w:rFonts w:hint="eastAsia" w:ascii="黑体" w:hAnsi="黑体" w:eastAsia="黑体" w:cs="黑体"/>
          <w:color w:val="auto"/>
          <w:szCs w:val="24"/>
          <w:highlight w:val="none"/>
        </w:rPr>
        <w:t>投标文件关键内容字迹模糊、无法辨认的；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19.8</w:t>
      </w:r>
      <w:r>
        <w:rPr>
          <w:rFonts w:hint="eastAsia" w:ascii="黑体" w:hAnsi="黑体" w:eastAsia="黑体" w:cs="黑体"/>
          <w:color w:val="auto"/>
          <w:szCs w:val="24"/>
          <w:highlight w:val="none"/>
        </w:rPr>
        <w:t>投标方案不明确，存在一个或一个以上备选（替代）投标方案的；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19.9</w:t>
      </w:r>
      <w:r>
        <w:rPr>
          <w:rFonts w:hint="eastAsia" w:ascii="黑体" w:hAnsi="黑体" w:eastAsia="黑体" w:cs="黑体"/>
          <w:color w:val="auto"/>
          <w:szCs w:val="24"/>
          <w:highlight w:val="none"/>
        </w:rPr>
        <w:t>资信技术文件中包含本次商务报价的；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19.10</w:t>
      </w:r>
      <w:r>
        <w:rPr>
          <w:rFonts w:hint="eastAsia" w:ascii="黑体" w:hAnsi="黑体" w:eastAsia="黑体" w:cs="黑体"/>
          <w:color w:val="auto"/>
          <w:szCs w:val="24"/>
          <w:highlight w:val="none"/>
        </w:rPr>
        <w:t>未采用人民币报价或者未按照招标文件标明的币种报价的；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19.11</w:t>
      </w:r>
      <w:r>
        <w:rPr>
          <w:rFonts w:hint="eastAsia" w:ascii="黑体" w:hAnsi="黑体" w:eastAsia="黑体" w:cs="黑体"/>
          <w:color w:val="auto"/>
          <w:szCs w:val="24"/>
          <w:highlight w:val="none"/>
        </w:rPr>
        <w:t>投标报价具有选择性，或者开标价格与投标文件承诺的优惠（折扣）价格不一致的；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19.12</w:t>
      </w:r>
      <w:r>
        <w:rPr>
          <w:rFonts w:hint="eastAsia" w:ascii="黑体" w:hAnsi="黑体" w:eastAsia="黑体" w:cs="黑体"/>
          <w:color w:val="auto"/>
          <w:szCs w:val="24"/>
          <w:highlight w:val="none"/>
        </w:rPr>
        <w:t>投标报价明细表总额与开标一览表总价不一致，且高于总价5％的；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19.13</w:t>
      </w:r>
      <w:r>
        <w:rPr>
          <w:rFonts w:hint="eastAsia" w:ascii="黑体" w:hAnsi="黑体" w:eastAsia="黑体" w:cs="黑体"/>
          <w:color w:val="auto"/>
          <w:szCs w:val="24"/>
          <w:highlight w:val="none"/>
        </w:rPr>
        <w:t>投标人的报价明显高于其市场价或低于成本价的，该投标人不能合理说明原因并提供证明材料的；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19.14</w:t>
      </w:r>
      <w:r>
        <w:rPr>
          <w:rFonts w:hint="eastAsia" w:ascii="黑体" w:hAnsi="黑体" w:eastAsia="黑体" w:cs="黑体"/>
          <w:color w:val="auto"/>
          <w:szCs w:val="24"/>
          <w:highlight w:val="none"/>
        </w:rPr>
        <w:t>投标报价漏项超过投标报价5%以上的或漏项超过2项及以上的，均属无效投标；</w:t>
      </w:r>
    </w:p>
    <w:p>
      <w:pPr>
        <w:snapToGrid w:val="0"/>
        <w:spacing w:line="480" w:lineRule="exact"/>
        <w:ind w:firstLine="480"/>
        <w:rPr>
          <w:rFonts w:hint="eastAsia" w:ascii="黑体" w:hAnsi="黑体" w:eastAsia="黑体" w:cs="黑体"/>
          <w:snapToGrid w:val="0"/>
          <w:color w:val="auto"/>
          <w:szCs w:val="24"/>
          <w:highlight w:val="none"/>
        </w:rPr>
      </w:pPr>
      <w:r>
        <w:rPr>
          <w:rFonts w:hint="eastAsia" w:ascii="黑体" w:hAnsi="黑体" w:eastAsia="黑体" w:cs="黑体"/>
          <w:bCs/>
          <w:color w:val="auto"/>
          <w:szCs w:val="24"/>
          <w:highlight w:val="none"/>
        </w:rPr>
        <w:t>19.15</w:t>
      </w:r>
      <w:r>
        <w:rPr>
          <w:rFonts w:hint="eastAsia" w:ascii="黑体" w:hAnsi="黑体" w:eastAsia="黑体" w:cs="黑体"/>
          <w:snapToGrid w:val="0"/>
          <w:color w:val="auto"/>
          <w:szCs w:val="24"/>
          <w:highlight w:val="none"/>
        </w:rPr>
        <w:t>报价超出采购预算价（最高限价）的</w:t>
      </w:r>
      <w:r>
        <w:rPr>
          <w:rFonts w:hint="eastAsia" w:ascii="黑体" w:hAnsi="黑体" w:eastAsia="黑体" w:cs="黑体"/>
          <w:color w:val="auto"/>
          <w:szCs w:val="24"/>
          <w:highlight w:val="none"/>
        </w:rPr>
        <w:t>；</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19.16</w:t>
      </w:r>
      <w:r>
        <w:rPr>
          <w:rFonts w:hint="eastAsia" w:ascii="黑体" w:hAnsi="黑体" w:eastAsia="黑体" w:cs="黑体"/>
          <w:color w:val="auto"/>
          <w:szCs w:val="24"/>
          <w:highlight w:val="none"/>
        </w:rPr>
        <w:t>提供虚假材料谋取中标的；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19</w:t>
      </w:r>
      <w:r>
        <w:rPr>
          <w:rFonts w:hint="eastAsia" w:ascii="黑体" w:hAnsi="黑体" w:eastAsia="黑体" w:cs="黑体"/>
          <w:color w:val="auto"/>
          <w:szCs w:val="24"/>
          <w:highlight w:val="none"/>
        </w:rPr>
        <w:t>.17评标委员会认为投标人的报价明显低于其他通过符合性审查投标人的报价，有可能影响产品质量或者不能诚信履约的，应当要求其在评标过程中合理的时间内提供书面说明，必要时提交相关证明材料；投标人不能证明其报价合理性的，评标委员会应当将其作为无效投标处理；</w:t>
      </w:r>
    </w:p>
    <w:p>
      <w:pPr>
        <w:snapToGrid w:val="0"/>
        <w:spacing w:line="480" w:lineRule="exact"/>
        <w:ind w:firstLine="480"/>
        <w:rPr>
          <w:rFonts w:hint="eastAsia" w:ascii="黑体" w:hAnsi="黑体" w:eastAsia="黑体" w:cs="黑体"/>
          <w:color w:val="auto"/>
          <w:sz w:val="30"/>
          <w:szCs w:val="30"/>
          <w:highlight w:val="none"/>
        </w:rPr>
      </w:pPr>
      <w:r>
        <w:rPr>
          <w:rFonts w:hint="eastAsia" w:ascii="黑体" w:hAnsi="黑体" w:eastAsia="黑体" w:cs="黑体"/>
          <w:bCs/>
          <w:color w:val="auto"/>
          <w:szCs w:val="24"/>
          <w:highlight w:val="none"/>
        </w:rPr>
        <w:t>19.18</w:t>
      </w:r>
      <w:r>
        <w:rPr>
          <w:rFonts w:hint="eastAsia" w:ascii="黑体" w:hAnsi="黑体" w:eastAsia="黑体" w:cs="黑体"/>
          <w:color w:val="auto"/>
          <w:szCs w:val="24"/>
          <w:highlight w:val="none"/>
        </w:rPr>
        <w:t>不符合法律、法规和招标文件规定的其他实质性要求的。</w:t>
      </w:r>
      <w:bookmarkStart w:id="59" w:name="_Toc50628054"/>
      <w:bookmarkStart w:id="60" w:name="_Toc19995"/>
      <w:bookmarkStart w:id="61" w:name="_Toc27920"/>
      <w:bookmarkStart w:id="62" w:name="_Toc524531981"/>
      <w:bookmarkStart w:id="63" w:name="_Toc366144037"/>
      <w:bookmarkStart w:id="64" w:name="_Toc16599"/>
      <w:bookmarkStart w:id="65" w:name="_Toc356371439"/>
    </w:p>
    <w:p>
      <w:pPr>
        <w:pStyle w:val="28"/>
        <w:ind w:firstLine="600"/>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六、废标的情形</w:t>
      </w:r>
      <w:bookmarkEnd w:id="59"/>
      <w:bookmarkEnd w:id="60"/>
      <w:bookmarkEnd w:id="61"/>
      <w:bookmarkEnd w:id="62"/>
      <w:bookmarkEnd w:id="63"/>
      <w:bookmarkEnd w:id="64"/>
    </w:p>
    <w:p>
      <w:pPr>
        <w:snapToGrid w:val="0"/>
        <w:spacing w:line="480" w:lineRule="exact"/>
        <w:ind w:firstLine="361" w:firstLineChars="150"/>
        <w:rPr>
          <w:rFonts w:hint="eastAsia" w:ascii="黑体" w:hAnsi="黑体" w:eastAsia="黑体" w:cs="黑体"/>
          <w:b/>
          <w:bCs/>
          <w:color w:val="auto"/>
          <w:szCs w:val="24"/>
          <w:highlight w:val="none"/>
        </w:rPr>
      </w:pPr>
      <w:r>
        <w:rPr>
          <w:rFonts w:hint="eastAsia" w:ascii="黑体" w:hAnsi="黑体" w:eastAsia="黑体" w:cs="黑体"/>
          <w:b/>
          <w:color w:val="auto"/>
          <w:szCs w:val="24"/>
          <w:highlight w:val="none"/>
        </w:rPr>
        <w:t>20.采购中，出现下列情形之一的，应予废标，废标后，采购人将废标理由通知所有投标人：</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20.1符合专业条件的投标人或对招标文件作实质性响应的投标人不足3家的；</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20.2出现影响采购公证的违法、违规行为的；</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20.3投标人的报价均超过了采购预算</w:t>
      </w:r>
      <w:r>
        <w:rPr>
          <w:rFonts w:hint="eastAsia" w:ascii="黑体" w:hAnsi="黑体" w:eastAsia="黑体" w:cs="黑体"/>
          <w:color w:val="auto"/>
          <w:szCs w:val="24"/>
          <w:highlight w:val="none"/>
        </w:rPr>
        <w:t>（最高限价）</w:t>
      </w:r>
      <w:r>
        <w:rPr>
          <w:rFonts w:hint="eastAsia" w:ascii="黑体" w:hAnsi="黑体" w:eastAsia="黑体" w:cs="黑体"/>
          <w:bCs/>
          <w:color w:val="auto"/>
          <w:szCs w:val="24"/>
          <w:highlight w:val="none"/>
        </w:rPr>
        <w:t>，采购人不能支付的；</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20.4</w:t>
      </w:r>
      <w:r>
        <w:rPr>
          <w:rFonts w:hint="eastAsia" w:ascii="黑体" w:hAnsi="黑体" w:eastAsia="黑体" w:cs="黑体"/>
          <w:color w:val="auto"/>
          <w:highlight w:val="none"/>
        </w:rPr>
        <w:t>“▲”系指按本招标文件要求投标人必须实质性响应的条款，有任何一项缺失或非实质性响应将取消其投标资格；</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20.5因重大变故，采购任务取消的。</w:t>
      </w:r>
    </w:p>
    <w:p>
      <w:pPr>
        <w:pStyle w:val="28"/>
        <w:ind w:firstLine="600"/>
        <w:rPr>
          <w:rFonts w:hint="eastAsia" w:ascii="黑体" w:hAnsi="黑体" w:eastAsia="黑体" w:cs="黑体"/>
          <w:color w:val="auto"/>
          <w:sz w:val="30"/>
          <w:szCs w:val="30"/>
          <w:highlight w:val="none"/>
        </w:rPr>
      </w:pPr>
      <w:bookmarkStart w:id="66" w:name="_Toc50628055"/>
      <w:r>
        <w:rPr>
          <w:rFonts w:hint="eastAsia" w:ascii="黑体" w:hAnsi="黑体" w:eastAsia="黑体" w:cs="黑体"/>
          <w:color w:val="auto"/>
          <w:sz w:val="30"/>
          <w:szCs w:val="30"/>
          <w:highlight w:val="none"/>
        </w:rPr>
        <w:t>七、串通投标情形</w:t>
      </w:r>
      <w:bookmarkEnd w:id="66"/>
    </w:p>
    <w:p>
      <w:pPr>
        <w:snapToGrid w:val="0"/>
        <w:spacing w:line="480" w:lineRule="exact"/>
        <w:ind w:firstLine="480"/>
        <w:rPr>
          <w:rFonts w:hint="eastAsia" w:ascii="黑体" w:hAnsi="黑体" w:eastAsia="黑体" w:cs="黑体"/>
          <w:b/>
          <w:color w:val="auto"/>
          <w:szCs w:val="24"/>
          <w:highlight w:val="none"/>
        </w:rPr>
      </w:pPr>
      <w:r>
        <w:rPr>
          <w:rFonts w:hint="eastAsia" w:ascii="黑体" w:hAnsi="黑体" w:eastAsia="黑体" w:cs="黑体"/>
          <w:b/>
          <w:color w:val="auto"/>
          <w:szCs w:val="24"/>
          <w:highlight w:val="none"/>
        </w:rPr>
        <w:t>21.</w:t>
      </w:r>
      <w:r>
        <w:rPr>
          <w:rFonts w:hint="eastAsia" w:ascii="黑体" w:hAnsi="黑体" w:eastAsia="黑体" w:cs="黑体"/>
          <w:color w:val="auto"/>
          <w:szCs w:val="24"/>
          <w:highlight w:val="none"/>
        </w:rPr>
        <w:t>有下列情形之一的，视为投标人串通投标，其投标无效:</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21.1不同投标人的投标文件由同一单位或者个人编制；</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21.2不同投标人委托同一单位或者个人办理投标事宜；</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21.3不同投标人的投标文件载明的项目管理成员或者联系人员为同一人；</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21.4不同投标人的投标文件异常一致或者投标报价呈规律性差异；</w:t>
      </w:r>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21.5不同投标人的投标文件相互混装；</w:t>
      </w:r>
    </w:p>
    <w:p>
      <w:pPr>
        <w:snapToGrid w:val="0"/>
        <w:spacing w:line="480" w:lineRule="exact"/>
        <w:ind w:firstLine="480"/>
        <w:rPr>
          <w:rFonts w:hint="eastAsia" w:ascii="黑体" w:hAnsi="黑体" w:eastAsia="黑体" w:cs="黑体"/>
          <w:color w:val="auto"/>
          <w:highlight w:val="none"/>
        </w:rPr>
      </w:pPr>
      <w:r>
        <w:rPr>
          <w:rFonts w:hint="eastAsia" w:ascii="黑体" w:hAnsi="黑体" w:eastAsia="黑体" w:cs="黑体"/>
          <w:bCs/>
          <w:color w:val="auto"/>
          <w:szCs w:val="24"/>
          <w:highlight w:val="none"/>
        </w:rPr>
        <w:t>21.6不同投标人的投标保证金从同一单位或者个人的账户转出。</w:t>
      </w:r>
    </w:p>
    <w:p>
      <w:pPr>
        <w:pStyle w:val="28"/>
        <w:ind w:firstLine="600"/>
        <w:rPr>
          <w:rFonts w:hint="eastAsia" w:ascii="黑体" w:hAnsi="黑体" w:eastAsia="黑体" w:cs="黑体"/>
          <w:color w:val="auto"/>
          <w:sz w:val="30"/>
          <w:szCs w:val="30"/>
          <w:highlight w:val="none"/>
        </w:rPr>
      </w:pPr>
      <w:bookmarkStart w:id="67" w:name="_Toc366144038"/>
      <w:bookmarkStart w:id="68" w:name="_Toc11389"/>
      <w:bookmarkStart w:id="69" w:name="_Toc524531982"/>
      <w:bookmarkStart w:id="70" w:name="_Toc8764"/>
      <w:bookmarkStart w:id="71" w:name="_Toc24232"/>
      <w:bookmarkStart w:id="72" w:name="_Toc50628056"/>
      <w:r>
        <w:rPr>
          <w:rFonts w:hint="eastAsia" w:ascii="黑体" w:hAnsi="黑体" w:eastAsia="黑体" w:cs="黑体"/>
          <w:color w:val="auto"/>
          <w:sz w:val="30"/>
          <w:szCs w:val="30"/>
          <w:highlight w:val="none"/>
        </w:rPr>
        <w:t>八、开标</w:t>
      </w:r>
      <w:bookmarkEnd w:id="65"/>
      <w:r>
        <w:rPr>
          <w:rFonts w:hint="eastAsia" w:ascii="黑体" w:hAnsi="黑体" w:eastAsia="黑体" w:cs="黑体"/>
          <w:color w:val="auto"/>
          <w:sz w:val="30"/>
          <w:szCs w:val="30"/>
          <w:highlight w:val="none"/>
        </w:rPr>
        <w:t>、评标</w:t>
      </w:r>
      <w:bookmarkEnd w:id="67"/>
      <w:r>
        <w:rPr>
          <w:rFonts w:hint="eastAsia" w:ascii="黑体" w:hAnsi="黑体" w:eastAsia="黑体" w:cs="黑体"/>
          <w:color w:val="auto"/>
          <w:sz w:val="30"/>
          <w:szCs w:val="30"/>
          <w:highlight w:val="none"/>
        </w:rPr>
        <w:t>和定标</w:t>
      </w:r>
      <w:bookmarkEnd w:id="68"/>
      <w:bookmarkEnd w:id="69"/>
      <w:bookmarkEnd w:id="70"/>
      <w:bookmarkEnd w:id="71"/>
      <w:bookmarkEnd w:id="72"/>
    </w:p>
    <w:p>
      <w:pPr>
        <w:snapToGrid w:val="0"/>
        <w:spacing w:line="48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22.开标</w:t>
      </w:r>
    </w:p>
    <w:p>
      <w:pPr>
        <w:spacing w:line="480" w:lineRule="exact"/>
        <w:ind w:firstLine="480"/>
        <w:rPr>
          <w:rFonts w:hint="eastAsia" w:ascii="黑体" w:hAnsi="黑体" w:eastAsia="黑体" w:cs="黑体"/>
          <w:bCs/>
          <w:color w:val="auto"/>
          <w:szCs w:val="24"/>
          <w:highlight w:val="none"/>
          <w:u w:val="single"/>
        </w:rPr>
      </w:pPr>
      <w:r>
        <w:rPr>
          <w:rFonts w:hint="eastAsia" w:ascii="黑体" w:hAnsi="黑体" w:eastAsia="黑体" w:cs="黑体"/>
          <w:bCs/>
          <w:color w:val="auto"/>
          <w:szCs w:val="24"/>
          <w:highlight w:val="none"/>
        </w:rPr>
        <w:t>22.1招标</w:t>
      </w:r>
      <w:r>
        <w:rPr>
          <w:rFonts w:hint="eastAsia" w:ascii="黑体" w:hAnsi="黑体" w:eastAsia="黑体" w:cs="黑体"/>
          <w:color w:val="auto"/>
          <w:szCs w:val="24"/>
          <w:highlight w:val="none"/>
          <w:lang w:val="zh-CN"/>
        </w:rPr>
        <w:t>组织人</w:t>
      </w:r>
      <w:r>
        <w:rPr>
          <w:rFonts w:hint="eastAsia" w:ascii="黑体" w:hAnsi="黑体" w:eastAsia="黑体" w:cs="黑体"/>
          <w:bCs/>
          <w:color w:val="auto"/>
          <w:szCs w:val="24"/>
          <w:highlight w:val="none"/>
        </w:rPr>
        <w:t>在招标文件规定的时间和地点公开开标，投标人无需到场。</w:t>
      </w:r>
    </w:p>
    <w:p>
      <w:pPr>
        <w:pStyle w:val="20"/>
        <w:snapToGrid w:val="0"/>
        <w:spacing w:line="480" w:lineRule="exact"/>
        <w:ind w:firstLine="480"/>
        <w:rPr>
          <w:rFonts w:hint="eastAsia" w:ascii="黑体" w:hAnsi="黑体" w:eastAsia="黑体" w:cs="黑体"/>
          <w:b/>
          <w:color w:val="auto"/>
          <w:szCs w:val="24"/>
          <w:highlight w:val="none"/>
        </w:rPr>
      </w:pPr>
      <w:r>
        <w:rPr>
          <w:rFonts w:hint="eastAsia" w:ascii="黑体" w:hAnsi="黑体" w:eastAsia="黑体" w:cs="黑体"/>
          <w:b/>
          <w:color w:val="auto"/>
          <w:szCs w:val="24"/>
          <w:highlight w:val="none"/>
        </w:rPr>
        <w:t>23.评标委员会</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23.1</w:t>
      </w:r>
      <w:r>
        <w:rPr>
          <w:rFonts w:hint="eastAsia" w:ascii="黑体" w:hAnsi="黑体" w:eastAsia="黑体" w:cs="黑体"/>
          <w:color w:val="auto"/>
          <w:szCs w:val="24"/>
          <w:highlight w:val="none"/>
        </w:rPr>
        <w:t>采购代理机构和采购人将根据招标采购货物的特点组建评标委员会。评标委员会对投标文件进行审查、询标、评议和推荐中标候选人。评标委员会判断投标文件的响应性，仅基于投标文件本身而不靠外部证据。</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23.2询标期间，投标人法人代表或法人委托人必须在场。</w:t>
      </w:r>
    </w:p>
    <w:p>
      <w:pPr>
        <w:pStyle w:val="20"/>
        <w:snapToGrid w:val="0"/>
        <w:spacing w:line="480" w:lineRule="exact"/>
        <w:ind w:firstLine="480"/>
        <w:rPr>
          <w:rFonts w:hint="eastAsia" w:ascii="黑体" w:hAnsi="黑体" w:eastAsia="黑体" w:cs="黑体"/>
          <w:b/>
          <w:color w:val="auto"/>
          <w:szCs w:val="24"/>
          <w:highlight w:val="none"/>
        </w:rPr>
      </w:pPr>
      <w:r>
        <w:rPr>
          <w:rFonts w:hint="eastAsia" w:ascii="黑体" w:hAnsi="黑体" w:eastAsia="黑体" w:cs="黑体"/>
          <w:b/>
          <w:color w:val="auto"/>
          <w:szCs w:val="24"/>
          <w:highlight w:val="none"/>
        </w:rPr>
        <w:t>24.</w:t>
      </w:r>
      <w:r>
        <w:rPr>
          <w:rFonts w:hint="eastAsia" w:ascii="黑体" w:hAnsi="黑体" w:eastAsia="黑体" w:cs="黑体"/>
          <w:color w:val="auto"/>
          <w:szCs w:val="24"/>
          <w:highlight w:val="none"/>
        </w:rPr>
        <w:t>对投标文件的审查和响应性的确定</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24.1评标时，招标人将组织审查投标文件是否完整，文件是否恰当地签署。</w:t>
      </w:r>
    </w:p>
    <w:p>
      <w:pPr>
        <w:spacing w:line="48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▲投标文件报价出现前后不一致的，除招标文件另有规定外，按照下列规定修正：</w:t>
      </w:r>
    </w:p>
    <w:p>
      <w:pPr>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（1）投标文件中开标一览表（报价表)内容与投标文件中相应内容不一致的，以开标一览表（报价表)为准；</w:t>
      </w:r>
    </w:p>
    <w:p>
      <w:pPr>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（2）大写金额和小写金额不一致的，以大写金额为准；</w:t>
      </w:r>
    </w:p>
    <w:p>
      <w:pPr>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（3）单价金额小数点</w:t>
      </w:r>
      <w:r>
        <w:rPr>
          <w:rFonts w:hint="eastAsia" w:ascii="黑体" w:hAnsi="黑体" w:eastAsia="黑体" w:cs="黑体"/>
          <w:b/>
          <w:bCs/>
          <w:color w:val="auto"/>
          <w:szCs w:val="24"/>
          <w:highlight w:val="none"/>
        </w:rPr>
        <w:t>或者百分比</w:t>
      </w:r>
      <w:r>
        <w:rPr>
          <w:rFonts w:hint="eastAsia" w:ascii="黑体" w:hAnsi="黑体" w:eastAsia="黑体" w:cs="黑体"/>
          <w:color w:val="auto"/>
          <w:szCs w:val="24"/>
          <w:highlight w:val="none"/>
        </w:rPr>
        <w:t>有明显错位的，以</w:t>
      </w:r>
      <w:r>
        <w:rPr>
          <w:rFonts w:hint="eastAsia" w:ascii="黑体" w:hAnsi="黑体" w:eastAsia="黑体" w:cs="黑体"/>
          <w:b/>
          <w:bCs/>
          <w:color w:val="auto"/>
          <w:szCs w:val="24"/>
          <w:highlight w:val="none"/>
        </w:rPr>
        <w:t>开标一览表</w:t>
      </w:r>
      <w:r>
        <w:rPr>
          <w:rFonts w:hint="eastAsia" w:ascii="黑体" w:hAnsi="黑体" w:eastAsia="黑体" w:cs="黑体"/>
          <w:color w:val="auto"/>
          <w:szCs w:val="24"/>
          <w:highlight w:val="none"/>
        </w:rPr>
        <w:t>的总价为准，并修改单价；</w:t>
      </w:r>
    </w:p>
    <w:p>
      <w:pPr>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（4）总价金额与按单价汇总金额不一致的，以单价金额计算结果为准。</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同时出现两种以上不一致的，按照前款规定的顺序修正。如果投标人不接受对其错误的更正，其投标将被拒绝。</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24.2如果确定投标人无资格履行合同，其投标将被拒绝。</w:t>
      </w:r>
    </w:p>
    <w:p>
      <w:pPr>
        <w:pStyle w:val="20"/>
        <w:snapToGrid w:val="0"/>
        <w:spacing w:line="480" w:lineRule="exact"/>
        <w:ind w:firstLine="480"/>
        <w:rPr>
          <w:rFonts w:hint="eastAsia" w:ascii="黑体" w:hAnsi="黑体" w:eastAsia="黑体" w:cs="黑体"/>
          <w:b/>
          <w:color w:val="auto"/>
          <w:szCs w:val="24"/>
          <w:highlight w:val="none"/>
        </w:rPr>
      </w:pPr>
      <w:r>
        <w:rPr>
          <w:rFonts w:hint="eastAsia" w:ascii="黑体" w:hAnsi="黑体" w:eastAsia="黑体" w:cs="黑体"/>
          <w:b/>
          <w:color w:val="auto"/>
          <w:szCs w:val="24"/>
          <w:highlight w:val="none"/>
        </w:rPr>
        <w:t>25.评标方法和定标</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25.1评标办法采用综合评分法，最大限度地满足招标文件中规定的各项综合评价标准且综合得分最高的投标人，将被推荐为中标候选人。</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25.1.1开标后，评标小组首先对投标人的资信证明文件等进行审查。凡不符合有关规定或不响应招标文件要求的投标书将不进入评标范围。评标小组以开标、审标、询标情况为基本依据，对有效的投标书及其投标人按评标内容进行分析、评议，并采用百分制综合评分,以总分最高者作为中标候选人，次高者为备选单位。先评资信技术得分，再算报价得分。评标过程中如发现有异常情况，由评委集体讨论决定。</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25.1.2得分相同的，按投标报价由低到高顺序排列。得分且投标报价相同的并列。投标文件满足招标文件全部实质性要求，且按照评审因素的量化指标评审得分最高的投标人为排名第一的中标候选人。</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25.1.3总分计算</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A、资信技术得分由各评委根据</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"_第五章_评标办法及评分标准" </w:instrText>
      </w:r>
      <w:r>
        <w:rPr>
          <w:rFonts w:hint="eastAsia" w:ascii="黑体" w:hAnsi="黑体" w:eastAsia="黑体" w:cs="黑体"/>
          <w:color w:val="auto"/>
          <w:highlight w:val="none"/>
        </w:rPr>
        <w:fldChar w:fldCharType="separate"/>
      </w:r>
      <w:r>
        <w:rPr>
          <w:rStyle w:val="50"/>
          <w:rFonts w:hint="eastAsia" w:ascii="黑体" w:hAnsi="黑体" w:eastAsia="黑体" w:cs="黑体"/>
          <w:bCs/>
          <w:color w:val="auto"/>
          <w:kern w:val="0"/>
          <w:szCs w:val="24"/>
          <w:highlight w:val="none"/>
          <w:u w:val="none" w:color="000000"/>
        </w:rPr>
        <w:t>第五章评</w:t>
      </w:r>
      <w:bookmarkStart w:id="73" w:name="_Hlt361560735"/>
      <w:bookmarkStart w:id="74" w:name="_Hlt361560734"/>
      <w:bookmarkStart w:id="75" w:name="_Hlt361563210"/>
      <w:r>
        <w:rPr>
          <w:rStyle w:val="50"/>
          <w:rFonts w:hint="eastAsia" w:ascii="黑体" w:hAnsi="黑体" w:eastAsia="黑体" w:cs="黑体"/>
          <w:bCs/>
          <w:color w:val="auto"/>
          <w:kern w:val="0"/>
          <w:szCs w:val="24"/>
          <w:highlight w:val="none"/>
          <w:u w:val="none" w:color="000000"/>
        </w:rPr>
        <w:t>标</w:t>
      </w:r>
      <w:bookmarkEnd w:id="73"/>
      <w:bookmarkEnd w:id="74"/>
      <w:bookmarkEnd w:id="75"/>
      <w:r>
        <w:rPr>
          <w:rStyle w:val="50"/>
          <w:rFonts w:hint="eastAsia" w:ascii="黑体" w:hAnsi="黑体" w:eastAsia="黑体" w:cs="黑体"/>
          <w:bCs/>
          <w:color w:val="auto"/>
          <w:kern w:val="0"/>
          <w:szCs w:val="24"/>
          <w:highlight w:val="none"/>
          <w:u w:val="none" w:color="000000"/>
        </w:rPr>
        <w:t>办法及评分标准</w:t>
      </w:r>
      <w:r>
        <w:rPr>
          <w:rStyle w:val="50"/>
          <w:rFonts w:hint="eastAsia" w:ascii="黑体" w:hAnsi="黑体" w:eastAsia="黑体" w:cs="黑体"/>
          <w:bCs/>
          <w:color w:val="auto"/>
          <w:kern w:val="0"/>
          <w:szCs w:val="24"/>
          <w:highlight w:val="none"/>
          <w:u w:val="none" w:color="000000"/>
        </w:rPr>
        <w:fldChar w:fldCharType="end"/>
      </w:r>
      <w:r>
        <w:rPr>
          <w:rFonts w:hint="eastAsia" w:ascii="黑体" w:hAnsi="黑体" w:eastAsia="黑体" w:cs="黑体"/>
          <w:b/>
          <w:bCs/>
          <w:color w:val="auto"/>
          <w:szCs w:val="24"/>
          <w:highlight w:val="none"/>
        </w:rPr>
        <w:t>，</w:t>
      </w:r>
      <w:r>
        <w:rPr>
          <w:rFonts w:hint="eastAsia" w:ascii="黑体" w:hAnsi="黑体" w:eastAsia="黑体" w:cs="黑体"/>
          <w:bCs/>
          <w:color w:val="auto"/>
          <w:szCs w:val="24"/>
          <w:highlight w:val="none"/>
        </w:rPr>
        <w:t>对各投标人的项目技术进行书面审核和评论后，由各评委独立酌情给分，打分时保留小数1位，每人一份评分表，并签名。在统计得分时，如果发现某一单项评分超过评分细则规定的分值范围，则该张评分表无效。投标人项目技术最终得分为评标专家组成员的有效评分的算术平均值。计算时保留小数2位，小数点采用四舍五入方法。</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B、商务报价分按</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\l "_第五章_评标办法及评分标准" </w:instrText>
      </w:r>
      <w:r>
        <w:rPr>
          <w:rFonts w:hint="eastAsia" w:ascii="黑体" w:hAnsi="黑体" w:eastAsia="黑体" w:cs="黑体"/>
          <w:color w:val="auto"/>
          <w:highlight w:val="none"/>
        </w:rPr>
        <w:fldChar w:fldCharType="separate"/>
      </w:r>
      <w:r>
        <w:rPr>
          <w:rStyle w:val="50"/>
          <w:rFonts w:hint="eastAsia" w:ascii="黑体" w:hAnsi="黑体" w:eastAsia="黑体" w:cs="黑体"/>
          <w:bCs/>
          <w:color w:val="auto"/>
          <w:kern w:val="0"/>
          <w:szCs w:val="24"/>
          <w:highlight w:val="none"/>
          <w:u w:val="none" w:color="000000"/>
        </w:rPr>
        <w:t>第五章评标办</w:t>
      </w:r>
      <w:bookmarkStart w:id="76" w:name="_Hlt361564435"/>
      <w:r>
        <w:rPr>
          <w:rStyle w:val="50"/>
          <w:rFonts w:hint="eastAsia" w:ascii="黑体" w:hAnsi="黑体" w:eastAsia="黑体" w:cs="黑体"/>
          <w:bCs/>
          <w:color w:val="auto"/>
          <w:kern w:val="0"/>
          <w:szCs w:val="24"/>
          <w:highlight w:val="none"/>
          <w:u w:val="none" w:color="000000"/>
        </w:rPr>
        <w:t>法</w:t>
      </w:r>
      <w:bookmarkEnd w:id="76"/>
      <w:r>
        <w:rPr>
          <w:rStyle w:val="50"/>
          <w:rFonts w:hint="eastAsia" w:ascii="黑体" w:hAnsi="黑体" w:eastAsia="黑体" w:cs="黑体"/>
          <w:bCs/>
          <w:color w:val="auto"/>
          <w:kern w:val="0"/>
          <w:szCs w:val="24"/>
          <w:highlight w:val="none"/>
          <w:u w:val="none" w:color="000000"/>
        </w:rPr>
        <w:t>及评分标准</w:t>
      </w:r>
      <w:r>
        <w:rPr>
          <w:rStyle w:val="50"/>
          <w:rFonts w:hint="eastAsia" w:ascii="黑体" w:hAnsi="黑体" w:eastAsia="黑体" w:cs="黑体"/>
          <w:bCs/>
          <w:color w:val="auto"/>
          <w:kern w:val="0"/>
          <w:szCs w:val="24"/>
          <w:highlight w:val="none"/>
          <w:u w:val="none" w:color="000000"/>
        </w:rPr>
        <w:fldChar w:fldCharType="end"/>
      </w:r>
      <w:r>
        <w:rPr>
          <w:rFonts w:hint="eastAsia" w:ascii="黑体" w:hAnsi="黑体" w:eastAsia="黑体" w:cs="黑体"/>
          <w:bCs/>
          <w:color w:val="auto"/>
          <w:szCs w:val="24"/>
          <w:highlight w:val="none"/>
        </w:rPr>
        <w:t>计算给分。</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C、最终得分汇总：最终得分=资信技术得分+报价得分</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25.1.4客观公正对待所有投标人，对所有投标评价，均采用相同的程序和标准。</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25.1.5在评标、投标期间，投标人不得向评标小组成员询问评标情况，不得进行旨在影响评标结果的活动。</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25.1.6为保证定标的公正性，在评标过程中，评标成员不得与投标人私人交换意见。在评标工作结束后，凡与评标情况有接触的任何人不得也不应将评标情况扩散出评标成员之外。</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25.1.7招标人对中标结果不作任何说明和解释，也不回答任何提问，不退还投标文件。</w:t>
      </w:r>
      <w:bookmarkStart w:id="77" w:name="_Toc2607"/>
      <w:bookmarkStart w:id="78" w:name="_Toc361434803"/>
      <w:bookmarkStart w:id="79" w:name="_Toc361434464"/>
      <w:bookmarkStart w:id="80" w:name="_Toc361434563"/>
      <w:bookmarkStart w:id="81" w:name="_Toc22171"/>
      <w:bookmarkStart w:id="82" w:name="_Toc361434899"/>
      <w:bookmarkStart w:id="83" w:name="_Toc17767"/>
      <w:bookmarkStart w:id="84" w:name="_Toc361437149"/>
      <w:bookmarkStart w:id="85" w:name="_Toc10605"/>
    </w:p>
    <w:p>
      <w:pPr>
        <w:pStyle w:val="28"/>
        <w:ind w:firstLine="600"/>
        <w:rPr>
          <w:rFonts w:hint="eastAsia" w:ascii="黑体" w:hAnsi="黑体" w:eastAsia="黑体" w:cs="黑体"/>
          <w:color w:val="auto"/>
          <w:sz w:val="30"/>
          <w:szCs w:val="30"/>
          <w:highlight w:val="none"/>
        </w:rPr>
      </w:pPr>
      <w:bookmarkStart w:id="86" w:name="_Toc12657"/>
      <w:bookmarkStart w:id="87" w:name="_Toc524531983"/>
      <w:bookmarkStart w:id="88" w:name="_Toc21872"/>
      <w:bookmarkStart w:id="89" w:name="_Toc28901"/>
      <w:bookmarkStart w:id="90" w:name="_Toc14601"/>
      <w:bookmarkStart w:id="91" w:name="_Toc8751"/>
      <w:bookmarkStart w:id="92" w:name="_Toc23598"/>
      <w:bookmarkStart w:id="93" w:name="_Toc28870"/>
      <w:bookmarkStart w:id="94" w:name="_Toc50628057"/>
      <w:r>
        <w:rPr>
          <w:rFonts w:hint="eastAsia" w:ascii="黑体" w:hAnsi="黑体" w:eastAsia="黑体" w:cs="黑体"/>
          <w:color w:val="auto"/>
          <w:sz w:val="30"/>
          <w:szCs w:val="30"/>
          <w:highlight w:val="none"/>
        </w:rPr>
        <w:t>九、质疑和投诉</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pStyle w:val="20"/>
        <w:tabs>
          <w:tab w:val="left" w:pos="0"/>
        </w:tabs>
        <w:snapToGrid w:val="0"/>
        <w:spacing w:line="480" w:lineRule="exact"/>
        <w:ind w:firstLine="480"/>
        <w:rPr>
          <w:rFonts w:hint="eastAsia" w:ascii="黑体" w:hAnsi="黑体" w:eastAsia="黑体" w:cs="黑体"/>
          <w:b/>
          <w:color w:val="auto"/>
          <w:szCs w:val="24"/>
          <w:highlight w:val="none"/>
        </w:rPr>
      </w:pPr>
      <w:bookmarkStart w:id="95" w:name="_Toc524531984"/>
      <w:bookmarkStart w:id="96" w:name="_Toc356371440"/>
      <w:bookmarkStart w:id="97" w:name="_Toc18521"/>
      <w:bookmarkStart w:id="98" w:name="_Toc31545"/>
      <w:bookmarkStart w:id="99" w:name="_Toc366144039"/>
      <w:bookmarkStart w:id="100" w:name="_Toc22108"/>
      <w:r>
        <w:rPr>
          <w:rFonts w:hint="eastAsia" w:ascii="黑体" w:hAnsi="黑体" w:eastAsia="黑体" w:cs="黑体"/>
          <w:b/>
          <w:color w:val="auto"/>
          <w:szCs w:val="24"/>
          <w:highlight w:val="none"/>
        </w:rPr>
        <w:t>26.质疑与投诉办法</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26.1依照《中华人民共和国政府采购法》、《中华人民共和国政府采购法实施条例》和《</w:t>
      </w:r>
      <w:r>
        <w:rPr>
          <w:rFonts w:hint="eastAsia" w:ascii="黑体" w:hAnsi="黑体" w:eastAsia="黑体" w:cs="黑体"/>
          <w:color w:val="auto"/>
          <w:szCs w:val="24"/>
          <w:highlight w:val="none"/>
        </w:rPr>
        <w:t>政府采购质疑和投诉办法</w:t>
      </w:r>
      <w:r>
        <w:rPr>
          <w:rFonts w:hint="eastAsia" w:ascii="黑体" w:hAnsi="黑体" w:eastAsia="黑体" w:cs="黑体"/>
          <w:bCs/>
          <w:color w:val="auto"/>
          <w:szCs w:val="24"/>
          <w:highlight w:val="none"/>
        </w:rPr>
        <w:t>》</w:t>
      </w:r>
      <w:r>
        <w:rPr>
          <w:rFonts w:hint="eastAsia" w:ascii="黑体" w:hAnsi="黑体" w:eastAsia="黑体" w:cs="黑体"/>
          <w:color w:val="auto"/>
          <w:szCs w:val="24"/>
          <w:highlight w:val="none"/>
        </w:rPr>
        <w:t>（财政部令第94号）</w:t>
      </w:r>
      <w:r>
        <w:rPr>
          <w:rFonts w:hint="eastAsia" w:ascii="黑体" w:hAnsi="黑体" w:eastAsia="黑体" w:cs="黑体"/>
          <w:bCs/>
          <w:color w:val="auto"/>
          <w:szCs w:val="24"/>
          <w:highlight w:val="none"/>
        </w:rPr>
        <w:t>等有关法律法规规定。</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26.2供应商提交的质疑函与投诉书应符合财政部《</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"http://www.caigou2003.com/" \t "http://www.zjzfcg.gov.cn/news/2018-02-09/_blank" </w:instrText>
      </w:r>
      <w:r>
        <w:rPr>
          <w:rFonts w:hint="eastAsia" w:ascii="黑体" w:hAnsi="黑体" w:eastAsia="黑体" w:cs="黑体"/>
          <w:color w:val="auto"/>
          <w:highlight w:val="none"/>
        </w:rPr>
        <w:fldChar w:fldCharType="separate"/>
      </w:r>
      <w:r>
        <w:rPr>
          <w:rFonts w:hint="eastAsia" w:ascii="黑体" w:hAnsi="黑体" w:eastAsia="黑体" w:cs="黑体"/>
          <w:bCs/>
          <w:color w:val="auto"/>
          <w:szCs w:val="24"/>
          <w:highlight w:val="none"/>
        </w:rPr>
        <w:t>政府采购</w:t>
      </w:r>
      <w:r>
        <w:rPr>
          <w:rFonts w:hint="eastAsia" w:ascii="黑体" w:hAnsi="黑体" w:eastAsia="黑体" w:cs="黑体"/>
          <w:bCs/>
          <w:color w:val="auto"/>
          <w:szCs w:val="24"/>
          <w:highlight w:val="none"/>
        </w:rPr>
        <w:fldChar w:fldCharType="end"/>
      </w:r>
      <w:r>
        <w:rPr>
          <w:rFonts w:hint="eastAsia" w:ascii="黑体" w:hAnsi="黑体" w:eastAsia="黑体" w:cs="黑体"/>
          <w:bCs/>
          <w:color w:val="auto"/>
          <w:szCs w:val="24"/>
          <w:highlight w:val="none"/>
        </w:rPr>
        <w:t>供应商质疑函范本》和《</w:t>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HYPERLINK "http://www.caigou2003.com/" \t "http://www.zjzfcg.gov.cn/news/2018-02-09/_blank" </w:instrText>
      </w:r>
      <w:r>
        <w:rPr>
          <w:rFonts w:hint="eastAsia" w:ascii="黑体" w:hAnsi="黑体" w:eastAsia="黑体" w:cs="黑体"/>
          <w:color w:val="auto"/>
          <w:highlight w:val="none"/>
        </w:rPr>
        <w:fldChar w:fldCharType="separate"/>
      </w:r>
      <w:r>
        <w:rPr>
          <w:rFonts w:hint="eastAsia" w:ascii="黑体" w:hAnsi="黑体" w:eastAsia="黑体" w:cs="黑体"/>
          <w:bCs/>
          <w:color w:val="auto"/>
          <w:szCs w:val="24"/>
          <w:highlight w:val="none"/>
        </w:rPr>
        <w:t>政府采购</w:t>
      </w:r>
      <w:r>
        <w:rPr>
          <w:rFonts w:hint="eastAsia" w:ascii="黑体" w:hAnsi="黑体" w:eastAsia="黑体" w:cs="黑体"/>
          <w:bCs/>
          <w:color w:val="auto"/>
          <w:szCs w:val="24"/>
          <w:highlight w:val="none"/>
        </w:rPr>
        <w:fldChar w:fldCharType="end"/>
      </w:r>
      <w:r>
        <w:rPr>
          <w:rFonts w:hint="eastAsia" w:ascii="黑体" w:hAnsi="黑体" w:eastAsia="黑体" w:cs="黑体"/>
          <w:bCs/>
          <w:color w:val="auto"/>
          <w:szCs w:val="24"/>
          <w:highlight w:val="none"/>
        </w:rPr>
        <w:t>供应商投诉书范本》要求。</w:t>
      </w:r>
    </w:p>
    <w:p>
      <w:pPr>
        <w:pStyle w:val="20"/>
        <w:tabs>
          <w:tab w:val="left" w:pos="0"/>
        </w:tabs>
        <w:snapToGrid w:val="0"/>
        <w:spacing w:line="480" w:lineRule="exact"/>
        <w:ind w:firstLine="480"/>
        <w:rPr>
          <w:rFonts w:hint="eastAsia" w:ascii="黑体" w:hAnsi="黑体" w:eastAsia="黑体" w:cs="黑体"/>
          <w:b/>
          <w:color w:val="auto"/>
          <w:szCs w:val="24"/>
          <w:highlight w:val="none"/>
        </w:rPr>
      </w:pPr>
      <w:r>
        <w:rPr>
          <w:rFonts w:hint="eastAsia" w:ascii="黑体" w:hAnsi="黑体" w:eastAsia="黑体" w:cs="黑体"/>
          <w:b/>
          <w:color w:val="auto"/>
          <w:szCs w:val="24"/>
          <w:highlight w:val="none"/>
        </w:rPr>
        <w:t>27.质疑提出</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27.1供应商认为采购公告、采购文件、采购过程和成交结果使自己的权益受到损害的，可以在知道或者应知其权益受到损害之日起七个工作日内，以书面形式向采购人、采购代理机构提出质疑。供应商在法定质疑期内一次性提出针对同一采购程序环节的质疑。</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27.2质疑提出起算日期：</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（1）对采购公告和采购文件提出质疑的，质疑期限自采购公告和采购文件网上发布之日起计算。</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（2）对采购过程提出质疑的，质疑期限自各采购程序环节结束之日起计算。</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（3）对采购结果提出质疑的，质疑期限自采购结果公告（包括公示、预公告、结果变更公告等）之日起计算。</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供应商逾期提出质疑的，采购人或采购代理机构均不予受理和答复。</w:t>
      </w:r>
    </w:p>
    <w:p>
      <w:pPr>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27.3采购人拒绝受理未参加本项目报名或已报名但未提交投标文件的投标人对采购公告、招标文件、评审过程、评审结果的质疑。</w:t>
      </w:r>
    </w:p>
    <w:p>
      <w:pPr>
        <w:snapToGrid w:val="0"/>
        <w:spacing w:line="48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28.质疑答复</w:t>
      </w:r>
    </w:p>
    <w:p>
      <w:pPr>
        <w:pStyle w:val="14"/>
        <w:spacing w:line="480" w:lineRule="exact"/>
        <w:ind w:left="0" w:firstLine="468"/>
        <w:rPr>
          <w:rFonts w:hint="eastAsia" w:ascii="黑体" w:hAnsi="黑体" w:eastAsia="黑体" w:cs="黑体"/>
          <w:color w:val="auto"/>
          <w:spacing w:val="-3"/>
          <w:szCs w:val="24"/>
          <w:highlight w:val="none"/>
        </w:rPr>
      </w:pPr>
      <w:r>
        <w:rPr>
          <w:rFonts w:hint="eastAsia" w:ascii="黑体" w:hAnsi="黑体" w:eastAsia="黑体" w:cs="黑体"/>
          <w:color w:val="auto"/>
          <w:spacing w:val="-3"/>
          <w:szCs w:val="24"/>
          <w:highlight w:val="none"/>
        </w:rPr>
        <w:t>采购人应当在收到投标人的书面质疑后7个工作日内作出答复，并以书面形式通知质疑供应商和其他与质疑处理结果有利害关系的采购当事人，但答复的内容不得涉及商业秘密。</w:t>
      </w:r>
    </w:p>
    <w:p>
      <w:pPr>
        <w:snapToGrid w:val="0"/>
        <w:spacing w:line="48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29.投诉</w:t>
      </w:r>
    </w:p>
    <w:p>
      <w:pPr>
        <w:pStyle w:val="14"/>
        <w:spacing w:line="480" w:lineRule="exact"/>
        <w:ind w:left="0" w:firstLine="468"/>
        <w:rPr>
          <w:rFonts w:hint="eastAsia" w:ascii="黑体" w:hAnsi="黑体" w:eastAsia="黑体" w:cs="黑体"/>
          <w:color w:val="auto"/>
          <w:sz w:val="30"/>
          <w:szCs w:val="30"/>
          <w:highlight w:val="none"/>
        </w:rPr>
      </w:pPr>
      <w:r>
        <w:rPr>
          <w:rFonts w:hint="eastAsia" w:ascii="黑体" w:hAnsi="黑体" w:eastAsia="黑体" w:cs="黑体"/>
          <w:color w:val="auto"/>
          <w:spacing w:val="-3"/>
          <w:szCs w:val="24"/>
          <w:highlight w:val="none"/>
        </w:rPr>
        <w:t>质疑供应商对采购人未在规定时间内作出答复的，可以在答复期满后15个工作日内向龙游县财政局采监科投诉。若对质疑答复不满意的，应当自答复的次日起15个工作日内向龙游县财政局采监科投诉。</w:t>
      </w:r>
      <w:bookmarkStart w:id="101" w:name="_Toc50628058"/>
    </w:p>
    <w:p>
      <w:pPr>
        <w:pStyle w:val="28"/>
        <w:ind w:firstLine="600"/>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十、授予合同</w:t>
      </w:r>
      <w:bookmarkEnd w:id="95"/>
      <w:bookmarkEnd w:id="96"/>
      <w:bookmarkEnd w:id="97"/>
      <w:bookmarkEnd w:id="98"/>
      <w:bookmarkEnd w:id="99"/>
      <w:bookmarkEnd w:id="100"/>
      <w:bookmarkEnd w:id="101"/>
    </w:p>
    <w:p>
      <w:pPr>
        <w:snapToGrid w:val="0"/>
        <w:spacing w:line="480" w:lineRule="exact"/>
        <w:ind w:firstLine="480"/>
        <w:rPr>
          <w:rFonts w:hint="eastAsia" w:ascii="黑体" w:hAnsi="黑体" w:eastAsia="黑体" w:cs="黑体"/>
          <w:b/>
          <w:bCs/>
          <w:color w:val="auto"/>
          <w:szCs w:val="24"/>
          <w:highlight w:val="none"/>
        </w:rPr>
      </w:pPr>
      <w:r>
        <w:rPr>
          <w:rFonts w:hint="eastAsia" w:ascii="黑体" w:hAnsi="黑体" w:eastAsia="黑体" w:cs="黑体"/>
          <w:b/>
          <w:bCs/>
          <w:color w:val="auto"/>
          <w:szCs w:val="24"/>
          <w:highlight w:val="none"/>
        </w:rPr>
        <w:t>30.合同授予标准</w:t>
      </w:r>
    </w:p>
    <w:p>
      <w:pPr>
        <w:pStyle w:val="14"/>
        <w:spacing w:line="480" w:lineRule="exact"/>
        <w:ind w:left="0"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30.1中标候选供应商经查有违法违规现象的，取消其中标候选资格，推荐排名次之的供</w:t>
      </w:r>
      <w:r>
        <w:rPr>
          <w:rFonts w:hint="eastAsia" w:ascii="黑体" w:hAnsi="黑体" w:eastAsia="黑体" w:cs="黑体"/>
          <w:color w:val="auto"/>
          <w:spacing w:val="-3"/>
          <w:szCs w:val="24"/>
          <w:highlight w:val="none"/>
        </w:rPr>
        <w:t>应商为中标候选供应商，若第二名经查有违法违规现象的，取消其中标候选资格，本次采购失败。</w:t>
      </w:r>
    </w:p>
    <w:p>
      <w:pPr>
        <w:pStyle w:val="14"/>
        <w:spacing w:line="480" w:lineRule="exact"/>
        <w:ind w:left="0"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30.2经招标人确认，龙游县财政局政府采购监管科备案后，确定中标人。中标结果在浙江政府采购网、龙游县公共资源交易中心网予以公布，欧邦工程管理有限公司在五日内向中标人发出中标通知书。</w:t>
      </w:r>
    </w:p>
    <w:p>
      <w:pPr>
        <w:pStyle w:val="14"/>
        <w:spacing w:line="480" w:lineRule="exact"/>
        <w:ind w:left="0"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30.3经龙游县财政局备案后，由招标人签发政府采购中标通知书。中标通知书对招标人和中标供应商均具有法律效力。中标通知书发出后，招标人改变中标结果的，或者中标人放弃中标项目的，应当依法承担法律责任。</w:t>
      </w:r>
    </w:p>
    <w:p>
      <w:pPr>
        <w:pStyle w:val="14"/>
        <w:spacing w:line="480" w:lineRule="exact"/>
        <w:ind w:left="0"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30.4在中标通知书发出15日内，中标人应按与招标人签订合同。招标文件、中标人的投标文件及澄清文件等，均为签订合同的依据。</w:t>
      </w:r>
    </w:p>
    <w:p>
      <w:pPr>
        <w:pStyle w:val="14"/>
        <w:spacing w:line="480" w:lineRule="exact"/>
        <w:ind w:left="0"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30.5招标人与中标人签署合同协议，欧邦工程管理有限公司作为鉴证人共同签订（合同上请标明采购编号）。合同一式五份，招标人、中标人双方各执二份，欧邦工程管理有限公司各留存一份。</w:t>
      </w:r>
    </w:p>
    <w:p>
      <w:pPr>
        <w:pStyle w:val="20"/>
        <w:snapToGrid w:val="0"/>
        <w:spacing w:line="480" w:lineRule="exact"/>
        <w:ind w:firstLine="480"/>
        <w:rPr>
          <w:rFonts w:hint="eastAsia" w:ascii="黑体" w:hAnsi="黑体" w:eastAsia="黑体" w:cs="黑体"/>
          <w:b/>
          <w:color w:val="auto"/>
          <w:szCs w:val="24"/>
          <w:highlight w:val="none"/>
        </w:rPr>
      </w:pPr>
      <w:r>
        <w:rPr>
          <w:rFonts w:hint="eastAsia" w:ascii="黑体" w:hAnsi="黑体" w:eastAsia="黑体" w:cs="黑体"/>
          <w:b/>
          <w:color w:val="auto"/>
          <w:szCs w:val="24"/>
          <w:highlight w:val="none"/>
        </w:rPr>
        <w:t>31.授予合同时变更数量的权利</w:t>
      </w:r>
    </w:p>
    <w:p>
      <w:pPr>
        <w:pStyle w:val="14"/>
        <w:spacing w:line="480" w:lineRule="exact"/>
        <w:ind w:left="0"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政府采购合同履行中，招标人需追加与合同标的相同的货物、工程或者服务的，在不改变合同其他条款的前提下，可以与供应商签订补充合同，但所补充合同的采购金额不得超过原采购金额的10%。</w:t>
      </w:r>
    </w:p>
    <w:p>
      <w:pPr>
        <w:pStyle w:val="20"/>
        <w:snapToGrid w:val="0"/>
        <w:spacing w:line="480" w:lineRule="exact"/>
        <w:ind w:firstLine="480"/>
        <w:rPr>
          <w:rFonts w:hint="eastAsia" w:ascii="黑体" w:hAnsi="黑体" w:eastAsia="黑体" w:cs="黑体"/>
          <w:b/>
          <w:color w:val="auto"/>
          <w:szCs w:val="24"/>
          <w:highlight w:val="none"/>
        </w:rPr>
      </w:pPr>
      <w:bookmarkStart w:id="102" w:name="_Toc14144"/>
      <w:r>
        <w:rPr>
          <w:rFonts w:hint="eastAsia" w:ascii="黑体" w:hAnsi="黑体" w:eastAsia="黑体" w:cs="黑体"/>
          <w:b/>
          <w:color w:val="auto"/>
          <w:szCs w:val="24"/>
          <w:highlight w:val="none"/>
        </w:rPr>
        <w:t>32.付款方式</w:t>
      </w:r>
      <w:bookmarkEnd w:id="102"/>
    </w:p>
    <w:p>
      <w:pPr>
        <w:pStyle w:val="20"/>
        <w:snapToGrid w:val="0"/>
        <w:spacing w:line="480" w:lineRule="exact"/>
        <w:ind w:firstLine="480"/>
        <w:rPr>
          <w:rFonts w:hint="eastAsia" w:ascii="黑体" w:hAnsi="黑体" w:eastAsia="黑体" w:cs="黑体"/>
          <w:bCs/>
          <w:color w:val="auto"/>
          <w:szCs w:val="24"/>
          <w:highlight w:val="none"/>
          <w:lang w:val="zh-CN"/>
        </w:rPr>
      </w:pPr>
      <w:bookmarkStart w:id="103" w:name="_Toc356371441"/>
      <w:bookmarkStart w:id="104" w:name="_Toc366144040"/>
      <w:bookmarkStart w:id="105" w:name="_Toc31746"/>
      <w:bookmarkStart w:id="106" w:name="_Toc26749"/>
      <w:bookmarkStart w:id="107" w:name="_Toc10535"/>
      <w:bookmarkStart w:id="108" w:name="_Toc524531985"/>
      <w:r>
        <w:rPr>
          <w:rFonts w:hint="eastAsia" w:ascii="黑体" w:hAnsi="黑体" w:eastAsia="黑体" w:cs="黑体"/>
          <w:bCs/>
          <w:color w:val="auto"/>
          <w:szCs w:val="24"/>
          <w:highlight w:val="none"/>
          <w:lang w:val="zh-CN"/>
        </w:rPr>
        <w:t>按实际发生的检验批次和协议价格进行核算、支付。中标人在出具合格的检测报告后，应在5个工作日内开具全额发票给采购人，采购人全额支付。</w:t>
      </w:r>
    </w:p>
    <w:p>
      <w:pPr>
        <w:pStyle w:val="20"/>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33.采购代理服务费。</w:t>
      </w:r>
    </w:p>
    <w:p>
      <w:pPr>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33.1本项目招标代理费按计价格[2002]520号及发改价格[2011]534号文的规定（服务类）,经协商确定招标代理服务费，由采购人支付。</w:t>
      </w:r>
    </w:p>
    <w:p>
      <w:pPr>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33.2评审费由采购人支付；</w:t>
      </w:r>
    </w:p>
    <w:p>
      <w:pPr>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33.3以上费用不在报价中单列，请供应商在报价中予以考虑。</w:t>
      </w:r>
    </w:p>
    <w:p>
      <w:pPr>
        <w:pStyle w:val="28"/>
        <w:ind w:firstLine="600"/>
        <w:rPr>
          <w:rFonts w:hint="eastAsia" w:ascii="黑体" w:hAnsi="黑体" w:eastAsia="黑体" w:cs="黑体"/>
          <w:color w:val="auto"/>
          <w:sz w:val="30"/>
          <w:szCs w:val="30"/>
          <w:highlight w:val="none"/>
        </w:rPr>
      </w:pPr>
      <w:bookmarkStart w:id="109" w:name="_Toc50628059"/>
      <w:r>
        <w:rPr>
          <w:rFonts w:hint="eastAsia" w:ascii="黑体" w:hAnsi="黑体" w:eastAsia="黑体" w:cs="黑体"/>
          <w:color w:val="auto"/>
          <w:sz w:val="30"/>
          <w:szCs w:val="30"/>
          <w:highlight w:val="none"/>
        </w:rPr>
        <w:t>十一、法律责任</w:t>
      </w:r>
      <w:bookmarkEnd w:id="103"/>
      <w:bookmarkEnd w:id="104"/>
      <w:bookmarkEnd w:id="105"/>
      <w:bookmarkEnd w:id="106"/>
      <w:bookmarkEnd w:id="107"/>
      <w:bookmarkEnd w:id="108"/>
      <w:bookmarkEnd w:id="109"/>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34.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34.1提供虚假材料谋取中标的；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34.2采取不正当手段诋毁、排挤其他投标人的；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34.3与采购人、采购代理机构、其他投标人恶意串通的；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34.4向采购人、采购代理机构行贿或者提供其他不正当利益的；</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34.5在招标过程中与采购人进行协商谈判、不按照招标文件和中标人的投标文件订立合同,或者与采购人另行订立背离合同实质性内容的协议的；</w:t>
      </w:r>
    </w:p>
    <w:p>
      <w:pPr>
        <w:snapToGrid w:val="0"/>
        <w:spacing w:line="480" w:lineRule="exact"/>
        <w:ind w:firstLine="480"/>
        <w:rPr>
          <w:rFonts w:hint="eastAsia" w:ascii="黑体" w:hAnsi="黑体" w:eastAsia="黑体" w:cs="黑体"/>
          <w:b/>
          <w:color w:val="auto"/>
          <w:szCs w:val="24"/>
          <w:highlight w:val="none"/>
        </w:rPr>
      </w:pPr>
      <w:r>
        <w:rPr>
          <w:rFonts w:hint="eastAsia" w:ascii="黑体" w:hAnsi="黑体" w:eastAsia="黑体" w:cs="黑体"/>
          <w:color w:val="auto"/>
          <w:szCs w:val="24"/>
          <w:highlight w:val="none"/>
        </w:rPr>
        <w:t>34.6拒绝有关部门监督检查或者提供虚假情况的</w:t>
      </w:r>
      <w:bookmarkStart w:id="110" w:name="_Toc366144042"/>
      <w:bookmarkStart w:id="111" w:name="_Toc356371442"/>
      <w:r>
        <w:rPr>
          <w:rFonts w:hint="eastAsia" w:ascii="黑体" w:hAnsi="黑体" w:eastAsia="黑体" w:cs="黑体"/>
          <w:color w:val="auto"/>
          <w:szCs w:val="24"/>
          <w:highlight w:val="none"/>
        </w:rPr>
        <w:t>。</w:t>
      </w:r>
    </w:p>
    <w:p>
      <w:pPr>
        <w:pStyle w:val="28"/>
        <w:ind w:firstLine="600"/>
        <w:rPr>
          <w:rFonts w:hint="eastAsia" w:ascii="黑体" w:hAnsi="黑体" w:eastAsia="黑体" w:cs="黑体"/>
          <w:color w:val="auto"/>
          <w:sz w:val="30"/>
          <w:szCs w:val="30"/>
          <w:highlight w:val="none"/>
        </w:rPr>
      </w:pPr>
      <w:bookmarkStart w:id="112" w:name="_Toc32254"/>
      <w:bookmarkStart w:id="113" w:name="_Toc50628060"/>
      <w:bookmarkStart w:id="114" w:name="_Toc26121"/>
      <w:bookmarkStart w:id="115" w:name="_Toc25928"/>
      <w:bookmarkStart w:id="116" w:name="_Toc524531986"/>
      <w:r>
        <w:rPr>
          <w:rFonts w:hint="eastAsia" w:ascii="黑体" w:hAnsi="黑体" w:eastAsia="黑体" w:cs="黑体"/>
          <w:color w:val="auto"/>
          <w:sz w:val="30"/>
          <w:szCs w:val="30"/>
          <w:highlight w:val="none"/>
        </w:rPr>
        <w:t>十二、其他</w:t>
      </w:r>
      <w:bookmarkEnd w:id="110"/>
      <w:bookmarkEnd w:id="111"/>
      <w:bookmarkEnd w:id="112"/>
      <w:bookmarkEnd w:id="113"/>
      <w:bookmarkEnd w:id="114"/>
      <w:bookmarkEnd w:id="115"/>
      <w:bookmarkEnd w:id="116"/>
    </w:p>
    <w:p>
      <w:pPr>
        <w:snapToGrid w:val="0"/>
        <w:spacing w:line="480" w:lineRule="exact"/>
        <w:ind w:firstLine="48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35.解释权：本招标文件是依据《政府采购法》及有关规定编制的，解释权属招标人。</w:t>
      </w:r>
    </w:p>
    <w:p>
      <w:pPr>
        <w:pStyle w:val="20"/>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bCs/>
          <w:color w:val="auto"/>
          <w:szCs w:val="24"/>
          <w:highlight w:val="none"/>
        </w:rPr>
        <w:t>36</w:t>
      </w:r>
      <w:r>
        <w:rPr>
          <w:rFonts w:hint="eastAsia" w:ascii="黑体" w:hAnsi="黑体" w:eastAsia="黑体" w:cs="黑体"/>
          <w:color w:val="auto"/>
          <w:szCs w:val="24"/>
          <w:highlight w:val="none"/>
        </w:rPr>
        <w:t>.联系方式：所有与招标有关的函电请按下面联系，其他任何方式或信息来源均无效。</w:t>
      </w:r>
    </w:p>
    <w:p>
      <w:pPr>
        <w:pStyle w:val="20"/>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通讯地址：欧邦工程管理有限公司龙游分公司（龙游县巨龙路向阳世家小区68幢二楼）</w:t>
      </w:r>
    </w:p>
    <w:p>
      <w:pPr>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项目联系人：潘女士    答疑咨询电话：16657006009</w:t>
      </w:r>
    </w:p>
    <w:p>
      <w:pPr>
        <w:pStyle w:val="20"/>
        <w:snapToGrid w:val="0"/>
        <w:spacing w:line="48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公告网址：</w:t>
      </w:r>
      <w:r>
        <w:rPr>
          <w:rStyle w:val="72"/>
          <w:rFonts w:hint="eastAsia" w:ascii="黑体" w:hAnsi="黑体" w:eastAsia="黑体" w:cs="黑体"/>
          <w:color w:val="auto"/>
          <w:sz w:val="24"/>
          <w:szCs w:val="24"/>
          <w:highlight w:val="none"/>
        </w:rPr>
        <w:t>www.zjzfcg.gov.cn</w:t>
      </w:r>
      <w:r>
        <w:rPr>
          <w:rStyle w:val="72"/>
          <w:rFonts w:hint="eastAsia" w:ascii="黑体" w:hAnsi="黑体" w:eastAsia="黑体" w:cs="黑体"/>
          <w:bCs/>
          <w:color w:val="auto"/>
          <w:sz w:val="24"/>
          <w:szCs w:val="24"/>
          <w:highlight w:val="none"/>
        </w:rPr>
        <w:t>（浙江政府采购网）</w:t>
      </w:r>
    </w:p>
    <w:p>
      <w:pPr>
        <w:tabs>
          <w:tab w:val="left" w:pos="4458"/>
        </w:tabs>
        <w:ind w:firstLine="0" w:firstLineChars="0"/>
        <w:jc w:val="left"/>
        <w:rPr>
          <w:rFonts w:hint="eastAsia" w:ascii="黑体" w:hAnsi="黑体" w:eastAsia="黑体" w:cs="黑体"/>
          <w:color w:val="auto"/>
          <w:highlight w:val="none"/>
        </w:rPr>
        <w:sectPr>
          <w:pgSz w:w="11906" w:h="16838"/>
          <w:pgMar w:top="1440" w:right="1080" w:bottom="1440" w:left="1080" w:header="851" w:footer="850" w:gutter="0"/>
          <w:pgBorders>
            <w:top w:val="none" w:sz="0" w:space="0"/>
            <w:left w:val="none" w:sz="0" w:space="0"/>
            <w:bottom w:val="none" w:sz="0" w:space="0"/>
            <w:right w:val="none" w:sz="0" w:space="0"/>
          </w:pgBorders>
          <w:cols w:space="0" w:num="1"/>
          <w:titlePg/>
          <w:docGrid w:linePitch="312" w:charSpace="0"/>
        </w:sectPr>
      </w:pPr>
    </w:p>
    <w:p>
      <w:pPr>
        <w:pStyle w:val="31"/>
        <w:ind w:firstLine="720"/>
        <w:rPr>
          <w:rFonts w:hint="eastAsia" w:ascii="黑体" w:hAnsi="黑体" w:eastAsia="黑体" w:cs="黑体"/>
          <w:color w:val="auto"/>
          <w:sz w:val="36"/>
          <w:szCs w:val="36"/>
          <w:highlight w:val="none"/>
        </w:rPr>
      </w:pPr>
      <w:bookmarkStart w:id="117" w:name="_Toc30966"/>
      <w:bookmarkStart w:id="118" w:name="_Toc1878"/>
      <w:bookmarkStart w:id="119" w:name="_Toc524531988"/>
      <w:bookmarkStart w:id="120" w:name="_Toc32022"/>
      <w:bookmarkStart w:id="121" w:name="_Toc26141"/>
      <w:bookmarkStart w:id="122" w:name="_Toc27731"/>
      <w:bookmarkStart w:id="123" w:name="_Toc19251"/>
      <w:bookmarkStart w:id="124" w:name="_Toc32100"/>
      <w:bookmarkStart w:id="125" w:name="_Toc318"/>
      <w:bookmarkStart w:id="126" w:name="_Toc10322"/>
      <w:bookmarkStart w:id="127" w:name="_Toc50628061"/>
      <w:bookmarkStart w:id="128" w:name="_Toc5222"/>
      <w:bookmarkStart w:id="129" w:name="_Toc29769"/>
      <w:bookmarkStart w:id="130" w:name="_Toc249341728"/>
      <w:bookmarkStart w:id="131" w:name="_Toc256157478"/>
      <w:bookmarkStart w:id="132" w:name="_Toc261618222"/>
      <w:bookmarkStart w:id="133" w:name="_Toc128361281"/>
      <w:bookmarkStart w:id="134" w:name="_Toc119506518"/>
      <w:bookmarkStart w:id="135" w:name="_Toc119549377"/>
      <w:bookmarkStart w:id="136" w:name="_Toc43885673"/>
      <w:r>
        <w:rPr>
          <w:rFonts w:hint="eastAsia" w:ascii="黑体" w:hAnsi="黑体" w:eastAsia="黑体" w:cs="黑体"/>
          <w:color w:val="auto"/>
          <w:sz w:val="36"/>
          <w:szCs w:val="36"/>
          <w:highlight w:val="none"/>
        </w:rPr>
        <w:t>第三章 采购</w:t>
      </w:r>
      <w:bookmarkStart w:id="137" w:name="_二期网络工程项目改造需求"/>
      <w:bookmarkEnd w:id="137"/>
      <w:r>
        <w:rPr>
          <w:rFonts w:hint="eastAsia" w:ascii="黑体" w:hAnsi="黑体" w:eastAsia="黑体" w:cs="黑体"/>
          <w:color w:val="auto"/>
          <w:sz w:val="36"/>
          <w:szCs w:val="36"/>
          <w:highlight w:val="none"/>
        </w:rPr>
        <w:t>内容及要求</w:t>
      </w:r>
      <w:bookmarkEnd w:id="117"/>
      <w:bookmarkEnd w:id="118"/>
      <w:bookmarkEnd w:id="119"/>
      <w:bookmarkEnd w:id="120"/>
      <w:bookmarkEnd w:id="121"/>
      <w:bookmarkEnd w:id="122"/>
      <w:bookmarkEnd w:id="123"/>
      <w:bookmarkEnd w:id="124"/>
      <w:bookmarkEnd w:id="125"/>
      <w:bookmarkEnd w:id="126"/>
      <w:bookmarkEnd w:id="127"/>
      <w:bookmarkEnd w:id="128"/>
      <w:bookmarkEnd w:id="129"/>
      <w:bookmarkStart w:id="138" w:name="_Toc3870"/>
      <w:bookmarkStart w:id="139" w:name="_Toc524531989"/>
      <w:bookmarkStart w:id="140" w:name="_Toc32642"/>
      <w:bookmarkStart w:id="141" w:name="_Toc3678"/>
      <w:bookmarkStart w:id="142" w:name="_Toc11829"/>
      <w:bookmarkStart w:id="143" w:name="_Toc2932"/>
      <w:bookmarkStart w:id="144" w:name="_Toc25"/>
      <w:bookmarkStart w:id="145" w:name="_Toc3951"/>
      <w:bookmarkStart w:id="146" w:name="_Toc17746"/>
      <w:bookmarkStart w:id="147" w:name="_Toc9054"/>
      <w:bookmarkStart w:id="148" w:name="_Toc16921"/>
      <w:bookmarkStart w:id="149" w:name="_Toc111"/>
    </w:p>
    <w:p>
      <w:pPr>
        <w:pStyle w:val="20"/>
        <w:snapToGrid w:val="0"/>
        <w:spacing w:line="480" w:lineRule="exact"/>
        <w:ind w:firstLine="0" w:firstLineChars="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一、项目概况</w:t>
      </w:r>
    </w:p>
    <w:p>
      <w:pPr>
        <w:pStyle w:val="20"/>
        <w:snapToGrid w:val="0"/>
        <w:spacing w:line="480" w:lineRule="exact"/>
        <w:ind w:firstLine="480" w:firstLineChars="2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1、为加强食品安全监督抽检和风险监测工作，及时发现和处置食品安全隐患，全面掌握食品安全状况，按照“覆盖获证企业、坚持问题导向、突出重点行业、强化科学监管”的工作要求，根据《食品安全法》、《食品安全抽样检验管理办法》等相关法律法规的要求对龙游县食品生产环节、流通环节、餐饮环节的监督性抽检服务及评价性抽检服务进行公开招标。</w:t>
      </w:r>
    </w:p>
    <w:p>
      <w:pPr>
        <w:pStyle w:val="20"/>
        <w:snapToGrid w:val="0"/>
        <w:spacing w:line="480" w:lineRule="exact"/>
        <w:ind w:firstLine="0" w:firstLineChars="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本次招标共分四个标项，分别如下：</w:t>
      </w:r>
    </w:p>
    <w:p>
      <w:pPr>
        <w:pStyle w:val="20"/>
        <w:snapToGrid w:val="0"/>
        <w:spacing w:line="480" w:lineRule="exact"/>
        <w:ind w:firstLine="480" w:firstLineChars="2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标项1：农产品监督及风险抽检服务（种植养殖、畜禽及水产），本标项共确定1家中标供应商。本次招标服务期为2年。</w:t>
      </w:r>
    </w:p>
    <w:p>
      <w:pPr>
        <w:pStyle w:val="20"/>
        <w:snapToGrid w:val="0"/>
        <w:spacing w:line="480" w:lineRule="exact"/>
        <w:ind w:firstLine="480" w:firstLineChars="2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标项2：监督性食品抽检服务（餐饮环节</w:t>
      </w:r>
      <w:r>
        <w:rPr>
          <w:rFonts w:hint="eastAsia" w:ascii="黑体" w:hAnsi="黑体" w:eastAsia="黑体" w:cs="黑体"/>
          <w:b w:val="0"/>
          <w:bCs w:val="0"/>
          <w:color w:val="auto"/>
          <w:kern w:val="0"/>
          <w:szCs w:val="24"/>
          <w:highlight w:val="none"/>
          <w:lang w:eastAsia="zh-CN"/>
        </w:rPr>
        <w:t>及学校食堂</w:t>
      </w:r>
      <w:r>
        <w:rPr>
          <w:rFonts w:hint="eastAsia" w:ascii="黑体" w:hAnsi="黑体" w:eastAsia="黑体" w:cs="黑体"/>
          <w:b w:val="0"/>
          <w:bCs w:val="0"/>
          <w:color w:val="auto"/>
          <w:kern w:val="0"/>
          <w:szCs w:val="24"/>
          <w:highlight w:val="none"/>
        </w:rPr>
        <w:t>），本标项共确定1家中标供应商。本次招标服务期为2年。</w:t>
      </w:r>
    </w:p>
    <w:p>
      <w:pPr>
        <w:pStyle w:val="20"/>
        <w:snapToGrid w:val="0"/>
        <w:spacing w:line="480" w:lineRule="exact"/>
        <w:ind w:firstLine="480" w:firstLineChars="2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标项3：监督性食品抽检服务（生产环节及小作坊），本标项共确定1家中标供应商。本次招标服务期为2年。</w:t>
      </w:r>
    </w:p>
    <w:p>
      <w:pPr>
        <w:pStyle w:val="20"/>
        <w:snapToGrid w:val="0"/>
        <w:spacing w:line="480" w:lineRule="exact"/>
        <w:ind w:firstLine="480" w:firstLineChars="2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标项4：监督性食品抽检服务（流通环节及你点我检），本标项共确定1家中标供应商。本次招标服务期为2年。</w:t>
      </w:r>
    </w:p>
    <w:p>
      <w:pPr>
        <w:pStyle w:val="20"/>
        <w:snapToGrid w:val="0"/>
        <w:spacing w:line="480" w:lineRule="exact"/>
        <w:ind w:firstLine="480" w:firstLineChars="2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2、抽检范围覆盖龙游县所有辖区。抽样检测环节设置以种养殖基地、生产、流通和餐饮环节为主。投标报价时应考虑全部的风险因素。</w:t>
      </w:r>
    </w:p>
    <w:p>
      <w:pPr>
        <w:pStyle w:val="20"/>
        <w:snapToGrid w:val="0"/>
        <w:spacing w:line="480" w:lineRule="exact"/>
        <w:ind w:firstLine="480" w:firstLineChars="2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3、检测周期约为15天，每个周期抽检前安排各检测机构抽检任务。</w:t>
      </w:r>
    </w:p>
    <w:p>
      <w:pPr>
        <w:pStyle w:val="20"/>
        <w:snapToGrid w:val="0"/>
        <w:spacing w:line="480" w:lineRule="exact"/>
        <w:ind w:firstLine="480" w:firstLineChars="2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4、中标的食品检测机构服务有效期限截止到合同约定抽检工作项目完成。</w:t>
      </w:r>
    </w:p>
    <w:p>
      <w:pPr>
        <w:pStyle w:val="20"/>
        <w:snapToGrid w:val="0"/>
        <w:spacing w:line="480" w:lineRule="exact"/>
        <w:ind w:firstLine="0" w:firstLineChars="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二、服务要求</w:t>
      </w:r>
    </w:p>
    <w:p>
      <w:pPr>
        <w:pStyle w:val="20"/>
        <w:snapToGrid w:val="0"/>
        <w:spacing w:line="480" w:lineRule="exact"/>
        <w:ind w:firstLine="480" w:firstLineChars="2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1、工作要求：</w:t>
      </w:r>
    </w:p>
    <w:p>
      <w:pPr>
        <w:pStyle w:val="20"/>
        <w:snapToGrid w:val="0"/>
        <w:spacing w:line="480" w:lineRule="exact"/>
        <w:ind w:firstLine="0" w:firstLineChars="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中标的食品检测机构必须至少派1人长期在龙游县食品药品安全委员会办公室协助食品安全检测工作，服务时间</w:t>
      </w:r>
      <w:r>
        <w:rPr>
          <w:rFonts w:hint="eastAsia" w:ascii="黑体" w:hAnsi="黑体" w:eastAsia="黑体" w:cs="黑体"/>
          <w:b w:val="0"/>
          <w:bCs w:val="0"/>
          <w:color w:val="auto"/>
          <w:kern w:val="0"/>
          <w:szCs w:val="24"/>
          <w:highlight w:val="none"/>
          <w:lang w:eastAsia="zh-CN"/>
        </w:rPr>
        <w:t>至合同期满</w:t>
      </w:r>
      <w:r>
        <w:rPr>
          <w:rFonts w:hint="eastAsia" w:ascii="黑体" w:hAnsi="黑体" w:eastAsia="黑体" w:cs="黑体"/>
          <w:b w:val="0"/>
          <w:bCs w:val="0"/>
          <w:color w:val="auto"/>
          <w:kern w:val="0"/>
          <w:szCs w:val="24"/>
          <w:highlight w:val="none"/>
        </w:rPr>
        <w:t>。投标人需要提供承诺函，格式自拟，附在投标报价文件。</w:t>
      </w:r>
    </w:p>
    <w:p>
      <w:pPr>
        <w:pStyle w:val="20"/>
        <w:snapToGrid w:val="0"/>
        <w:spacing w:line="480" w:lineRule="exact"/>
        <w:ind w:firstLine="480" w:firstLineChars="2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2、抽样要求：</w:t>
      </w:r>
    </w:p>
    <w:p>
      <w:pPr>
        <w:pStyle w:val="20"/>
        <w:snapToGrid w:val="0"/>
        <w:spacing w:line="480" w:lineRule="exact"/>
        <w:ind w:firstLine="0" w:firstLineChars="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每次抽检时，投标人至少安排2名技术娴熟的专业人员，辅助执法人员现场抽样，并自行配齐交通、采样工具、贮存设施等。根据采购人的个别紧急抽样工作要求，投标人需承诺能在2小时内同时出动至少2名技术娴熟的专业人员承担相应的抽样任务。</w:t>
      </w:r>
    </w:p>
    <w:p>
      <w:pPr>
        <w:pStyle w:val="20"/>
        <w:snapToGrid w:val="0"/>
        <w:spacing w:line="480" w:lineRule="exact"/>
        <w:ind w:firstLine="480" w:firstLineChars="2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3、检验检测期限要求：</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（1）一般情况下，应在接到采购人检测通知后2天内，组织安排好相关人员及车辆做好辅助抽样工作。</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（2）样品接收完成后应快速送检，保证2小时内送达检测实验室，实验室距离采样范围路程距离不宜超过200公里，以确保采样样品的新鲜度。</w:t>
      </w:r>
    </w:p>
    <w:p>
      <w:pPr>
        <w:pStyle w:val="20"/>
        <w:snapToGrid w:val="0"/>
        <w:spacing w:line="480" w:lineRule="exact"/>
        <w:ind w:firstLine="0" w:firstLineChars="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▲（3）在抽样后，15天内出具相应检测报告。食品检测发现的不合格食品信息，应在7日内出具相应报告。</w:t>
      </w:r>
    </w:p>
    <w:p>
      <w:pPr>
        <w:pStyle w:val="20"/>
        <w:snapToGrid w:val="0"/>
        <w:spacing w:line="480" w:lineRule="exact"/>
        <w:ind w:firstLine="0" w:firstLineChars="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4、检验检测内容及要求：</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（1）应根据采购人和合同的要求按时完成相应产品的抽检工作。</w:t>
      </w:r>
    </w:p>
    <w:p>
      <w:pPr>
        <w:pStyle w:val="20"/>
        <w:snapToGrid w:val="0"/>
        <w:spacing w:line="480" w:lineRule="exact"/>
        <w:ind w:firstLine="0" w:firstLineChars="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▲（2）出具的检测报告应具有相关法律效力，并对检测结果做出科学分析，完成相应的数据汇总、总结报告等，报送给采购人。</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（3）若需要复检的，则应由采购人指定有复检资质第三方检测机构进行复检。</w:t>
      </w:r>
    </w:p>
    <w:p>
      <w:pPr>
        <w:pStyle w:val="20"/>
        <w:snapToGrid w:val="0"/>
        <w:spacing w:line="480" w:lineRule="exact"/>
        <w:ind w:firstLine="0" w:firstLineChars="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▲（4）若提交的报告经复检后，更改初检结果的，由原检测单位支付并承担相应的复检费用，并记一次不合格。若同一中标人累计三次不合格，则采购人有权提前终止合同并扣除履约保证金。</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（5）具体检测内容及项目，详见投标报价明细表。投标报价如缺少须提供的某个检测项目的报价，评标价将在其投标价的基础上加上其他投标人相应检测项目报价的最高价。</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（6）投标人提供自有专门用于存放食品抽检档案场地情况、管理情况等，并提供相关证明材料。</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（7）中标人须向采购人提供年度计划内的相关食品检测计划，该计划内容必须符合采购人要求。</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（8）采购人如有需要，中标人在每年内需组织不少于2次培训，培训对象为采购人指定人员，培训内容和培训人员数量必须满足采购人要求，所涉及费用均已包含在投标报价中，采购人不额外支付。</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（9）在服务期限内本项目各标项的服务工作可能同时开展，要求投标人针对各标项配备足够数量的技术人员；技术人员中具有一定数量的高级职称证书和中级职称证书。</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（10）投标人应提供食品抽检过程中针对各种突发事件的应急措施。除按要求开展响应外，每年应另行预留3次紧急响应处理能力，每次响应要求在2小时内作出有效回应。</w:t>
      </w:r>
    </w:p>
    <w:p>
      <w:pPr>
        <w:pStyle w:val="20"/>
        <w:snapToGrid w:val="0"/>
        <w:spacing w:line="480" w:lineRule="exact"/>
        <w:ind w:firstLine="0" w:firstLineChars="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三、管理要求</w:t>
      </w:r>
    </w:p>
    <w:p>
      <w:pPr>
        <w:pStyle w:val="20"/>
        <w:snapToGrid w:val="0"/>
        <w:spacing w:line="480" w:lineRule="exact"/>
        <w:ind w:firstLine="480" w:firstLineChars="2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1、各中标人应接受龙游县市场监督管理局的各项规定，切实享受各项权利，严格履行承诺的义务，为龙游县食品安全工作做好服务，并接受以下各项管理要求：</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（1）中标人确定后，由采购人与中标人就食品抽检项目签订合同（详见后附）。</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（2）中标人应遵守统一服务承诺，做好各项服务工作，认真履行义务。</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 xml:space="preserve">（3）在服务期内，中标人必须接受县市场监督管理局的管理，并协助县市场监督管理局完成省市区相关检测系统录入和相关表格报送。 </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（4）业务建档制度：中标人须针对龙游县食品检测业务建立单独的业务档案资料，并按规定进行备案。</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（5）投诉制度：龙游县市场监督管理局有权对检测机构监督投诉。</w:t>
      </w:r>
    </w:p>
    <w:p>
      <w:pPr>
        <w:pStyle w:val="20"/>
        <w:snapToGrid w:val="0"/>
        <w:spacing w:line="480" w:lineRule="exact"/>
        <w:ind w:firstLine="240" w:firstLineChars="1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（6）违规处理：采购人可在中标人接收委托期间对检测机构是否规范操作进行监督检查，如发现违规事件，第一次口头警告；第二次书面警告；第三次解除合同。</w:t>
      </w:r>
    </w:p>
    <w:p>
      <w:pPr>
        <w:pStyle w:val="20"/>
        <w:snapToGrid w:val="0"/>
        <w:spacing w:line="480" w:lineRule="exact"/>
        <w:ind w:firstLine="480" w:firstLineChars="200"/>
        <w:rPr>
          <w:rFonts w:hint="eastAsia" w:ascii="黑体" w:hAnsi="黑体" w:eastAsia="黑体" w:cs="黑体"/>
          <w:b w:val="0"/>
          <w:bCs w:val="0"/>
          <w:color w:val="auto"/>
          <w:kern w:val="0"/>
          <w:szCs w:val="24"/>
          <w:highlight w:val="none"/>
        </w:rPr>
      </w:pPr>
      <w:r>
        <w:rPr>
          <w:rFonts w:hint="eastAsia" w:ascii="黑体" w:hAnsi="黑体" w:eastAsia="黑体" w:cs="黑体"/>
          <w:b w:val="0"/>
          <w:bCs w:val="0"/>
          <w:color w:val="auto"/>
          <w:kern w:val="0"/>
          <w:szCs w:val="24"/>
          <w:highlight w:val="none"/>
        </w:rPr>
        <w:t>2、各中标人应在龙游县市场监督管理局的统筹安排下，严格按照《浙江省市场监督管理局关于改进食品安全抽检监测工作提升质量效益的实施意见（试行）》（浙市监食检【2020】20号）等文件的要求，开展食品“抽检分离”改革的相关工作，所涉及的相关费用均视为已包含在各投标报价中，不再单独计取。</w:t>
      </w:r>
    </w:p>
    <w:p>
      <w:pPr>
        <w:pStyle w:val="20"/>
        <w:snapToGrid w:val="0"/>
        <w:spacing w:line="480" w:lineRule="exact"/>
        <w:ind w:firstLine="0" w:firstLineChars="0"/>
        <w:rPr>
          <w:rFonts w:hint="eastAsia" w:ascii="黑体" w:hAnsi="黑体" w:eastAsia="黑体" w:cs="黑体"/>
          <w:b/>
          <w:bCs/>
          <w:color w:val="auto"/>
          <w:kern w:val="0"/>
          <w:szCs w:val="24"/>
          <w:highlight w:val="none"/>
        </w:rPr>
      </w:pPr>
      <w:r>
        <w:rPr>
          <w:rFonts w:hint="eastAsia" w:ascii="黑体" w:hAnsi="黑体" w:eastAsia="黑体" w:cs="黑体"/>
          <w:b/>
          <w:bCs/>
          <w:color w:val="auto"/>
          <w:kern w:val="0"/>
          <w:szCs w:val="24"/>
          <w:highlight w:val="none"/>
        </w:rPr>
        <w:t>三、商务条款：</w:t>
      </w:r>
    </w:p>
    <w:tbl>
      <w:tblPr>
        <w:tblStyle w:val="34"/>
        <w:tblpPr w:leftFromText="180" w:rightFromText="180" w:vertAnchor="text" w:horzAnchor="page" w:tblpX="1122" w:tblpY="402"/>
        <w:tblOverlap w:val="never"/>
        <w:tblW w:w="5108" w:type="pct"/>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8301"/>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77" w:type="pct"/>
            <w:vAlign w:val="center"/>
          </w:tcPr>
          <w:p>
            <w:pPr>
              <w:widowControl/>
              <w:adjustRightInd w:val="0"/>
              <w:snapToGrid w:val="0"/>
              <w:spacing w:after="200" w:line="400" w:lineRule="exact"/>
              <w:ind w:firstLine="0" w:firstLineChars="0"/>
              <w:jc w:val="center"/>
              <w:rPr>
                <w:rFonts w:hint="eastAsia" w:ascii="黑体" w:hAnsi="黑体" w:eastAsia="黑体" w:cs="黑体"/>
                <w:color w:val="auto"/>
                <w:kern w:val="0"/>
                <w:sz w:val="22"/>
                <w:highlight w:val="none"/>
                <w:lang w:val="zh-CN"/>
              </w:rPr>
            </w:pPr>
            <w:bookmarkStart w:id="150" w:name="_Toc21955467"/>
            <w:bookmarkStart w:id="151" w:name="_Toc14517038"/>
            <w:r>
              <w:rPr>
                <w:rFonts w:hint="eastAsia" w:ascii="黑体" w:hAnsi="黑体" w:eastAsia="黑体" w:cs="黑体"/>
                <w:color w:val="auto"/>
                <w:kern w:val="0"/>
                <w:sz w:val="22"/>
                <w:highlight w:val="none"/>
                <w:lang w:val="zh-CN"/>
              </w:rPr>
              <w:t>服务时间及地点</w:t>
            </w:r>
          </w:p>
        </w:tc>
        <w:tc>
          <w:tcPr>
            <w:tcW w:w="4122" w:type="pct"/>
            <w:vAlign w:val="center"/>
          </w:tcPr>
          <w:p>
            <w:pPr>
              <w:widowControl/>
              <w:numPr>
                <w:ilvl w:val="0"/>
                <w:numId w:val="5"/>
              </w:numPr>
              <w:adjustRightInd w:val="0"/>
              <w:snapToGrid w:val="0"/>
              <w:spacing w:after="200" w:line="240" w:lineRule="auto"/>
              <w:ind w:firstLine="0" w:firstLineChars="0"/>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本项目服务期限为合同签订之日起2年。</w:t>
            </w:r>
          </w:p>
          <w:p>
            <w:pPr>
              <w:widowControl/>
              <w:numPr>
                <w:ilvl w:val="0"/>
                <w:numId w:val="0"/>
              </w:numPr>
              <w:adjustRightInd w:val="0"/>
              <w:snapToGrid w:val="0"/>
              <w:spacing w:after="200" w:line="240" w:lineRule="auto"/>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（2）如中标人在服务期内违反合同约定，采购单位有权提前终止合同。</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877" w:type="pct"/>
            <w:vAlign w:val="center"/>
          </w:tcPr>
          <w:p>
            <w:pPr>
              <w:widowControl/>
              <w:adjustRightInd w:val="0"/>
              <w:snapToGrid w:val="0"/>
              <w:spacing w:after="200" w:line="400" w:lineRule="exact"/>
              <w:ind w:firstLine="0" w:firstLineChars="0"/>
              <w:jc w:val="center"/>
              <w:rPr>
                <w:rFonts w:hint="eastAsia" w:ascii="黑体" w:hAnsi="黑体" w:eastAsia="黑体" w:cs="黑体"/>
                <w:color w:val="auto"/>
                <w:kern w:val="0"/>
                <w:sz w:val="22"/>
                <w:highlight w:val="none"/>
                <w:lang w:val="zh-CN"/>
              </w:rPr>
            </w:pPr>
            <w:r>
              <w:rPr>
                <w:rFonts w:hint="eastAsia" w:ascii="黑体" w:hAnsi="黑体" w:eastAsia="黑体" w:cs="黑体"/>
                <w:color w:val="auto"/>
                <w:kern w:val="0"/>
                <w:sz w:val="22"/>
                <w:highlight w:val="none"/>
                <w:lang w:val="zh-CN"/>
              </w:rPr>
              <w:t>工期</w:t>
            </w:r>
          </w:p>
        </w:tc>
        <w:tc>
          <w:tcPr>
            <w:tcW w:w="4122" w:type="pct"/>
            <w:vAlign w:val="center"/>
          </w:tcPr>
          <w:p>
            <w:pPr>
              <w:widowControl/>
              <w:adjustRightInd w:val="0"/>
              <w:snapToGrid w:val="0"/>
              <w:spacing w:after="200" w:line="400" w:lineRule="exact"/>
              <w:ind w:firstLine="0" w:firstLineChars="0"/>
              <w:rPr>
                <w:rFonts w:hint="eastAsia" w:ascii="黑体" w:hAnsi="黑体" w:eastAsia="黑体" w:cs="黑体"/>
                <w:color w:val="auto"/>
                <w:kern w:val="0"/>
                <w:sz w:val="22"/>
                <w:highlight w:val="none"/>
                <w:lang w:val="zh-CN"/>
              </w:rPr>
            </w:pPr>
            <w:r>
              <w:rPr>
                <w:rFonts w:hint="eastAsia" w:ascii="黑体" w:hAnsi="黑体" w:eastAsia="黑体" w:cs="黑体"/>
                <w:color w:val="auto"/>
                <w:kern w:val="0"/>
                <w:sz w:val="22"/>
                <w:highlight w:val="none"/>
                <w:lang w:val="zh-CN"/>
              </w:rPr>
              <w:t>自合同签订之日起</w:t>
            </w:r>
            <w:r>
              <w:rPr>
                <w:rFonts w:hint="eastAsia" w:ascii="黑体" w:hAnsi="黑体" w:eastAsia="黑体" w:cs="黑体"/>
                <w:color w:val="auto"/>
                <w:kern w:val="0"/>
                <w:sz w:val="22"/>
                <w:highlight w:val="none"/>
                <w:lang w:eastAsia="zh-CN"/>
              </w:rPr>
              <w:t>两</w:t>
            </w:r>
            <w:r>
              <w:rPr>
                <w:rFonts w:hint="eastAsia" w:ascii="黑体" w:hAnsi="黑体" w:eastAsia="黑体" w:cs="黑体"/>
                <w:color w:val="auto"/>
                <w:kern w:val="0"/>
                <w:sz w:val="22"/>
                <w:highlight w:val="none"/>
              </w:rPr>
              <w:t>年</w:t>
            </w:r>
            <w:r>
              <w:rPr>
                <w:rFonts w:hint="eastAsia" w:ascii="黑体" w:hAnsi="黑体" w:eastAsia="黑体" w:cs="黑体"/>
                <w:color w:val="auto"/>
                <w:kern w:val="0"/>
                <w:sz w:val="22"/>
                <w:highlight w:val="none"/>
                <w:lang w:val="zh-CN"/>
              </w:rPr>
              <w:t>内完成项目所有内容</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7" w:type="pct"/>
            <w:vAlign w:val="center"/>
          </w:tcPr>
          <w:p>
            <w:pPr>
              <w:widowControl/>
              <w:adjustRightInd w:val="0"/>
              <w:snapToGrid w:val="0"/>
              <w:spacing w:after="200" w:line="400" w:lineRule="exact"/>
              <w:ind w:firstLine="0" w:firstLineChars="0"/>
              <w:jc w:val="center"/>
              <w:rPr>
                <w:rFonts w:hint="eastAsia" w:ascii="黑体" w:hAnsi="黑体" w:eastAsia="黑体" w:cs="黑体"/>
                <w:color w:val="auto"/>
                <w:kern w:val="0"/>
                <w:sz w:val="22"/>
                <w:highlight w:val="none"/>
                <w:lang w:val="zh-CN"/>
              </w:rPr>
            </w:pPr>
            <w:r>
              <w:rPr>
                <w:rFonts w:hint="eastAsia" w:ascii="黑体" w:hAnsi="黑体" w:eastAsia="黑体" w:cs="黑体"/>
                <w:color w:val="auto"/>
                <w:kern w:val="0"/>
                <w:sz w:val="22"/>
                <w:highlight w:val="none"/>
                <w:lang w:val="zh-CN"/>
              </w:rPr>
              <w:t>付款方式</w:t>
            </w:r>
          </w:p>
        </w:tc>
        <w:tc>
          <w:tcPr>
            <w:tcW w:w="4122" w:type="pct"/>
            <w:vAlign w:val="center"/>
          </w:tcPr>
          <w:p>
            <w:pPr>
              <w:widowControl/>
              <w:adjustRightInd w:val="0"/>
              <w:snapToGrid w:val="0"/>
              <w:spacing w:after="200" w:line="400" w:lineRule="exact"/>
              <w:ind w:firstLine="0" w:firstLineChars="0"/>
              <w:rPr>
                <w:rFonts w:hint="eastAsia" w:ascii="黑体" w:hAnsi="黑体" w:eastAsia="黑体" w:cs="黑体"/>
                <w:color w:val="auto"/>
                <w:kern w:val="0"/>
                <w:sz w:val="22"/>
                <w:highlight w:val="none"/>
                <w:lang w:val="zh-CN"/>
              </w:rPr>
            </w:pPr>
            <w:r>
              <w:rPr>
                <w:rFonts w:hint="eastAsia" w:ascii="黑体" w:hAnsi="黑体" w:eastAsia="黑体" w:cs="黑体"/>
                <w:color w:val="auto"/>
                <w:kern w:val="0"/>
                <w:sz w:val="22"/>
                <w:highlight w:val="none"/>
                <w:lang w:val="zh-CN"/>
              </w:rPr>
              <w:t>按实际发生的检验批次和协议价格进行核算、支付。中标人在出具合格的检测报告后，应在5个工作日内开具全额发票给采购人，采购人全额支付。</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77" w:type="pct"/>
            <w:vAlign w:val="center"/>
          </w:tcPr>
          <w:p>
            <w:pPr>
              <w:widowControl/>
              <w:adjustRightInd w:val="0"/>
              <w:snapToGrid w:val="0"/>
              <w:spacing w:after="200" w:line="400" w:lineRule="exact"/>
              <w:ind w:firstLine="0" w:firstLineChars="0"/>
              <w:jc w:val="center"/>
              <w:rPr>
                <w:rFonts w:hint="eastAsia" w:ascii="黑体" w:hAnsi="黑体" w:eastAsia="黑体" w:cs="黑体"/>
                <w:color w:val="auto"/>
                <w:kern w:val="0"/>
                <w:sz w:val="22"/>
                <w:highlight w:val="none"/>
                <w:lang w:val="zh-CN"/>
              </w:rPr>
            </w:pPr>
            <w:r>
              <w:rPr>
                <w:rFonts w:hint="eastAsia" w:ascii="黑体" w:hAnsi="黑体" w:eastAsia="黑体" w:cs="黑体"/>
                <w:color w:val="auto"/>
                <w:kern w:val="0"/>
                <w:sz w:val="22"/>
                <w:highlight w:val="none"/>
                <w:lang w:val="zh-CN"/>
              </w:rPr>
              <w:t>其他要求</w:t>
            </w:r>
          </w:p>
        </w:tc>
        <w:tc>
          <w:tcPr>
            <w:tcW w:w="4122" w:type="pct"/>
            <w:vAlign w:val="center"/>
          </w:tcPr>
          <w:p>
            <w:pPr>
              <w:widowControl/>
              <w:adjustRightInd w:val="0"/>
              <w:snapToGrid w:val="0"/>
              <w:spacing w:after="200" w:line="400" w:lineRule="exact"/>
              <w:ind w:firstLine="0" w:firstLineChars="0"/>
              <w:rPr>
                <w:rFonts w:hint="eastAsia" w:ascii="黑体" w:hAnsi="黑体" w:eastAsia="黑体" w:cs="黑体"/>
                <w:color w:val="auto"/>
                <w:kern w:val="0"/>
                <w:sz w:val="22"/>
                <w:highlight w:val="none"/>
              </w:rPr>
            </w:pPr>
            <w:r>
              <w:rPr>
                <w:rFonts w:hint="eastAsia" w:ascii="黑体" w:hAnsi="黑体" w:eastAsia="黑体" w:cs="黑体"/>
                <w:color w:val="auto"/>
                <w:kern w:val="0"/>
                <w:sz w:val="22"/>
                <w:highlight w:val="none"/>
              </w:rPr>
              <w:t>投标文件中至少应提供以下内容：项目总体实施方案、项目质量管理及质量保证措施（方案）、投标人主要检测设施及仪器设备情况、拟派项目实施团队人员一览表及项目负责人情况表、服务方案及承诺、提供食品抽检过程中针对各种突发事件的应急措施、对本项目的合理化建议或优惠条件、“评审内容及标准”中涉及的其他资料。</w:t>
            </w:r>
          </w:p>
        </w:tc>
      </w:tr>
      <w:bookmarkEnd w:id="150"/>
      <w:bookmarkEnd w:id="151"/>
    </w:tbl>
    <w:p>
      <w:pPr>
        <w:pStyle w:val="21"/>
        <w:tabs>
          <w:tab w:val="right" w:leader="dot" w:pos="9179"/>
        </w:tabs>
        <w:spacing w:line="480" w:lineRule="exact"/>
        <w:ind w:left="3840" w:leftChars="0" w:firstLine="0" w:firstLineChars="0"/>
        <w:outlineLvl w:val="0"/>
        <w:rPr>
          <w:rStyle w:val="57"/>
          <w:rFonts w:hint="eastAsia" w:ascii="黑体" w:hAnsi="黑体" w:eastAsia="黑体" w:cs="黑体"/>
          <w:b/>
          <w:color w:val="auto"/>
          <w:sz w:val="32"/>
          <w:szCs w:val="32"/>
          <w:highlight w:val="none"/>
        </w:rPr>
      </w:pPr>
    </w:p>
    <w:p>
      <w:pPr>
        <w:pStyle w:val="21"/>
        <w:tabs>
          <w:tab w:val="right" w:leader="dot" w:pos="9179"/>
        </w:tabs>
        <w:spacing w:line="480" w:lineRule="exact"/>
        <w:ind w:left="3840" w:leftChars="0" w:firstLine="0" w:firstLineChars="0"/>
        <w:outlineLvl w:val="0"/>
        <w:rPr>
          <w:rStyle w:val="57"/>
          <w:rFonts w:hint="eastAsia" w:ascii="黑体" w:hAnsi="黑体" w:eastAsia="黑体" w:cs="黑体"/>
          <w:b/>
          <w:color w:val="auto"/>
          <w:sz w:val="32"/>
          <w:szCs w:val="32"/>
          <w:highlight w:val="none"/>
        </w:rPr>
      </w:pPr>
    </w:p>
    <w:p>
      <w:pPr>
        <w:pStyle w:val="21"/>
        <w:tabs>
          <w:tab w:val="right" w:leader="dot" w:pos="9179"/>
        </w:tabs>
        <w:spacing w:line="480" w:lineRule="exact"/>
        <w:ind w:left="3840" w:leftChars="0" w:firstLine="0" w:firstLineChars="0"/>
        <w:outlineLvl w:val="0"/>
        <w:rPr>
          <w:rFonts w:hint="eastAsia" w:ascii="黑体" w:hAnsi="黑体" w:eastAsia="黑体" w:cs="黑体"/>
          <w:color w:val="auto"/>
          <w:szCs w:val="24"/>
          <w:highlight w:val="none"/>
        </w:rPr>
      </w:pPr>
      <w:r>
        <w:rPr>
          <w:rStyle w:val="57"/>
          <w:rFonts w:hint="eastAsia" w:ascii="黑体" w:hAnsi="黑体" w:eastAsia="黑体" w:cs="黑体"/>
          <w:b/>
          <w:color w:val="auto"/>
          <w:sz w:val="32"/>
          <w:szCs w:val="32"/>
          <w:highlight w:val="none"/>
        </w:rPr>
        <w:t>第四章 合同主要条款</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rPr>
        <w:t>项目名称：</w:t>
      </w:r>
      <w:r>
        <w:rPr>
          <w:rFonts w:hint="eastAsia" w:ascii="黑体" w:hAnsi="黑体" w:eastAsia="黑体" w:cs="黑体"/>
          <w:color w:val="auto"/>
          <w:szCs w:val="24"/>
          <w:highlight w:val="none"/>
          <w:lang w:val="zh-CN"/>
        </w:rPr>
        <w:t>龙游县市场监督管理局2022年-2023年食品安全监督抽检项目</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lang w:eastAsia="zh-CN"/>
        </w:rPr>
      </w:pPr>
      <w:r>
        <w:rPr>
          <w:rFonts w:hint="eastAsia" w:ascii="黑体" w:hAnsi="黑体" w:eastAsia="黑体" w:cs="黑体"/>
          <w:color w:val="auto"/>
          <w:szCs w:val="24"/>
          <w:highlight w:val="none"/>
        </w:rPr>
        <w:t>项目编号：</w:t>
      </w:r>
      <w:r>
        <w:rPr>
          <w:rFonts w:hint="eastAsia" w:ascii="黑体" w:hAnsi="黑体" w:eastAsia="黑体" w:cs="黑体"/>
          <w:color w:val="auto"/>
          <w:szCs w:val="24"/>
          <w:highlight w:val="none"/>
          <w:lang w:eastAsia="zh-CN"/>
        </w:rPr>
        <w:t>OBZFCG2021-033</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甲方：龙游县市场监督管理局</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乙方：</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bookmarkStart w:id="152" w:name="_Toc1954"/>
      <w:r>
        <w:rPr>
          <w:rFonts w:hint="eastAsia" w:ascii="黑体" w:hAnsi="黑体" w:eastAsia="黑体" w:cs="黑体"/>
          <w:color w:val="auto"/>
          <w:szCs w:val="24"/>
          <w:highlight w:val="none"/>
        </w:rPr>
        <w:t>经过公开招标，甲方将乙方作为2022-2023年度龙游县食品监督抽检服务定点机构。依照《中华人民共和国政府采购法》，遵循平等、自愿、公平和诚信的原则，甲方将2022-2023年度龙游县部分食品监督抽检服务工作委托乙方实施。乙方接受甲方委托，按照食品安全监督抽检有关规定，在甲方委托事宜范围内依法组织开展食品抽检工作。经甲乙双方协商一致，签订如下协议：</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一、说明</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1．合同基本条款是指招标人（以下简称甲方）和中标人（以下简称乙方）应共同遵守的基本原则，并作为双方签约的依据。对于合同的其他条款，双方应本着互谅互让的精神协商解决。</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2．制定“合同主要条款”的依据是《民法典》。</w:t>
      </w:r>
    </w:p>
    <w:bookmarkEnd w:id="152"/>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bookmarkStart w:id="153" w:name="_Toc393791425"/>
      <w:r>
        <w:rPr>
          <w:rFonts w:hint="eastAsia" w:ascii="黑体" w:hAnsi="黑体" w:eastAsia="黑体" w:cs="黑体"/>
          <w:color w:val="auto"/>
          <w:szCs w:val="24"/>
          <w:highlight w:val="none"/>
          <w:lang w:eastAsia="zh-CN"/>
        </w:rPr>
        <w:t>二</w:t>
      </w:r>
      <w:r>
        <w:rPr>
          <w:rFonts w:hint="eastAsia" w:ascii="黑体" w:hAnsi="黑体" w:eastAsia="黑体" w:cs="黑体"/>
          <w:color w:val="auto"/>
          <w:szCs w:val="24"/>
          <w:highlight w:val="none"/>
        </w:rPr>
        <w:t>、基本情况</w:t>
      </w:r>
      <w:bookmarkEnd w:id="153"/>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1. 协议事项：2022-2023年度龙游县食品监督抽检服务工作。 </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2. 食品抽检种类、品种、项目和批次：以每个抽检周期实际安排为准。</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3. 抽检经费：按照完成的批次和协议价格结算。</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4. 资金来源：龙游县财政资金。</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5. 有效期限：自签订之日起2年。</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bookmarkStart w:id="154" w:name="_Toc393791426"/>
      <w:r>
        <w:rPr>
          <w:rFonts w:hint="eastAsia" w:ascii="黑体" w:hAnsi="黑体" w:eastAsia="黑体" w:cs="黑体"/>
          <w:color w:val="auto"/>
          <w:szCs w:val="24"/>
          <w:highlight w:val="none"/>
          <w:lang w:eastAsia="zh-CN"/>
        </w:rPr>
        <w:t>三</w:t>
      </w:r>
      <w:r>
        <w:rPr>
          <w:rFonts w:hint="eastAsia" w:ascii="黑体" w:hAnsi="黑体" w:eastAsia="黑体" w:cs="黑体"/>
          <w:color w:val="auto"/>
          <w:szCs w:val="24"/>
          <w:highlight w:val="none"/>
        </w:rPr>
        <w:t>、甲方委托乙方的具体事项</w:t>
      </w:r>
      <w:bookmarkEnd w:id="154"/>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1. 按照《中华人民共和国食品安全法》、《食品安全抽样检验管理办法》等有关法律法规和技术规范，承担2022-2023年度龙游县食品抽检工作。</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2. 按照甲方委托的食品抽检品种、项目、批次和采样区域制定抽检计划。检测周期为15天左右。抽检环节设置以种养殖基地、生产、流通和餐饮环节为主；抽检品种应覆所有品牌。</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3. 根据甲方的工作要求开展抽检工作。在组织抽样检测过程中，检测产品的种类、品种、项目、抽样地点及样品处理不得随意调整；如因客观情况必须进行调整的，需征得甲方同意。辅助甲方抽样的，应根据甲方要求配合做好人员、设备、交通工具的组织配备。</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4. 按照有关法律法规和技术规范开展食品检测。未经甲方同意，乙方不得少检或漏检，不得将委托检测的产品交由其他机构检测。</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5. 食品抽检发现的不合格食品信息，乙方应在7日内出具报告给甲方。</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6. 每个抽检周期结束前报送食品检测结果，同时每个月报送所抽检的食品品种整体质量安全状况报告。乙方对报告的可靠性和准确性负责。</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7. 规范备样品收集储存。根据《食品安全抽样检验管理办法》规定，严格规范做好检验样品和复检备份样品的收集储存。储存期结束，最后由检验机构按规范处理，并备有处理记录。 </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8. 参加由甲方组织的与食品抽检工作有关的宣传、培训活动，并根据甲方要求做好相应配合工作。</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9. 协助甲方完成省市区相关检测系统录入和相关表格报送。</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10. 除按要求开展响应外，乙方每年另行预留3次紧急响应处理能力，每次响应要求在2小时内作出有效回应。</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bookmarkStart w:id="155" w:name="_Toc393791427"/>
      <w:r>
        <w:rPr>
          <w:rFonts w:hint="eastAsia" w:ascii="黑体" w:hAnsi="黑体" w:eastAsia="黑体" w:cs="黑体"/>
          <w:color w:val="auto"/>
          <w:szCs w:val="24"/>
          <w:highlight w:val="none"/>
          <w:lang w:eastAsia="zh-CN"/>
        </w:rPr>
        <w:t>四</w:t>
      </w:r>
      <w:r>
        <w:rPr>
          <w:rFonts w:hint="eastAsia" w:ascii="黑体" w:hAnsi="黑体" w:eastAsia="黑体" w:cs="黑体"/>
          <w:color w:val="auto"/>
          <w:szCs w:val="24"/>
          <w:highlight w:val="none"/>
        </w:rPr>
        <w:t>、甲方的权利和义务</w:t>
      </w:r>
      <w:bookmarkEnd w:id="155"/>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1. 指定一名抽检工作联系人，确保通讯畅通，每日24小时开机，代表甲方处理食品抽检工作中的有关事宜。</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2. 向乙方提供食品抽检计划和服务内容等书面材料和要求。检测产品的种类、品种、项目、抽检地点及样品处理由甲方提前3日通知乙方。</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3. 对乙方食品抽检计划完成情况予以审核确认，如期向乙方支付抽检费用。</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4. 有权利就委托的事项提出合法、合理的要求。</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5. 有权利对乙方食品抽检行为进行考核。</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6. 有权利派专家和工作人员监督抽检工作，但不得非法干预、影响检测过程和结果。甲方参加监督的专家和工作人员必须出具授权书，并写明参加的具体人员姓名。</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7. 有义务保守检测工作的相关秘密。</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8. 应遵守法律法规和各项食品检测规范和制度。</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color w:val="auto"/>
          <w:highlight w:val="none"/>
        </w:rPr>
      </w:pPr>
      <w:r>
        <w:rPr>
          <w:rFonts w:hint="eastAsia" w:ascii="黑体" w:hAnsi="黑体" w:eastAsia="黑体" w:cs="黑体"/>
          <w:color w:val="auto"/>
          <w:szCs w:val="24"/>
          <w:highlight w:val="none"/>
          <w:lang w:val="en-US" w:eastAsia="zh-CN"/>
        </w:rPr>
        <w:t>9、甲方根据自身抽检工作业务规范要求，有权对乙方的具体抽样检验工作进行监督、检查和考核。</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bookmarkStart w:id="156" w:name="_Toc393791428"/>
      <w:r>
        <w:rPr>
          <w:rFonts w:hint="eastAsia" w:ascii="黑体" w:hAnsi="黑体" w:eastAsia="黑体" w:cs="黑体"/>
          <w:color w:val="auto"/>
          <w:szCs w:val="24"/>
          <w:highlight w:val="none"/>
          <w:lang w:eastAsia="zh-CN"/>
        </w:rPr>
        <w:t>五</w:t>
      </w:r>
      <w:r>
        <w:rPr>
          <w:rFonts w:hint="eastAsia" w:ascii="黑体" w:hAnsi="黑体" w:eastAsia="黑体" w:cs="黑体"/>
          <w:color w:val="auto"/>
          <w:szCs w:val="24"/>
          <w:highlight w:val="none"/>
        </w:rPr>
        <w:t>、乙方的权利和义务</w:t>
      </w:r>
      <w:bookmarkEnd w:id="156"/>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1. 指派专人负责项目联络工作，确保通讯畅通，每日24小时开机，及时响应，如有变化应及时告知甲方。</w:t>
      </w:r>
      <w:r>
        <w:rPr>
          <w:rFonts w:hint="eastAsia" w:ascii="黑体" w:hAnsi="黑体" w:eastAsia="黑体" w:cs="黑体"/>
          <w:color w:val="auto"/>
          <w:szCs w:val="24"/>
          <w:highlight w:val="none"/>
          <w:lang w:eastAsia="zh-CN"/>
        </w:rPr>
        <w:t>乙方</w:t>
      </w:r>
      <w:r>
        <w:rPr>
          <w:rFonts w:hint="eastAsia" w:ascii="黑体" w:hAnsi="黑体" w:eastAsia="黑体" w:cs="黑体"/>
          <w:color w:val="auto"/>
          <w:szCs w:val="24"/>
          <w:highlight w:val="none"/>
        </w:rPr>
        <w:t>必须至少派1人长期在龙游县食品药品安全委员会办公室协助食品安全检测工作，服务时间</w:t>
      </w:r>
      <w:r>
        <w:rPr>
          <w:rFonts w:hint="eastAsia" w:ascii="黑体" w:hAnsi="黑体" w:eastAsia="黑体" w:cs="黑体"/>
          <w:color w:val="auto"/>
          <w:szCs w:val="24"/>
          <w:highlight w:val="none"/>
          <w:lang w:eastAsia="zh-CN"/>
        </w:rPr>
        <w:t>至合同期满</w:t>
      </w:r>
      <w:r>
        <w:rPr>
          <w:rFonts w:hint="eastAsia" w:ascii="黑体" w:hAnsi="黑体" w:eastAsia="黑体" w:cs="黑体"/>
          <w:color w:val="auto"/>
          <w:szCs w:val="24"/>
          <w:highlight w:val="none"/>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2. 按照有关法律法规和技术规范要求，加强质量控制和规范管理，确保检测结果客观、准确，并按照委托时限上报。</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3. 根据甲方要求制订食品抽检计划，同时可以根据甲方需求提出合理化建议。</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4. 根据甲方要求开展食品抽检工作，每个周期抽检工作结束后向甲方出具书面检测报告，出具期限必须和投标文件中承诺的时间一致。</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5. 满足甲方的合法、合理要求，但对违法违规以及无理的要求应予拒绝。</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6. 可根据需要，就食品抽检工作征询专家意见。</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7. 在委托事项范围内应及时答复甲方的询问和质疑。</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8. 有义务保守检测工作的相关秘密。</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9. 在采样过程中不得收取食品生产经营单位任何费用。</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10. 有权向甲方举报食品生产经营单位违法违规行为。</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11. 应遵守法律法规和食品检测技术规范和相关制度。</w:t>
      </w:r>
    </w:p>
    <w:p>
      <w:pPr>
        <w:pStyle w:val="2"/>
        <w:rPr>
          <w:rFonts w:hint="eastAsia"/>
          <w:color w:val="auto"/>
          <w:highlight w:val="none"/>
        </w:rPr>
      </w:pPr>
      <w:r>
        <w:rPr>
          <w:rFonts w:hint="eastAsia" w:ascii="黑体" w:hAnsi="黑体" w:eastAsia="黑体" w:cs="黑体"/>
          <w:b w:val="0"/>
          <w:bCs w:val="0"/>
          <w:color w:val="auto"/>
          <w:spacing w:val="0"/>
          <w:kern w:val="2"/>
          <w:sz w:val="24"/>
          <w:szCs w:val="24"/>
          <w:highlight w:val="none"/>
          <w:lang w:val="en-US" w:eastAsia="zh-CN" w:bidi="ar-SA"/>
        </w:rPr>
        <w:t>12、乙方应当遵守甲方的抽检工作业务规范，按照规范进行抽样检验活动，并接受甲方的具体抽样检验工作进行监督、检查和考核。</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bookmarkStart w:id="157" w:name="_Toc393791429"/>
      <w:r>
        <w:rPr>
          <w:rFonts w:hint="eastAsia" w:ascii="黑体" w:hAnsi="黑体" w:eastAsia="黑体" w:cs="黑体"/>
          <w:color w:val="auto"/>
          <w:szCs w:val="24"/>
          <w:highlight w:val="none"/>
          <w:lang w:eastAsia="zh-CN"/>
        </w:rPr>
        <w:t>六</w:t>
      </w:r>
      <w:r>
        <w:rPr>
          <w:rFonts w:hint="eastAsia" w:ascii="黑体" w:hAnsi="黑体" w:eastAsia="黑体" w:cs="黑体"/>
          <w:color w:val="auto"/>
          <w:szCs w:val="24"/>
          <w:highlight w:val="none"/>
        </w:rPr>
        <w:t>、有关费用</w:t>
      </w:r>
      <w:bookmarkEnd w:id="157"/>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食品抽检工作中产生的费用（如协助采样、检测、报告、结果分析等），由乙方先行垫付。乙方在出具合格的检测报告后，开具全额发票给甲方，甲方全额支付。</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bookmarkStart w:id="158" w:name="_Toc393791430"/>
      <w:r>
        <w:rPr>
          <w:rFonts w:hint="eastAsia" w:ascii="黑体" w:hAnsi="黑体" w:eastAsia="黑体" w:cs="黑体"/>
          <w:color w:val="auto"/>
          <w:szCs w:val="24"/>
          <w:highlight w:val="none"/>
        </w:rPr>
        <w:t>七、争议解决</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    本协议未尽事宜由甲乙双方协商解决，并签订必要的书面协议（如因政策性原因需要终止合同时，甲乙双方同意终止合同且双方互不追究对方责任）。如协商不成，双方同意依法向原告住所地人民法院提起诉讼。</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lang w:eastAsia="zh-CN"/>
        </w:rPr>
        <w:t>八</w:t>
      </w:r>
      <w:r>
        <w:rPr>
          <w:rFonts w:hint="eastAsia" w:ascii="黑体" w:hAnsi="黑体" w:eastAsia="黑体" w:cs="黑体"/>
          <w:color w:val="auto"/>
          <w:szCs w:val="24"/>
          <w:highlight w:val="none"/>
        </w:rPr>
        <w:t>、违约责任及处理</w:t>
      </w:r>
      <w:bookmarkEnd w:id="158"/>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甲乙双方应遵守法律法规、技术规范和本协议有关规定，否则，将承担相应的违约责任。甲方应如期支付相关检测费用，逾期未支付相关检测费用，甲方承担违约责任。乙方应按协议如期完成食品抽检工作，未按协议规定开展抽检工作的，乙方承担违约责任。甲乙双方如发现对方存在违约事件，经向采购监管部门报告后，由采购监管部门做出口头警告、书面警告、赔付违约金和取消委托事宜等处理。因违约造成经济损失的，由违约方承担。</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lang w:eastAsia="zh-CN"/>
        </w:rPr>
        <w:t>九</w:t>
      </w:r>
      <w:r>
        <w:rPr>
          <w:rFonts w:hint="eastAsia" w:ascii="黑体" w:hAnsi="黑体" w:eastAsia="黑体" w:cs="黑体"/>
          <w:color w:val="auto"/>
          <w:szCs w:val="24"/>
          <w:highlight w:val="none"/>
        </w:rPr>
        <w:t>、不可抗力事件处理</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3.不可抗力事件延续120天以上，双方应通过友好协商，确定是否继续履行合同。</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十、诉讼</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双方在执行合同中所发生的一切争议，应通过协商解决。如协商不成，可向甲方所在地法院起诉。</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十</w:t>
      </w:r>
      <w:r>
        <w:rPr>
          <w:rFonts w:hint="eastAsia" w:ascii="黑体" w:hAnsi="黑体" w:eastAsia="黑体" w:cs="黑体"/>
          <w:color w:val="auto"/>
          <w:szCs w:val="24"/>
          <w:highlight w:val="none"/>
          <w:lang w:eastAsia="zh-CN"/>
        </w:rPr>
        <w:t>一</w:t>
      </w:r>
      <w:r>
        <w:rPr>
          <w:rFonts w:hint="eastAsia" w:ascii="黑体" w:hAnsi="黑体" w:eastAsia="黑体" w:cs="黑体"/>
          <w:color w:val="auto"/>
          <w:szCs w:val="24"/>
          <w:highlight w:val="none"/>
        </w:rPr>
        <w:t>、合同生效及其它</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1.合同经双方法定代表人或授权代表签字并加盖单位公章，并经欧邦工程管理有限公司加盖鉴证章后生效。</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2.合同执行中涉及采购资金和采购内容修改或补充的，须经龙游县财政局政府采购监管科备案同意，方可作为主合同不可分割的一部分。</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3、本合同所有附件是合同之组成部分，具同等法律效力，并自合同签订之日起一并生效。</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4.本合同未尽事宜，遵照《民法典》有关条文执行。</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5.本合同正本一式五份，具有同等法律效力，甲乙双方各执二份，欧邦工程管理有限公司执一份。</w:t>
      </w:r>
    </w:p>
    <w:tbl>
      <w:tblPr>
        <w:tblStyle w:val="34"/>
        <w:tblW w:w="9288" w:type="dxa"/>
        <w:tblInd w:w="2" w:type="dxa"/>
        <w:tblLayout w:type="fixed"/>
        <w:tblCellMar>
          <w:top w:w="0" w:type="dxa"/>
          <w:left w:w="108" w:type="dxa"/>
          <w:bottom w:w="0" w:type="dxa"/>
          <w:right w:w="108" w:type="dxa"/>
        </w:tblCellMar>
      </w:tblPr>
      <w:tblGrid>
        <w:gridCol w:w="4644"/>
        <w:gridCol w:w="4644"/>
      </w:tblGrid>
      <w:tr>
        <w:tblPrEx>
          <w:tblCellMar>
            <w:top w:w="0" w:type="dxa"/>
            <w:left w:w="108" w:type="dxa"/>
            <w:bottom w:w="0" w:type="dxa"/>
            <w:right w:w="108" w:type="dxa"/>
          </w:tblCellMar>
        </w:tblPrEx>
        <w:trPr>
          <w:trHeight w:val="570" w:hRule="atLeast"/>
        </w:trPr>
        <w:tc>
          <w:tcPr>
            <w:tcW w:w="4644" w:type="dxa"/>
            <w:vAlign w:val="center"/>
          </w:tcPr>
          <w:p>
            <w:pPr>
              <w:keepNext w:val="0"/>
              <w:keepLines w:val="0"/>
              <w:pageBreakBefore w:val="0"/>
              <w:widowControl w:val="0"/>
              <w:kinsoku/>
              <w:wordWrap/>
              <w:overflowPunct/>
              <w:topLinePunct w:val="0"/>
              <w:bidi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       甲方：</w:t>
            </w:r>
          </w:p>
        </w:tc>
        <w:tc>
          <w:tcPr>
            <w:tcW w:w="4644" w:type="dxa"/>
            <w:vAlign w:val="center"/>
          </w:tcPr>
          <w:p>
            <w:pPr>
              <w:keepNext w:val="0"/>
              <w:keepLines w:val="0"/>
              <w:pageBreakBefore w:val="0"/>
              <w:widowControl w:val="0"/>
              <w:kinsoku/>
              <w:wordWrap/>
              <w:overflowPunct/>
              <w:topLinePunct w:val="0"/>
              <w:bidi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乙方：</w:t>
            </w:r>
          </w:p>
        </w:tc>
      </w:tr>
      <w:tr>
        <w:tblPrEx>
          <w:tblCellMar>
            <w:top w:w="0" w:type="dxa"/>
            <w:left w:w="108" w:type="dxa"/>
            <w:bottom w:w="0" w:type="dxa"/>
            <w:right w:w="108" w:type="dxa"/>
          </w:tblCellMar>
        </w:tblPrEx>
        <w:trPr>
          <w:trHeight w:val="545" w:hRule="atLeast"/>
        </w:trPr>
        <w:tc>
          <w:tcPr>
            <w:tcW w:w="4644" w:type="dxa"/>
            <w:vAlign w:val="center"/>
          </w:tcPr>
          <w:p>
            <w:pPr>
              <w:keepNext w:val="0"/>
              <w:keepLines w:val="0"/>
              <w:pageBreakBefore w:val="0"/>
              <w:widowControl w:val="0"/>
              <w:kinsoku/>
              <w:wordWrap/>
              <w:overflowPunct/>
              <w:topLinePunct w:val="0"/>
              <w:bidi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法定（授权）代表人：</w:t>
            </w:r>
          </w:p>
        </w:tc>
        <w:tc>
          <w:tcPr>
            <w:tcW w:w="4644" w:type="dxa"/>
            <w:vAlign w:val="center"/>
          </w:tcPr>
          <w:p>
            <w:pPr>
              <w:keepNext w:val="0"/>
              <w:keepLines w:val="0"/>
              <w:pageBreakBefore w:val="0"/>
              <w:widowControl w:val="0"/>
              <w:kinsoku/>
              <w:wordWrap/>
              <w:overflowPunct/>
              <w:topLinePunct w:val="0"/>
              <w:bidi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法定（授权）代表人： </w:t>
            </w:r>
          </w:p>
        </w:tc>
      </w:tr>
      <w:tr>
        <w:tblPrEx>
          <w:tblCellMar>
            <w:top w:w="0" w:type="dxa"/>
            <w:left w:w="108" w:type="dxa"/>
            <w:bottom w:w="0" w:type="dxa"/>
            <w:right w:w="108" w:type="dxa"/>
          </w:tblCellMar>
        </w:tblPrEx>
        <w:trPr>
          <w:trHeight w:val="530" w:hRule="atLeast"/>
        </w:trPr>
        <w:tc>
          <w:tcPr>
            <w:tcW w:w="4644" w:type="dxa"/>
            <w:vAlign w:val="center"/>
          </w:tcPr>
          <w:p>
            <w:pPr>
              <w:keepNext w:val="0"/>
              <w:keepLines w:val="0"/>
              <w:pageBreakBefore w:val="0"/>
              <w:widowControl w:val="0"/>
              <w:kinsoku/>
              <w:wordWrap/>
              <w:overflowPunct/>
              <w:topLinePunct w:val="0"/>
              <w:bidi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地址：</w:t>
            </w:r>
          </w:p>
        </w:tc>
        <w:tc>
          <w:tcPr>
            <w:tcW w:w="4644" w:type="dxa"/>
            <w:vAlign w:val="center"/>
          </w:tcPr>
          <w:p>
            <w:pPr>
              <w:keepNext w:val="0"/>
              <w:keepLines w:val="0"/>
              <w:pageBreakBefore w:val="0"/>
              <w:widowControl w:val="0"/>
              <w:kinsoku/>
              <w:wordWrap/>
              <w:overflowPunct/>
              <w:topLinePunct w:val="0"/>
              <w:bidi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地址：</w:t>
            </w:r>
          </w:p>
        </w:tc>
      </w:tr>
      <w:tr>
        <w:tblPrEx>
          <w:tblCellMar>
            <w:top w:w="0" w:type="dxa"/>
            <w:left w:w="108" w:type="dxa"/>
            <w:bottom w:w="0" w:type="dxa"/>
            <w:right w:w="108" w:type="dxa"/>
          </w:tblCellMar>
        </w:tblPrEx>
        <w:trPr>
          <w:trHeight w:val="575" w:hRule="atLeast"/>
        </w:trPr>
        <w:tc>
          <w:tcPr>
            <w:tcW w:w="4644" w:type="dxa"/>
            <w:vAlign w:val="center"/>
          </w:tcPr>
          <w:p>
            <w:pPr>
              <w:keepNext w:val="0"/>
              <w:keepLines w:val="0"/>
              <w:pageBreakBefore w:val="0"/>
              <w:widowControl w:val="0"/>
              <w:kinsoku/>
              <w:wordWrap/>
              <w:overflowPunct/>
              <w:topLinePunct w:val="0"/>
              <w:bidi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签订日期：2021年    月    日</w:t>
            </w:r>
          </w:p>
        </w:tc>
        <w:tc>
          <w:tcPr>
            <w:tcW w:w="4644" w:type="dxa"/>
            <w:vAlign w:val="center"/>
          </w:tcPr>
          <w:p>
            <w:pPr>
              <w:keepNext w:val="0"/>
              <w:keepLines w:val="0"/>
              <w:pageBreakBefore w:val="0"/>
              <w:widowControl w:val="0"/>
              <w:kinsoku/>
              <w:wordWrap/>
              <w:overflowPunct/>
              <w:topLinePunct w:val="0"/>
              <w:bidi w:val="0"/>
              <w:spacing w:line="360" w:lineRule="exact"/>
              <w:ind w:firstLine="480"/>
              <w:textAlignment w:val="auto"/>
              <w:rPr>
                <w:rFonts w:hint="eastAsia" w:ascii="黑体" w:hAnsi="黑体" w:eastAsia="黑体" w:cs="黑体"/>
                <w:color w:val="auto"/>
                <w:szCs w:val="24"/>
                <w:highlight w:val="none"/>
              </w:rPr>
            </w:pPr>
            <w:r>
              <w:rPr>
                <w:rFonts w:hint="eastAsia" w:ascii="黑体" w:hAnsi="黑体" w:eastAsia="黑体" w:cs="黑体"/>
                <w:color w:val="auto"/>
                <w:szCs w:val="24"/>
                <w:highlight w:val="none"/>
              </w:rPr>
              <w:t>签订日期：2021年    月    日</w:t>
            </w:r>
          </w:p>
        </w:tc>
      </w:tr>
      <w:tr>
        <w:tblPrEx>
          <w:tblCellMar>
            <w:top w:w="0" w:type="dxa"/>
            <w:left w:w="108" w:type="dxa"/>
            <w:bottom w:w="0" w:type="dxa"/>
            <w:right w:w="108" w:type="dxa"/>
          </w:tblCellMar>
        </w:tblPrEx>
        <w:trPr>
          <w:trHeight w:val="600" w:hRule="atLeast"/>
        </w:trPr>
        <w:tc>
          <w:tcPr>
            <w:tcW w:w="9288" w:type="dxa"/>
            <w:gridSpan w:val="2"/>
            <w:vAlign w:val="center"/>
          </w:tcPr>
          <w:p>
            <w:pPr>
              <w:keepNext w:val="0"/>
              <w:keepLines w:val="0"/>
              <w:pageBreakBefore w:val="0"/>
              <w:widowControl w:val="0"/>
              <w:kinsoku/>
              <w:wordWrap/>
              <w:overflowPunct/>
              <w:topLinePunct w:val="0"/>
              <w:bidi w:val="0"/>
              <w:spacing w:line="360" w:lineRule="exact"/>
              <w:ind w:firstLine="1200" w:firstLineChars="500"/>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 xml:space="preserve">       </w:t>
            </w:r>
          </w:p>
          <w:p>
            <w:pPr>
              <w:keepNext w:val="0"/>
              <w:keepLines w:val="0"/>
              <w:pageBreakBefore w:val="0"/>
              <w:widowControl w:val="0"/>
              <w:kinsoku/>
              <w:wordWrap/>
              <w:overflowPunct/>
              <w:topLinePunct w:val="0"/>
              <w:bidi w:val="0"/>
              <w:spacing w:line="360" w:lineRule="exact"/>
              <w:ind w:firstLine="1200" w:firstLineChars="500"/>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 xml:space="preserve">                                       </w:t>
            </w:r>
          </w:p>
          <w:p>
            <w:pPr>
              <w:keepNext w:val="0"/>
              <w:keepLines w:val="0"/>
              <w:pageBreakBefore w:val="0"/>
              <w:widowControl w:val="0"/>
              <w:kinsoku/>
              <w:wordWrap/>
              <w:overflowPunct/>
              <w:topLinePunct w:val="0"/>
              <w:bidi w:val="0"/>
              <w:spacing w:line="360" w:lineRule="exact"/>
              <w:ind w:firstLine="1200" w:firstLineChars="500"/>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 xml:space="preserve">                              合同鉴证方：欧邦工程管理有限公司</w:t>
            </w:r>
          </w:p>
          <w:p>
            <w:pPr>
              <w:keepNext w:val="0"/>
              <w:keepLines w:val="0"/>
              <w:pageBreakBefore w:val="0"/>
              <w:widowControl w:val="0"/>
              <w:kinsoku/>
              <w:wordWrap/>
              <w:overflowPunct/>
              <w:topLinePunct w:val="0"/>
              <w:bidi w:val="0"/>
              <w:spacing w:line="360" w:lineRule="exact"/>
              <w:ind w:firstLine="5040" w:firstLineChars="2100"/>
              <w:textAlignment w:val="auto"/>
              <w:rPr>
                <w:rFonts w:hint="eastAsia" w:ascii="黑体" w:hAnsi="黑体" w:eastAsia="黑体" w:cs="黑体"/>
                <w:color w:val="auto"/>
                <w:highlight w:val="none"/>
                <w:lang w:val="zh-CN"/>
              </w:rPr>
            </w:pPr>
            <w:r>
              <w:rPr>
                <w:rFonts w:hint="eastAsia" w:ascii="黑体" w:hAnsi="黑体" w:eastAsia="黑体" w:cs="黑体"/>
                <w:color w:val="auto"/>
                <w:highlight w:val="none"/>
              </w:rPr>
              <w:t>鉴证日期：2021年</w:t>
            </w:r>
            <w:r>
              <w:rPr>
                <w:rFonts w:hint="eastAsia" w:ascii="黑体" w:hAnsi="黑体" w:eastAsia="黑体" w:cs="黑体"/>
                <w:color w:val="auto"/>
                <w:highlight w:val="none"/>
                <w:lang w:val="zh-CN"/>
              </w:rPr>
              <w:t xml:space="preserve">  </w:t>
            </w:r>
            <w:r>
              <w:rPr>
                <w:rFonts w:hint="eastAsia" w:ascii="黑体" w:hAnsi="黑体" w:eastAsia="黑体" w:cs="黑体"/>
                <w:color w:val="auto"/>
                <w:highlight w:val="none"/>
              </w:rPr>
              <w:t xml:space="preserve">  </w:t>
            </w:r>
            <w:r>
              <w:rPr>
                <w:rFonts w:hint="eastAsia" w:ascii="黑体" w:hAnsi="黑体" w:eastAsia="黑体" w:cs="黑体"/>
                <w:color w:val="auto"/>
                <w:highlight w:val="none"/>
                <w:lang w:val="zh-CN"/>
              </w:rPr>
              <w:t xml:space="preserve">月  </w:t>
            </w:r>
            <w:r>
              <w:rPr>
                <w:rFonts w:hint="eastAsia" w:ascii="黑体" w:hAnsi="黑体" w:eastAsia="黑体" w:cs="黑体"/>
                <w:color w:val="auto"/>
                <w:highlight w:val="none"/>
              </w:rPr>
              <w:t xml:space="preserve">  </w:t>
            </w:r>
            <w:r>
              <w:rPr>
                <w:rFonts w:hint="eastAsia" w:ascii="黑体" w:hAnsi="黑体" w:eastAsia="黑体" w:cs="黑体"/>
                <w:color w:val="auto"/>
                <w:highlight w:val="none"/>
                <w:lang w:val="zh-CN"/>
              </w:rPr>
              <w:t>日</w:t>
            </w:r>
          </w:p>
        </w:tc>
      </w:tr>
    </w:tbl>
    <w:p>
      <w:pPr>
        <w:ind w:firstLine="0" w:firstLineChars="0"/>
        <w:jc w:val="center"/>
        <w:rPr>
          <w:rFonts w:hint="eastAsia" w:ascii="黑体" w:hAnsi="黑体" w:eastAsia="黑体" w:cs="黑体"/>
          <w:color w:val="auto"/>
          <w:sz w:val="36"/>
          <w:szCs w:val="36"/>
          <w:highlight w:val="none"/>
        </w:rPr>
        <w:sectPr>
          <w:headerReference r:id="rId14" w:type="first"/>
          <w:footerReference r:id="rId16" w:type="first"/>
          <w:headerReference r:id="rId13" w:type="default"/>
          <w:footerReference r:id="rId15" w:type="default"/>
          <w:pgSz w:w="11906" w:h="16838"/>
          <w:pgMar w:top="1417" w:right="1134" w:bottom="1417" w:left="1134" w:header="851" w:footer="850" w:gutter="0"/>
          <w:pgBorders>
            <w:top w:val="none" w:sz="0" w:space="0"/>
            <w:left w:val="none" w:sz="0" w:space="0"/>
            <w:bottom w:val="none" w:sz="0" w:space="0"/>
            <w:right w:val="none" w:sz="0" w:space="0"/>
          </w:pgBorders>
          <w:cols w:space="0" w:num="1"/>
          <w:titlePg/>
          <w:docGrid w:linePitch="312" w:charSpace="0"/>
        </w:sectPr>
      </w:pPr>
    </w:p>
    <w:bookmarkEnd w:id="130"/>
    <w:bookmarkEnd w:id="131"/>
    <w:bookmarkEnd w:id="132"/>
    <w:bookmarkEnd w:id="133"/>
    <w:bookmarkEnd w:id="134"/>
    <w:bookmarkEnd w:id="135"/>
    <w:bookmarkEnd w:id="136"/>
    <w:bookmarkEnd w:id="138"/>
    <w:bookmarkEnd w:id="139"/>
    <w:bookmarkEnd w:id="140"/>
    <w:bookmarkEnd w:id="141"/>
    <w:bookmarkEnd w:id="142"/>
    <w:bookmarkEnd w:id="143"/>
    <w:bookmarkEnd w:id="144"/>
    <w:bookmarkEnd w:id="145"/>
    <w:bookmarkEnd w:id="146"/>
    <w:bookmarkEnd w:id="147"/>
    <w:bookmarkEnd w:id="148"/>
    <w:bookmarkEnd w:id="149"/>
    <w:p>
      <w:pPr>
        <w:pStyle w:val="9"/>
        <w:spacing w:before="120" w:after="120"/>
        <w:ind w:firstLine="2891" w:firstLineChars="900"/>
        <w:jc w:val="both"/>
        <w:rPr>
          <w:rFonts w:hint="eastAsia" w:ascii="黑体" w:hAnsi="黑体" w:eastAsia="黑体" w:cs="黑体"/>
          <w:b/>
          <w:bCs/>
          <w:color w:val="auto"/>
          <w:highlight w:val="none"/>
        </w:rPr>
      </w:pPr>
      <w:bookmarkStart w:id="159" w:name="_Toc21719"/>
      <w:bookmarkStart w:id="160" w:name="_Toc524531991"/>
      <w:bookmarkStart w:id="161" w:name="_Toc29791"/>
      <w:bookmarkStart w:id="162" w:name="_Toc14225"/>
      <w:bookmarkStart w:id="163" w:name="_Toc1666"/>
      <w:bookmarkStart w:id="164" w:name="_Toc440986460"/>
      <w:bookmarkStart w:id="165" w:name="_Toc10748"/>
      <w:bookmarkStart w:id="166" w:name="_Toc16480"/>
      <w:bookmarkStart w:id="167" w:name="_Toc2014"/>
      <w:bookmarkStart w:id="168" w:name="_Toc11893"/>
      <w:bookmarkStart w:id="169" w:name="_Toc361434809"/>
      <w:bookmarkStart w:id="170" w:name="_Toc13022"/>
      <w:bookmarkStart w:id="171" w:name="_Toc361434905"/>
      <w:bookmarkStart w:id="172" w:name="_Toc28446"/>
      <w:bookmarkStart w:id="173" w:name="_Toc30378"/>
      <w:bookmarkStart w:id="174" w:name="_Toc361437155"/>
      <w:bookmarkStart w:id="175" w:name="_Toc366144050"/>
      <w:bookmarkStart w:id="176" w:name="_Toc356371458"/>
      <w:bookmarkStart w:id="177" w:name="_Toc354491899"/>
      <w:bookmarkStart w:id="178" w:name="_Toc322352985"/>
      <w:r>
        <w:rPr>
          <w:rFonts w:hint="eastAsia" w:ascii="黑体" w:hAnsi="黑体" w:eastAsia="黑体" w:cs="黑体"/>
          <w:b/>
          <w:bCs/>
          <w:color w:val="auto"/>
          <w:highlight w:val="none"/>
        </w:rPr>
        <w:t>第五章  评标办法及评分标准</w:t>
      </w:r>
    </w:p>
    <w:p>
      <w:pPr>
        <w:autoSpaceDE w:val="0"/>
        <w:autoSpaceDN w:val="0"/>
        <w:adjustRightInd w:val="0"/>
        <w:snapToGrid w:val="0"/>
        <w:spacing w:line="520" w:lineRule="exact"/>
        <w:ind w:firstLine="480"/>
        <w:rPr>
          <w:rFonts w:hint="eastAsia" w:ascii="黑体" w:hAnsi="黑体" w:eastAsia="黑体" w:cs="黑体"/>
          <w:color w:val="auto"/>
          <w:szCs w:val="24"/>
          <w:highlight w:val="none"/>
        </w:rPr>
      </w:pPr>
      <w:bookmarkStart w:id="179" w:name="_Toc27122"/>
      <w:bookmarkStart w:id="180" w:name="_Toc23978"/>
      <w:bookmarkStart w:id="181" w:name="_Toc27336"/>
      <w:bookmarkStart w:id="182" w:name="_Toc28360"/>
      <w:bookmarkStart w:id="183" w:name="_Toc22355"/>
      <w:bookmarkStart w:id="184" w:name="_Toc687"/>
      <w:bookmarkStart w:id="185" w:name="_Toc18833"/>
      <w:bookmarkStart w:id="186" w:name="_Toc5980"/>
      <w:r>
        <w:rPr>
          <w:rFonts w:hint="eastAsia" w:ascii="黑体" w:hAnsi="黑体" w:eastAsia="黑体" w:cs="黑体"/>
          <w:color w:val="auto"/>
          <w:szCs w:val="24"/>
          <w:highlight w:val="none"/>
        </w:rPr>
        <w:t>为公正、公平、科学地选择成交供应商，根据《中华人民共和国政府采购法》等有关法律法规的规定，并结合本项目的实际，制定本办法。</w:t>
      </w:r>
    </w:p>
    <w:p>
      <w:pPr>
        <w:autoSpaceDE w:val="0"/>
        <w:autoSpaceDN w:val="0"/>
        <w:adjustRightInd w:val="0"/>
        <w:snapToGrid w:val="0"/>
        <w:spacing w:line="52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本办法适用于</w:t>
      </w:r>
      <w:r>
        <w:rPr>
          <w:rFonts w:hint="eastAsia" w:ascii="黑体" w:hAnsi="黑体" w:eastAsia="黑体" w:cs="黑体"/>
          <w:color w:val="auto"/>
          <w:szCs w:val="24"/>
          <w:highlight w:val="none"/>
          <w:lang w:val="zh-CN"/>
        </w:rPr>
        <w:t>龙游县市场监督管理局2022年-2023年食品安全监督抽检项目</w:t>
      </w:r>
      <w:r>
        <w:rPr>
          <w:rFonts w:hint="eastAsia" w:ascii="黑体" w:hAnsi="黑体" w:eastAsia="黑体" w:cs="黑体"/>
          <w:color w:val="auto"/>
          <w:szCs w:val="24"/>
          <w:highlight w:val="none"/>
        </w:rPr>
        <w:t>的评审。</w:t>
      </w:r>
    </w:p>
    <w:p>
      <w:pPr>
        <w:autoSpaceDE w:val="0"/>
        <w:autoSpaceDN w:val="0"/>
        <w:adjustRightInd w:val="0"/>
        <w:snapToGrid w:val="0"/>
        <w:spacing w:line="520" w:lineRule="exact"/>
        <w:ind w:firstLine="480"/>
        <w:rPr>
          <w:rFonts w:hint="eastAsia" w:ascii="黑体" w:hAnsi="黑体" w:eastAsia="黑体" w:cs="黑体"/>
          <w:color w:val="auto"/>
          <w:szCs w:val="24"/>
          <w:highlight w:val="none"/>
        </w:rPr>
      </w:pPr>
      <w:bookmarkStart w:id="187" w:name="_Toc457934646"/>
      <w:bookmarkStart w:id="188" w:name="_Toc356371472"/>
      <w:r>
        <w:rPr>
          <w:rFonts w:hint="eastAsia" w:ascii="黑体" w:hAnsi="黑体" w:eastAsia="黑体" w:cs="黑体"/>
          <w:color w:val="auto"/>
          <w:szCs w:val="24"/>
          <w:highlight w:val="none"/>
          <w:lang w:val="zh-CN"/>
        </w:rPr>
        <w:t>一、评审小组的组成</w:t>
      </w:r>
      <w:bookmarkEnd w:id="187"/>
      <w:bookmarkEnd w:id="188"/>
    </w:p>
    <w:p>
      <w:pPr>
        <w:autoSpaceDE w:val="0"/>
        <w:autoSpaceDN w:val="0"/>
        <w:adjustRightInd w:val="0"/>
        <w:snapToGrid w:val="0"/>
        <w:spacing w:line="52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1.评审小组由5名专家组成，（其中业主代表1人）。</w:t>
      </w:r>
    </w:p>
    <w:p>
      <w:pPr>
        <w:autoSpaceDE w:val="0"/>
        <w:autoSpaceDN w:val="0"/>
        <w:adjustRightInd w:val="0"/>
        <w:snapToGrid w:val="0"/>
        <w:spacing w:line="52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2.因疫情原因，评审期间，供应商代表无需到场，但需保持电话通畅，能够时刻负责解答有关事宜。如未能取得联系，则事后不得对采购过程及结果提出异议。</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bookmarkStart w:id="189" w:name="_Toc11191"/>
      <w:r>
        <w:rPr>
          <w:rFonts w:hint="eastAsia" w:ascii="黑体" w:hAnsi="黑体" w:eastAsia="黑体" w:cs="黑体"/>
          <w:color w:val="auto"/>
          <w:szCs w:val="24"/>
          <w:highlight w:val="none"/>
          <w:lang w:val="zh-CN"/>
        </w:rPr>
        <w:t>二、评审原则</w:t>
      </w:r>
      <w:bookmarkEnd w:id="189"/>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rPr>
        <w:t>1.评审</w:t>
      </w:r>
      <w:r>
        <w:rPr>
          <w:rFonts w:hint="eastAsia" w:ascii="黑体" w:hAnsi="黑体" w:eastAsia="黑体" w:cs="黑体"/>
          <w:color w:val="auto"/>
          <w:szCs w:val="24"/>
          <w:highlight w:val="none"/>
          <w:lang w:val="zh-CN"/>
        </w:rPr>
        <w:t>小组必须公平、公正、客观，不带任何倾向性和启发性；不得向外界透露任何与评审有关的内容；任何单位和个人不得干扰、影响评审的正常进行；评审小组及有关工作人员不得私下与供应商接触。在评审工作结束后，凡与评审情况有接触的任何人不得也不应将评审情况扩散出评审成员之外。</w:t>
      </w:r>
    </w:p>
    <w:p>
      <w:pPr>
        <w:autoSpaceDE w:val="0"/>
        <w:autoSpaceDN w:val="0"/>
        <w:adjustRightInd w:val="0"/>
        <w:snapToGrid w:val="0"/>
        <w:spacing w:line="52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2.客观公正对待所有供应商，对所有响应文件评价，均采用相同的程序和标准。</w:t>
      </w:r>
    </w:p>
    <w:p>
      <w:pPr>
        <w:autoSpaceDE w:val="0"/>
        <w:autoSpaceDN w:val="0"/>
        <w:adjustRightInd w:val="0"/>
        <w:snapToGrid w:val="0"/>
        <w:spacing w:line="52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3.采购人或采购代理机构对评审结果不作任何说明和解释，也不回答任何提问，不退还响应文件。</w:t>
      </w:r>
    </w:p>
    <w:p>
      <w:pPr>
        <w:autoSpaceDE w:val="0"/>
        <w:autoSpaceDN w:val="0"/>
        <w:adjustRightInd w:val="0"/>
        <w:snapToGrid w:val="0"/>
        <w:spacing w:line="52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4.在评审中，评审的任何一方不得透露与评审有关的信息，为明确本次采购项目的各项技术要求，各供应商应接受评审小组可能多次的询问、质疑和评审，如供应商不接受评审小组的询问、质疑和评审，其评审无效。</w:t>
      </w:r>
    </w:p>
    <w:p>
      <w:pPr>
        <w:autoSpaceDE w:val="0"/>
        <w:autoSpaceDN w:val="0"/>
        <w:adjustRightInd w:val="0"/>
        <w:snapToGrid w:val="0"/>
        <w:spacing w:line="520" w:lineRule="exact"/>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5.所有评审结束后，评审小组要求所有参加评审的供应商在规定的时间内进行报价（最终报价）,报价是供应商响应文件的有效组成部分。（注：本项目为电子标，评标流程接续时，供应商必须提前填写好报价，加盖电子公章准时在政采云上提交报价，超出报价提交时间，视为自动放弃竞标）</w:t>
      </w:r>
    </w:p>
    <w:bookmarkEnd w:id="179"/>
    <w:bookmarkEnd w:id="180"/>
    <w:bookmarkEnd w:id="181"/>
    <w:bookmarkEnd w:id="182"/>
    <w:bookmarkEnd w:id="183"/>
    <w:bookmarkEnd w:id="184"/>
    <w:bookmarkEnd w:id="185"/>
    <w:bookmarkEnd w:id="186"/>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bookmarkStart w:id="190" w:name="_Toc19451"/>
      <w:r>
        <w:rPr>
          <w:rFonts w:hint="eastAsia" w:ascii="黑体" w:hAnsi="黑体" w:eastAsia="黑体" w:cs="黑体"/>
          <w:color w:val="auto"/>
          <w:szCs w:val="24"/>
          <w:highlight w:val="none"/>
          <w:lang w:val="zh-CN"/>
        </w:rPr>
        <w:t>三、评审程序</w:t>
      </w:r>
      <w:bookmarkEnd w:id="190"/>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rPr>
        <w:t>1.</w:t>
      </w:r>
      <w:r>
        <w:rPr>
          <w:rFonts w:hint="eastAsia" w:ascii="黑体" w:hAnsi="黑体" w:eastAsia="黑体" w:cs="黑体"/>
          <w:color w:val="auto"/>
          <w:szCs w:val="24"/>
          <w:highlight w:val="none"/>
          <w:lang w:val="zh-CN"/>
        </w:rPr>
        <w:t>符合性评审</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lang w:val="zh-CN"/>
        </w:rPr>
        <w:t>（</w:t>
      </w:r>
      <w:r>
        <w:rPr>
          <w:rFonts w:hint="eastAsia" w:ascii="黑体" w:hAnsi="黑体" w:eastAsia="黑体" w:cs="黑体"/>
          <w:color w:val="auto"/>
          <w:szCs w:val="24"/>
          <w:highlight w:val="none"/>
        </w:rPr>
        <w:t>1）</w:t>
      </w:r>
      <w:r>
        <w:rPr>
          <w:rFonts w:hint="eastAsia" w:ascii="黑体" w:hAnsi="黑体" w:eastAsia="黑体" w:cs="黑体"/>
          <w:color w:val="auto"/>
          <w:szCs w:val="24"/>
          <w:highlight w:val="none"/>
          <w:lang w:val="zh-CN"/>
        </w:rPr>
        <w:t>评审小组依据法律法规和评审文件的规定，对响应文件中的资格证明等进行审查，以确定供应商是否具备评审资格。</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lang w:val="zh-CN"/>
        </w:rPr>
        <w:t>（</w:t>
      </w:r>
      <w:r>
        <w:rPr>
          <w:rFonts w:hint="eastAsia" w:ascii="黑体" w:hAnsi="黑体" w:eastAsia="黑体" w:cs="黑体"/>
          <w:color w:val="auto"/>
          <w:szCs w:val="24"/>
          <w:highlight w:val="none"/>
        </w:rPr>
        <w:t>2）</w:t>
      </w:r>
      <w:r>
        <w:rPr>
          <w:rFonts w:hint="eastAsia" w:ascii="黑体" w:hAnsi="黑体" w:eastAsia="黑体" w:cs="黑体"/>
          <w:color w:val="auto"/>
          <w:szCs w:val="24"/>
          <w:highlight w:val="none"/>
          <w:lang w:val="zh-CN"/>
        </w:rPr>
        <w:t>供应商以响应文件中提供的书面材料为准。</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lang w:val="zh-CN"/>
        </w:rPr>
        <w:t>评审小组对响应文件的判定，只依据响应文件内容本身，不依靠开启后的任何外来证明。如供应商提交的资质证明或其他内容不齐全，由此造成的后果由供应商自己负责。</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lang w:val="zh-CN"/>
        </w:rPr>
        <w:t>（</w:t>
      </w:r>
      <w:r>
        <w:rPr>
          <w:rFonts w:hint="eastAsia" w:ascii="黑体" w:hAnsi="黑体" w:eastAsia="黑体" w:cs="黑体"/>
          <w:color w:val="auto"/>
          <w:szCs w:val="24"/>
          <w:highlight w:val="none"/>
        </w:rPr>
        <w:t>3）</w:t>
      </w:r>
      <w:r>
        <w:rPr>
          <w:rFonts w:hint="eastAsia" w:ascii="黑体" w:hAnsi="黑体" w:eastAsia="黑体" w:cs="黑体"/>
          <w:color w:val="auto"/>
          <w:szCs w:val="24"/>
          <w:highlight w:val="none"/>
          <w:lang w:val="zh-CN"/>
        </w:rPr>
        <w:t>资格性审查未通过响应文件不再进行后续的符合性审查和评审。</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rPr>
        <w:t>2.</w:t>
      </w:r>
      <w:r>
        <w:rPr>
          <w:rFonts w:hint="eastAsia" w:ascii="黑体" w:hAnsi="黑体" w:eastAsia="黑体" w:cs="黑体"/>
          <w:color w:val="auto"/>
          <w:szCs w:val="24"/>
          <w:highlight w:val="none"/>
          <w:lang w:val="zh-CN"/>
        </w:rPr>
        <w:t>响应文件符合性审查</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lang w:val="zh-CN"/>
        </w:rPr>
        <w:t>（</w:t>
      </w:r>
      <w:r>
        <w:rPr>
          <w:rFonts w:hint="eastAsia" w:ascii="黑体" w:hAnsi="黑体" w:eastAsia="黑体" w:cs="黑体"/>
          <w:color w:val="auto"/>
          <w:szCs w:val="24"/>
          <w:highlight w:val="none"/>
        </w:rPr>
        <w:t>1）</w:t>
      </w:r>
      <w:r>
        <w:rPr>
          <w:rFonts w:hint="eastAsia" w:ascii="黑体" w:hAnsi="黑体" w:eastAsia="黑体" w:cs="黑体"/>
          <w:color w:val="auto"/>
          <w:szCs w:val="24"/>
          <w:highlight w:val="none"/>
          <w:lang w:val="zh-CN"/>
        </w:rPr>
        <w:t>评审小组应当对符合资格的供应商的响应文件进行符合性审查，以确定其是否满足评审文件的实质性要求。</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lang w:val="zh-CN"/>
        </w:rPr>
        <w:t>（</w:t>
      </w:r>
      <w:r>
        <w:rPr>
          <w:rFonts w:hint="eastAsia" w:ascii="黑体" w:hAnsi="黑体" w:eastAsia="黑体" w:cs="黑体"/>
          <w:color w:val="auto"/>
          <w:szCs w:val="24"/>
          <w:highlight w:val="none"/>
        </w:rPr>
        <w:t>2）</w:t>
      </w:r>
      <w:r>
        <w:rPr>
          <w:rFonts w:hint="eastAsia" w:ascii="黑体" w:hAnsi="黑体" w:eastAsia="黑体" w:cs="黑体"/>
          <w:color w:val="auto"/>
          <w:szCs w:val="24"/>
          <w:highlight w:val="none"/>
          <w:lang w:val="zh-CN"/>
        </w:rPr>
        <w:t>在资格性和符合性审查同时，对属于不合格供应商或者评审无效的供应商，评审小组必须提出不合格或者评审无效的事实依据，并出具不合格或者评审无效说明，供应商签字确认。供应商签字确认后评审小组全体成员签字。供应商拒绝签字确认的不影响评审小组做出的不合格或无效评审裁定。</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lang w:val="zh-CN"/>
        </w:rPr>
        <w:t>（</w:t>
      </w:r>
      <w:r>
        <w:rPr>
          <w:rFonts w:hint="eastAsia" w:ascii="黑体" w:hAnsi="黑体" w:eastAsia="黑体" w:cs="黑体"/>
          <w:color w:val="auto"/>
          <w:szCs w:val="24"/>
          <w:highlight w:val="none"/>
        </w:rPr>
        <w:t>3)</w:t>
      </w:r>
      <w:r>
        <w:rPr>
          <w:rFonts w:hint="eastAsia" w:ascii="黑体" w:hAnsi="黑体" w:eastAsia="黑体" w:cs="黑体"/>
          <w:color w:val="auto"/>
          <w:szCs w:val="24"/>
          <w:highlight w:val="none"/>
          <w:lang w:val="zh-CN"/>
        </w:rPr>
        <w:t>如果确定供应商无资格履行合同，其评审将被拒绝。</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lang w:val="zh-CN"/>
        </w:rPr>
        <w:t>（</w:t>
      </w:r>
      <w:r>
        <w:rPr>
          <w:rFonts w:hint="eastAsia" w:ascii="黑体" w:hAnsi="黑体" w:eastAsia="黑体" w:cs="黑体"/>
          <w:color w:val="auto"/>
          <w:szCs w:val="24"/>
          <w:highlight w:val="none"/>
        </w:rPr>
        <w:t>4）</w:t>
      </w:r>
      <w:r>
        <w:rPr>
          <w:rFonts w:hint="eastAsia" w:ascii="黑体" w:hAnsi="黑体" w:eastAsia="黑体" w:cs="黑体"/>
          <w:color w:val="auto"/>
          <w:szCs w:val="24"/>
          <w:highlight w:val="none"/>
          <w:lang w:val="zh-CN"/>
        </w:rPr>
        <w:t>资格审查和符合性审查不符合的响应文件将不再进行后续资信、技术评审。</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rPr>
        <w:t>3.</w:t>
      </w:r>
      <w:r>
        <w:rPr>
          <w:rFonts w:hint="eastAsia" w:ascii="黑体" w:hAnsi="黑体" w:eastAsia="黑体" w:cs="黑体"/>
          <w:color w:val="auto"/>
          <w:szCs w:val="24"/>
          <w:highlight w:val="none"/>
          <w:lang w:val="zh-CN"/>
        </w:rPr>
        <w:t>响应文件资信、技术评审</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rPr>
        <w:t>（1）</w:t>
      </w:r>
      <w:r>
        <w:rPr>
          <w:rFonts w:hint="eastAsia" w:ascii="黑体" w:hAnsi="黑体" w:eastAsia="黑体" w:cs="黑体"/>
          <w:color w:val="auto"/>
          <w:szCs w:val="24"/>
          <w:highlight w:val="none"/>
          <w:lang w:val="zh-CN"/>
        </w:rPr>
        <w:t>按照招标文件要求，审查供应商所投货物和服务的规格、质量、数量以及服务等技术要求和参数，对资信、技术部分的进行评价和比较，并记录实质性响应、技术偏离等事项。</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rPr>
        <w:t>(2）</w:t>
      </w:r>
      <w:r>
        <w:rPr>
          <w:rFonts w:hint="eastAsia" w:ascii="黑体" w:hAnsi="黑体" w:eastAsia="黑体" w:cs="黑体"/>
          <w:color w:val="auto"/>
          <w:szCs w:val="24"/>
          <w:highlight w:val="none"/>
          <w:lang w:val="zh-CN"/>
        </w:rPr>
        <w:t>评审小组认为供应商的响应文件如有疑问的，将对供应商进行询标，供应商要向评审小组澄清有关问题，并最终以书面形式进行答复；供应商代表未到场或者拒绝澄清或者澄清的内容改变了响应文件的实质性内容的，评审小组有权对该响应文件作出不利于供应商的评判。</w:t>
      </w:r>
    </w:p>
    <w:p>
      <w:pPr>
        <w:autoSpaceDE w:val="0"/>
        <w:autoSpaceDN w:val="0"/>
        <w:adjustRightInd w:val="0"/>
        <w:snapToGrid w:val="0"/>
        <w:spacing w:line="520" w:lineRule="exact"/>
        <w:ind w:firstLine="48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lang w:val="zh-CN"/>
        </w:rPr>
        <w:t>（</w:t>
      </w:r>
      <w:r>
        <w:rPr>
          <w:rFonts w:hint="eastAsia" w:ascii="黑体" w:hAnsi="黑体" w:eastAsia="黑体" w:cs="黑体"/>
          <w:color w:val="auto"/>
          <w:szCs w:val="24"/>
          <w:highlight w:val="none"/>
        </w:rPr>
        <w:t>3）</w:t>
      </w:r>
      <w:r>
        <w:rPr>
          <w:rFonts w:hint="eastAsia" w:ascii="黑体" w:hAnsi="黑体" w:eastAsia="黑体" w:cs="黑体"/>
          <w:color w:val="auto"/>
          <w:szCs w:val="24"/>
          <w:highlight w:val="none"/>
          <w:lang w:val="zh-CN"/>
        </w:rPr>
        <w:t>在评审过程中，评审小组认为供应商的报价明显低于其他通过符合性审查供应商的报价，有可能影响产品质量或者不能诚信履约的，应当要求其在评审现场合理的时间内提供书面说明，必要时递交相关证明材料；供应商不能证明其报价合理性的，评审小组应当将其作为评审无效处理。</w:t>
      </w:r>
    </w:p>
    <w:p>
      <w:pPr>
        <w:spacing w:line="228" w:lineRule="auto"/>
        <w:ind w:firstLine="480"/>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标项一</w:t>
      </w:r>
    </w:p>
    <w:p>
      <w:pPr>
        <w:numPr>
          <w:ilvl w:val="0"/>
          <w:numId w:val="6"/>
        </w:numPr>
        <w:tabs>
          <w:tab w:val="left" w:pos="360"/>
          <w:tab w:val="left" w:pos="840"/>
        </w:tabs>
        <w:spacing w:line="380" w:lineRule="exact"/>
        <w:ind w:firstLine="480"/>
        <w:rPr>
          <w:rFonts w:hint="eastAsia" w:ascii="黑体" w:hAnsi="黑体" w:eastAsia="黑体" w:cs="黑体"/>
          <w:color w:val="auto"/>
          <w:highlight w:val="none"/>
          <w:lang w:eastAsia="zh-CN"/>
        </w:rPr>
      </w:pPr>
      <w:r>
        <w:rPr>
          <w:rFonts w:hint="eastAsia" w:ascii="黑体" w:hAnsi="黑体" w:eastAsia="黑体" w:cs="黑体"/>
          <w:bCs/>
          <w:color w:val="auto"/>
          <w:szCs w:val="24"/>
          <w:highlight w:val="none"/>
        </w:rPr>
        <w:t>评分细则（100分）</w:t>
      </w:r>
      <w:r>
        <w:rPr>
          <w:rFonts w:hint="eastAsia" w:ascii="黑体" w:hAnsi="黑体" w:eastAsia="黑体" w:cs="黑体"/>
          <w:bCs/>
          <w:color w:val="auto"/>
          <w:szCs w:val="24"/>
          <w:highlight w:val="none"/>
          <w:lang w:eastAsia="zh-CN"/>
        </w:rPr>
        <w:t>（</w:t>
      </w:r>
      <w:r>
        <w:rPr>
          <w:rFonts w:hint="eastAsia" w:ascii="黑体" w:hAnsi="黑体" w:eastAsia="黑体" w:cs="黑体"/>
          <w:bCs/>
          <w:color w:val="auto"/>
          <w:szCs w:val="21"/>
          <w:highlight w:val="none"/>
          <w:lang w:val="zh-CN"/>
        </w:rPr>
        <w:t>技术商务分</w:t>
      </w:r>
      <w:r>
        <w:rPr>
          <w:rFonts w:hint="eastAsia" w:ascii="黑体" w:hAnsi="黑体" w:eastAsia="黑体" w:cs="黑体"/>
          <w:bCs/>
          <w:color w:val="auto"/>
          <w:szCs w:val="21"/>
          <w:highlight w:val="none"/>
          <w:lang w:val="en-US" w:eastAsia="zh-CN"/>
        </w:rPr>
        <w:t>90</w:t>
      </w:r>
      <w:r>
        <w:rPr>
          <w:rFonts w:hint="eastAsia" w:ascii="黑体" w:hAnsi="黑体" w:eastAsia="黑体" w:cs="黑体"/>
          <w:bCs/>
          <w:color w:val="auto"/>
          <w:szCs w:val="21"/>
          <w:highlight w:val="none"/>
          <w:lang w:val="zh-CN"/>
        </w:rPr>
        <w:t>分、报价分</w:t>
      </w:r>
      <w:r>
        <w:rPr>
          <w:rFonts w:hint="eastAsia" w:ascii="黑体" w:hAnsi="黑体" w:eastAsia="黑体" w:cs="黑体"/>
          <w:bCs/>
          <w:color w:val="auto"/>
          <w:szCs w:val="21"/>
          <w:highlight w:val="none"/>
          <w:lang w:val="en-US" w:eastAsia="zh-CN"/>
        </w:rPr>
        <w:t>10</w:t>
      </w:r>
      <w:r>
        <w:rPr>
          <w:rFonts w:hint="eastAsia" w:ascii="黑体" w:hAnsi="黑体" w:eastAsia="黑体" w:cs="黑体"/>
          <w:bCs/>
          <w:color w:val="auto"/>
          <w:szCs w:val="21"/>
          <w:highlight w:val="none"/>
          <w:lang w:val="zh-CN"/>
        </w:rPr>
        <w:t>分</w:t>
      </w:r>
      <w:r>
        <w:rPr>
          <w:rFonts w:hint="eastAsia" w:ascii="黑体" w:hAnsi="黑体" w:eastAsia="黑体" w:cs="黑体"/>
          <w:bCs/>
          <w:color w:val="auto"/>
          <w:szCs w:val="24"/>
          <w:highlight w:val="none"/>
          <w:lang w:eastAsia="zh-CN"/>
        </w:rPr>
        <w:t>）</w:t>
      </w:r>
    </w:p>
    <w:tbl>
      <w:tblPr>
        <w:tblStyle w:val="34"/>
        <w:tblW w:w="0" w:type="auto"/>
        <w:jc w:val="center"/>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40"/>
        <w:gridCol w:w="6440"/>
      </w:tblGrid>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bookmarkStart w:id="191" w:name="_Toc24408"/>
            <w:bookmarkStart w:id="192" w:name="_Toc3731"/>
            <w:r>
              <w:rPr>
                <w:rFonts w:hint="eastAsia" w:ascii="黑体" w:hAnsi="黑体" w:eastAsia="黑体" w:cs="黑体"/>
                <w:b w:val="0"/>
                <w:bCs/>
                <w:color w:val="auto"/>
                <w:sz w:val="22"/>
                <w:szCs w:val="22"/>
                <w:highlight w:val="none"/>
                <w:lang w:eastAsia="zh-CN"/>
              </w:rPr>
              <w:t>1</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报价</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（10分）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基准价为满足评标要求且投标价格最低的投标报价，投标报价得分=(基准价/投标报价)×10，四舍五入，保留两位小数。报价高于最高限价的，为无效投标文件。</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注：①若供应商按照工信部颁布的”中小企业划型标准”属小型/微型企业，或残疾人福利性单位提供本通知规定的《残疾人福利性单位声明函》，或监狱企业须投标人提供由省级以上监狱管理局、戒毒管理局（含新疆生产建设兵团）出具的属于监狱企业的证明文件，其报价扣减6%后再计入报价得分的评审（不累计扣减）。</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②若本项目所有供应商均属小型、微型企业或监狱企业或残疾人福利性单位的，按原报价进行评审。</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2</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检测资质</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w:t>
            </w:r>
            <w:r>
              <w:rPr>
                <w:rFonts w:hint="eastAsia" w:ascii="黑体" w:hAnsi="黑体" w:eastAsia="黑体" w:cs="黑体"/>
                <w:b w:val="0"/>
                <w:bCs/>
                <w:color w:val="auto"/>
                <w:sz w:val="22"/>
                <w:szCs w:val="22"/>
                <w:highlight w:val="none"/>
                <w:lang w:val="en-US" w:eastAsia="zh-CN"/>
              </w:rPr>
              <w:t>12</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eastAsia="zh-CN"/>
              </w:rPr>
              <w:t>1、</w:t>
            </w:r>
            <w:r>
              <w:rPr>
                <w:rFonts w:hint="eastAsia" w:ascii="黑体" w:hAnsi="黑体" w:eastAsia="黑体" w:cs="黑体"/>
                <w:b w:val="0"/>
                <w:bCs/>
                <w:color w:val="auto"/>
                <w:sz w:val="22"/>
                <w:szCs w:val="22"/>
                <w:highlight w:val="none"/>
                <w:lang w:val="zh-CN" w:eastAsia="zh-CN"/>
              </w:rPr>
              <w:t>投标人CMA资质附表中的项目</w:t>
            </w:r>
            <w:r>
              <w:rPr>
                <w:rFonts w:hint="eastAsia" w:ascii="黑体" w:hAnsi="黑体" w:eastAsia="黑体" w:cs="黑体"/>
                <w:b w:val="0"/>
                <w:bCs/>
                <w:color w:val="auto"/>
                <w:sz w:val="22"/>
                <w:szCs w:val="22"/>
                <w:highlight w:val="none"/>
                <w:lang w:val="en-US" w:eastAsia="zh-CN"/>
              </w:rPr>
              <w:t>及</w:t>
            </w:r>
            <w:r>
              <w:rPr>
                <w:rFonts w:hint="eastAsia" w:ascii="黑体" w:hAnsi="黑体" w:eastAsia="黑体" w:cs="黑体"/>
                <w:b w:val="0"/>
                <w:bCs/>
                <w:color w:val="auto"/>
                <w:sz w:val="22"/>
                <w:szCs w:val="22"/>
                <w:highlight w:val="none"/>
                <w:lang w:eastAsia="zh-CN"/>
              </w:rPr>
              <w:t>CATL批准的检测范围附表参数</w:t>
            </w:r>
            <w:r>
              <w:rPr>
                <w:rFonts w:hint="eastAsia" w:ascii="黑体" w:hAnsi="黑体" w:eastAsia="黑体" w:cs="黑体"/>
                <w:b w:val="0"/>
                <w:bCs/>
                <w:color w:val="auto"/>
                <w:sz w:val="22"/>
                <w:szCs w:val="22"/>
                <w:highlight w:val="none"/>
                <w:lang w:val="zh-CN" w:eastAsia="zh-CN"/>
              </w:rPr>
              <w:t>与《浙江省农业农村厅关于开展 2021年农产品质量安全监督抽查工作的通知》</w:t>
            </w:r>
            <w:r>
              <w:rPr>
                <w:rFonts w:hint="eastAsia" w:ascii="黑体" w:hAnsi="黑体" w:eastAsia="黑体" w:cs="黑体"/>
                <w:b w:val="0"/>
                <w:bCs/>
                <w:color w:val="auto"/>
                <w:sz w:val="22"/>
                <w:szCs w:val="22"/>
                <w:highlight w:val="none"/>
                <w:lang w:val="en-US" w:eastAsia="zh-CN"/>
              </w:rPr>
              <w:t>和《浙</w:t>
            </w:r>
            <w:r>
              <w:rPr>
                <w:rFonts w:hint="eastAsia" w:ascii="黑体" w:hAnsi="黑体" w:eastAsia="黑体" w:cs="黑体"/>
                <w:b w:val="0"/>
                <w:bCs/>
                <w:color w:val="auto"/>
                <w:sz w:val="22"/>
                <w:szCs w:val="22"/>
                <w:highlight w:val="none"/>
                <w:lang w:val="zh-CN" w:eastAsia="zh-CN"/>
              </w:rPr>
              <w:t>江省农业农村厅关于开展2021年省级农产品质量安全例行风险监测工作的通知</w:t>
            </w:r>
            <w:r>
              <w:rPr>
                <w:rFonts w:hint="eastAsia" w:ascii="黑体" w:hAnsi="黑体" w:eastAsia="黑体" w:cs="黑体"/>
                <w:b w:val="0"/>
                <w:bCs/>
                <w:color w:val="auto"/>
                <w:sz w:val="22"/>
                <w:szCs w:val="22"/>
                <w:highlight w:val="none"/>
                <w:lang w:val="en-US" w:eastAsia="zh-CN"/>
              </w:rPr>
              <w:t>》附件中</w:t>
            </w:r>
            <w:r>
              <w:rPr>
                <w:rFonts w:hint="eastAsia" w:ascii="黑体" w:hAnsi="黑体" w:eastAsia="黑体" w:cs="黑体"/>
                <w:b w:val="0"/>
                <w:bCs/>
                <w:color w:val="auto"/>
                <w:sz w:val="22"/>
                <w:szCs w:val="22"/>
                <w:highlight w:val="none"/>
                <w:lang w:val="zh-CN" w:eastAsia="zh-CN"/>
              </w:rPr>
              <w:t>各类别细类所涉及的全部检测项目进行比较，</w:t>
            </w:r>
            <w:r>
              <w:rPr>
                <w:rFonts w:hint="eastAsia" w:ascii="黑体" w:hAnsi="黑体" w:eastAsia="黑体" w:cs="黑体"/>
                <w:b w:val="0"/>
                <w:bCs/>
                <w:color w:val="auto"/>
                <w:sz w:val="22"/>
                <w:szCs w:val="22"/>
                <w:highlight w:val="none"/>
                <w:lang w:val="en-US" w:eastAsia="zh-CN"/>
              </w:rPr>
              <w:t>共9</w:t>
            </w:r>
            <w:r>
              <w:rPr>
                <w:rFonts w:hint="eastAsia" w:ascii="黑体" w:hAnsi="黑体" w:eastAsia="黑体" w:cs="黑体"/>
                <w:b w:val="0"/>
                <w:bCs/>
                <w:color w:val="auto"/>
                <w:sz w:val="22"/>
                <w:szCs w:val="22"/>
                <w:highlight w:val="none"/>
                <w:lang w:eastAsia="zh-CN"/>
              </w:rPr>
              <w:t>分，每缺</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项，扣</w:t>
            </w:r>
            <w:r>
              <w:rPr>
                <w:rFonts w:hint="eastAsia" w:ascii="黑体" w:hAnsi="黑体" w:eastAsia="黑体" w:cs="黑体"/>
                <w:b w:val="0"/>
                <w:bCs/>
                <w:color w:val="auto"/>
                <w:sz w:val="22"/>
                <w:szCs w:val="22"/>
                <w:highlight w:val="none"/>
                <w:lang w:val="en-US" w:eastAsia="zh-CN"/>
              </w:rPr>
              <w:t>0.5</w:t>
            </w:r>
            <w:r>
              <w:rPr>
                <w:rFonts w:hint="eastAsia" w:ascii="黑体" w:hAnsi="黑体" w:eastAsia="黑体" w:cs="黑体"/>
                <w:b w:val="0"/>
                <w:bCs/>
                <w:color w:val="auto"/>
                <w:sz w:val="22"/>
                <w:szCs w:val="22"/>
                <w:highlight w:val="none"/>
                <w:lang w:eastAsia="zh-CN"/>
              </w:rPr>
              <w:t>分，扣完为止。</w:t>
            </w:r>
            <w:r>
              <w:rPr>
                <w:rFonts w:hint="eastAsia" w:ascii="黑体" w:hAnsi="黑体" w:eastAsia="黑体" w:cs="黑体"/>
                <w:b w:val="0"/>
                <w:bCs/>
                <w:color w:val="auto"/>
                <w:sz w:val="22"/>
                <w:szCs w:val="22"/>
                <w:highlight w:val="none"/>
                <w:lang w:val="zh-CN" w:eastAsia="zh-CN"/>
              </w:rPr>
              <w:t>注：在投标文件，资信商务及技术文件部分，结尾处以附件形式提供CMA资质附表</w:t>
            </w:r>
            <w:r>
              <w:rPr>
                <w:rFonts w:hint="eastAsia" w:ascii="黑体" w:hAnsi="黑体" w:eastAsia="黑体" w:cs="黑体"/>
                <w:b w:val="0"/>
                <w:bCs/>
                <w:color w:val="auto"/>
                <w:sz w:val="22"/>
                <w:szCs w:val="22"/>
                <w:highlight w:val="none"/>
                <w:lang w:val="en-US" w:eastAsia="zh-CN"/>
              </w:rPr>
              <w:t>和</w:t>
            </w:r>
            <w:r>
              <w:rPr>
                <w:rFonts w:hint="eastAsia" w:ascii="黑体" w:hAnsi="黑体" w:eastAsia="黑体" w:cs="黑体"/>
                <w:b w:val="0"/>
                <w:bCs/>
                <w:color w:val="auto"/>
                <w:sz w:val="22"/>
                <w:szCs w:val="22"/>
                <w:highlight w:val="none"/>
                <w:lang w:eastAsia="zh-CN"/>
              </w:rPr>
              <w:t>CATL批准的检测范围附表参数</w:t>
            </w:r>
            <w:r>
              <w:rPr>
                <w:rFonts w:hint="eastAsia" w:ascii="黑体" w:hAnsi="黑体" w:eastAsia="黑体" w:cs="黑体"/>
                <w:b w:val="0"/>
                <w:bCs/>
                <w:color w:val="auto"/>
                <w:sz w:val="22"/>
                <w:szCs w:val="22"/>
                <w:highlight w:val="none"/>
                <w:lang w:val="zh-CN" w:eastAsia="zh-CN"/>
              </w:rPr>
              <w:t>复印件，并标注页码；按招标文件格式，附件的要求，编制CMA资质覆盖率</w:t>
            </w:r>
            <w:r>
              <w:rPr>
                <w:rFonts w:hint="eastAsia" w:ascii="黑体" w:hAnsi="黑体" w:eastAsia="黑体" w:cs="黑体"/>
                <w:b w:val="0"/>
                <w:bCs/>
                <w:color w:val="auto"/>
                <w:sz w:val="22"/>
                <w:szCs w:val="22"/>
                <w:highlight w:val="none"/>
                <w:lang w:val="en-US" w:eastAsia="zh-CN"/>
              </w:rPr>
              <w:t>和</w:t>
            </w:r>
            <w:r>
              <w:rPr>
                <w:rFonts w:hint="eastAsia" w:ascii="黑体" w:hAnsi="黑体" w:eastAsia="黑体" w:cs="黑体"/>
                <w:b w:val="0"/>
                <w:bCs/>
                <w:color w:val="auto"/>
                <w:sz w:val="22"/>
                <w:szCs w:val="22"/>
                <w:highlight w:val="none"/>
                <w:lang w:eastAsia="zh-CN"/>
              </w:rPr>
              <w:t>CATL参数</w:t>
            </w:r>
            <w:r>
              <w:rPr>
                <w:rFonts w:hint="eastAsia" w:ascii="黑体" w:hAnsi="黑体" w:eastAsia="黑体" w:cs="黑体"/>
                <w:b w:val="0"/>
                <w:bCs/>
                <w:color w:val="auto"/>
                <w:sz w:val="22"/>
                <w:szCs w:val="22"/>
                <w:highlight w:val="none"/>
                <w:lang w:val="en-US" w:eastAsia="zh-CN"/>
              </w:rPr>
              <w:t>覆盖率</w:t>
            </w:r>
            <w:r>
              <w:rPr>
                <w:rFonts w:hint="eastAsia" w:ascii="黑体" w:hAnsi="黑体" w:eastAsia="黑体" w:cs="黑体"/>
                <w:b w:val="0"/>
                <w:bCs/>
                <w:color w:val="auto"/>
                <w:sz w:val="22"/>
                <w:szCs w:val="22"/>
                <w:highlight w:val="none"/>
                <w:lang w:val="zh-CN" w:eastAsia="zh-CN"/>
              </w:rPr>
              <w:t>（缺项统计表），每个单项需指明，在CMA资质附表</w:t>
            </w:r>
            <w:r>
              <w:rPr>
                <w:rFonts w:hint="eastAsia" w:ascii="黑体" w:hAnsi="黑体" w:eastAsia="黑体" w:cs="黑体"/>
                <w:b w:val="0"/>
                <w:bCs/>
                <w:color w:val="auto"/>
                <w:sz w:val="22"/>
                <w:szCs w:val="22"/>
                <w:highlight w:val="none"/>
                <w:lang w:val="en-US" w:eastAsia="zh-CN"/>
              </w:rPr>
              <w:t>和</w:t>
            </w:r>
            <w:r>
              <w:rPr>
                <w:rFonts w:hint="eastAsia" w:ascii="黑体" w:hAnsi="黑体" w:eastAsia="黑体" w:cs="黑体"/>
                <w:b w:val="0"/>
                <w:bCs/>
                <w:color w:val="auto"/>
                <w:sz w:val="22"/>
                <w:szCs w:val="22"/>
                <w:highlight w:val="none"/>
                <w:lang w:eastAsia="zh-CN"/>
              </w:rPr>
              <w:t>CATL参数</w:t>
            </w:r>
            <w:r>
              <w:rPr>
                <w:rFonts w:hint="eastAsia" w:ascii="黑体" w:hAnsi="黑体" w:eastAsia="黑体" w:cs="黑体"/>
                <w:b w:val="0"/>
                <w:bCs/>
                <w:color w:val="auto"/>
                <w:sz w:val="22"/>
                <w:szCs w:val="22"/>
                <w:highlight w:val="none"/>
                <w:lang w:val="zh-CN" w:eastAsia="zh-CN"/>
              </w:rPr>
              <w:t>复印件中的页码，便于查证；CMA资质附表</w:t>
            </w:r>
            <w:r>
              <w:rPr>
                <w:rFonts w:hint="eastAsia" w:ascii="黑体" w:hAnsi="黑体" w:eastAsia="黑体" w:cs="黑体"/>
                <w:b w:val="0"/>
                <w:bCs/>
                <w:color w:val="auto"/>
                <w:sz w:val="22"/>
                <w:szCs w:val="22"/>
                <w:highlight w:val="none"/>
                <w:lang w:val="en-US" w:eastAsia="zh-CN"/>
              </w:rPr>
              <w:t>和</w:t>
            </w:r>
            <w:r>
              <w:rPr>
                <w:rFonts w:hint="eastAsia" w:ascii="黑体" w:hAnsi="黑体" w:eastAsia="黑体" w:cs="黑体"/>
                <w:b w:val="0"/>
                <w:bCs/>
                <w:color w:val="auto"/>
                <w:sz w:val="22"/>
                <w:szCs w:val="22"/>
                <w:highlight w:val="none"/>
                <w:lang w:eastAsia="zh-CN"/>
              </w:rPr>
              <w:t>CATL参数</w:t>
            </w:r>
            <w:r>
              <w:rPr>
                <w:rFonts w:hint="eastAsia" w:ascii="黑体" w:hAnsi="黑体" w:eastAsia="黑体" w:cs="黑体"/>
                <w:b w:val="0"/>
                <w:bCs/>
                <w:color w:val="auto"/>
                <w:sz w:val="22"/>
                <w:szCs w:val="22"/>
                <w:highlight w:val="none"/>
                <w:lang w:val="zh-CN" w:eastAsia="zh-CN"/>
              </w:rPr>
              <w:t>原件备查。</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val="en-US" w:eastAsia="zh-CN"/>
              </w:rPr>
              <w:t>2、</w:t>
            </w:r>
            <w:r>
              <w:rPr>
                <w:rFonts w:hint="eastAsia" w:ascii="黑体" w:hAnsi="黑体" w:eastAsia="黑体" w:cs="黑体"/>
                <w:b w:val="0"/>
                <w:bCs/>
                <w:color w:val="auto"/>
                <w:sz w:val="22"/>
                <w:szCs w:val="22"/>
                <w:highlight w:val="none"/>
                <w:lang w:eastAsia="zh-CN"/>
              </w:rPr>
              <w:t>投标人</w:t>
            </w:r>
            <w:r>
              <w:rPr>
                <w:rFonts w:hint="eastAsia" w:ascii="黑体" w:hAnsi="黑体" w:eastAsia="黑体" w:cs="黑体"/>
                <w:b w:val="0"/>
                <w:bCs/>
                <w:color w:val="auto"/>
                <w:sz w:val="22"/>
                <w:szCs w:val="22"/>
                <w:highlight w:val="none"/>
                <w:lang w:val="en-US" w:eastAsia="zh-CN"/>
              </w:rPr>
              <w:t>具有CNAS检测资质，得1分</w:t>
            </w:r>
            <w:r>
              <w:rPr>
                <w:rFonts w:hint="eastAsia" w:ascii="黑体" w:hAnsi="黑体" w:eastAsia="黑体" w:cs="黑体"/>
                <w:b w:val="0"/>
                <w:bCs/>
                <w:color w:val="auto"/>
                <w:sz w:val="22"/>
                <w:szCs w:val="22"/>
                <w:highlight w:val="none"/>
                <w:lang w:eastAsia="zh-CN"/>
              </w:rPr>
              <w:t>。</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3、投标人进入国家认证认可监督管理委员会、卫生部和农业部共同公布食品复检机构名录，得2分。如上一年度出现无正当理由拒绝业主单位复检委托情况的食品检测场地，本款不得分。</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3</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检测场地</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w:t>
            </w:r>
            <w:r>
              <w:rPr>
                <w:rFonts w:hint="eastAsia" w:ascii="黑体" w:hAnsi="黑体" w:eastAsia="黑体" w:cs="黑体"/>
                <w:b w:val="0"/>
                <w:bCs/>
                <w:color w:val="auto"/>
                <w:sz w:val="22"/>
                <w:szCs w:val="22"/>
                <w:highlight w:val="none"/>
                <w:lang w:val="en-US" w:eastAsia="zh-CN"/>
              </w:rPr>
              <w:t>11</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1、具有满足检测工作需要的、独立、固定的食品检测场地，检测场地面积3000㎡（不含）以下得1分；3000㎡-4000㎡（不含）得2分，4000㎡的（含）以上得3分。（提供实验室布局图，自有场地的提供房产证复印件并加盖公章。租用场地的提供房屋租赁合同复印件并加盖公章。）</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2、在浙江省内有实验室且满足上述食品检测场地要求的，得5分。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val="en-US" w:eastAsia="zh-CN"/>
              </w:rPr>
              <w:t>3、以龙游县为中心，服务半径200km以内得3分，200-300km得1分，超过300km的不得分。</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4</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检测设备配置情况（1</w:t>
            </w:r>
            <w:r>
              <w:rPr>
                <w:rFonts w:hint="eastAsia" w:ascii="黑体" w:hAnsi="黑体" w:eastAsia="黑体" w:cs="黑体"/>
                <w:b w:val="0"/>
                <w:bCs/>
                <w:color w:val="auto"/>
                <w:sz w:val="22"/>
                <w:szCs w:val="22"/>
                <w:highlight w:val="none"/>
                <w:lang w:val="en-US" w:eastAsia="zh-CN"/>
              </w:rPr>
              <w:t>5</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根据投标人所提供的检测仪器设备，是否有满足检测需求的液质联用仪、气质联用仪、电感耦合等离子质谱仪</w:t>
            </w:r>
            <w:r>
              <w:rPr>
                <w:rFonts w:hint="eastAsia" w:ascii="黑体" w:hAnsi="黑体" w:eastAsia="黑体" w:cs="黑体"/>
                <w:b w:val="0"/>
                <w:bCs/>
                <w:color w:val="auto"/>
                <w:sz w:val="22"/>
                <w:szCs w:val="22"/>
                <w:highlight w:val="none"/>
                <w:lang w:val="en-US" w:eastAsia="zh-CN"/>
              </w:rPr>
              <w:t>等仪器</w:t>
            </w:r>
            <w:r>
              <w:rPr>
                <w:rFonts w:hint="eastAsia" w:ascii="黑体" w:hAnsi="黑体" w:eastAsia="黑体" w:cs="黑体"/>
                <w:b w:val="0"/>
                <w:bCs/>
                <w:color w:val="auto"/>
                <w:sz w:val="22"/>
                <w:szCs w:val="22"/>
                <w:highlight w:val="none"/>
                <w:lang w:eastAsia="zh-CN"/>
              </w:rPr>
              <w:t>和配备的仪器设备数量是否能满足大批量样品的检测周期需要情况进行评分：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液质联用仪每套得1分，满分3分；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气质联用仪每套得1分，满分3分；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电感耦合等离子质谱仪每套得1分，满分2分；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液相色谱仪每套得0.5分，满分1分；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气相色谱仪每套得0.5分，满分1分；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原子吸收光谱仪每套得0.5分，满分1分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原子荧光光谱仪每套得0.5分，满分1分，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电感耦合等离子体发射光谱仪每套得0.5分，满分1分；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（提供设备清单、采购合同和发票、检定/校准证书等证明材料）</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2、投标人实验室拥有冷库容积≥300 m³的得2分，300 m³＞冷库容积≥100 m³的得1分，100 m³以下不得分。（投标人须提供冷库装修合同的复印件或发票复印件及容积测量证明，以上材料未提供的不得分。</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5</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投标人能力</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w:t>
            </w:r>
            <w:r>
              <w:rPr>
                <w:rFonts w:hint="eastAsia" w:ascii="黑体" w:hAnsi="黑体" w:eastAsia="黑体" w:cs="黑体"/>
                <w:b w:val="0"/>
                <w:bCs/>
                <w:color w:val="auto"/>
                <w:sz w:val="22"/>
                <w:szCs w:val="22"/>
                <w:highlight w:val="none"/>
                <w:lang w:val="en-US" w:eastAsia="zh-CN"/>
              </w:rPr>
              <w:t>12</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1、投标人实验室具有省级或以上农业部门无公害农产品、绿色食品、地理标志农产品定点检测资质，具备其中1项得</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分，共</w:t>
            </w:r>
            <w:r>
              <w:rPr>
                <w:rFonts w:hint="eastAsia" w:ascii="黑体" w:hAnsi="黑体" w:eastAsia="黑体" w:cs="黑体"/>
                <w:b w:val="0"/>
                <w:bCs/>
                <w:color w:val="auto"/>
                <w:sz w:val="22"/>
                <w:szCs w:val="22"/>
                <w:highlight w:val="none"/>
                <w:lang w:val="en-US" w:eastAsia="zh-CN"/>
              </w:rPr>
              <w:t>3</w:t>
            </w:r>
            <w:r>
              <w:rPr>
                <w:rFonts w:hint="eastAsia" w:ascii="黑体" w:hAnsi="黑体" w:eastAsia="黑体" w:cs="黑体"/>
                <w:b w:val="0"/>
                <w:bCs/>
                <w:color w:val="auto"/>
                <w:sz w:val="22"/>
                <w:szCs w:val="22"/>
                <w:highlight w:val="none"/>
                <w:lang w:eastAsia="zh-CN"/>
              </w:rPr>
              <w:t>分。（以上提供网上查询打印页或相关部门颁发的红头文件编入投标文件，提供查询网址，未提供网址或红头文件、提供的网址查询不到的不得分）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val="en-US" w:eastAsia="zh-CN"/>
              </w:rPr>
              <w:t>2、</w:t>
            </w:r>
            <w:r>
              <w:rPr>
                <w:rFonts w:hint="eastAsia" w:ascii="黑体" w:hAnsi="黑体" w:eastAsia="黑体" w:cs="黑体"/>
                <w:b w:val="0"/>
                <w:bCs/>
                <w:color w:val="auto"/>
                <w:sz w:val="22"/>
                <w:szCs w:val="22"/>
                <w:highlight w:val="none"/>
                <w:lang w:eastAsia="zh-CN"/>
              </w:rPr>
              <w:t>投标人具有名特优新农产品鉴定资质的得</w:t>
            </w:r>
            <w:r>
              <w:rPr>
                <w:rFonts w:hint="eastAsia" w:ascii="黑体" w:hAnsi="黑体" w:eastAsia="黑体" w:cs="黑体"/>
                <w:b w:val="0"/>
                <w:bCs/>
                <w:color w:val="auto"/>
                <w:sz w:val="22"/>
                <w:szCs w:val="22"/>
                <w:highlight w:val="none"/>
                <w:lang w:val="en-US" w:eastAsia="zh-CN"/>
              </w:rPr>
              <w:t>2</w:t>
            </w:r>
            <w:r>
              <w:rPr>
                <w:rFonts w:hint="eastAsia" w:ascii="黑体" w:hAnsi="黑体" w:eastAsia="黑体" w:cs="黑体"/>
                <w:b w:val="0"/>
                <w:bCs/>
                <w:color w:val="auto"/>
                <w:sz w:val="22"/>
                <w:szCs w:val="22"/>
                <w:highlight w:val="none"/>
                <w:lang w:eastAsia="zh-CN"/>
              </w:rPr>
              <w:t>分。（证书必须在有效期内；投标文件中提供相关证明材料）</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val="en-US" w:eastAsia="zh-CN"/>
              </w:rPr>
              <w:t>3、</w:t>
            </w:r>
            <w:r>
              <w:rPr>
                <w:rFonts w:hint="eastAsia" w:ascii="黑体" w:hAnsi="黑体" w:eastAsia="黑体" w:cs="黑体"/>
                <w:b w:val="0"/>
                <w:bCs/>
                <w:color w:val="auto"/>
                <w:sz w:val="22"/>
                <w:szCs w:val="22"/>
                <w:highlight w:val="none"/>
                <w:lang w:eastAsia="zh-CN"/>
              </w:rPr>
              <w:t>投标人为市场监督部门“守合同重信用”企业的得</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val="en-US" w:eastAsia="zh-CN"/>
              </w:rPr>
              <w:t>4、</w:t>
            </w:r>
            <w:r>
              <w:rPr>
                <w:rFonts w:hint="eastAsia" w:ascii="黑体" w:hAnsi="黑体" w:eastAsia="黑体" w:cs="黑体"/>
                <w:b w:val="0"/>
                <w:bCs/>
                <w:color w:val="auto"/>
                <w:sz w:val="22"/>
                <w:szCs w:val="22"/>
                <w:highlight w:val="none"/>
                <w:lang w:eastAsia="zh-CN"/>
              </w:rPr>
              <w:t>投标人</w:t>
            </w:r>
            <w:r>
              <w:rPr>
                <w:rFonts w:hint="eastAsia" w:ascii="黑体" w:hAnsi="黑体" w:eastAsia="黑体" w:cs="黑体"/>
                <w:b w:val="0"/>
                <w:bCs/>
                <w:color w:val="auto"/>
                <w:sz w:val="22"/>
                <w:szCs w:val="22"/>
                <w:highlight w:val="none"/>
                <w:lang w:val="en-US" w:eastAsia="zh-CN"/>
              </w:rPr>
              <w:t>近三年</w:t>
            </w:r>
            <w:r>
              <w:rPr>
                <w:rFonts w:hint="eastAsia" w:ascii="黑体" w:hAnsi="黑体" w:eastAsia="黑体" w:cs="黑体"/>
                <w:b w:val="0"/>
                <w:bCs/>
                <w:color w:val="auto"/>
                <w:sz w:val="22"/>
                <w:szCs w:val="22"/>
                <w:highlight w:val="none"/>
                <w:lang w:eastAsia="zh-CN"/>
              </w:rPr>
              <w:t>（201</w:t>
            </w:r>
            <w:r>
              <w:rPr>
                <w:rFonts w:hint="eastAsia" w:ascii="黑体" w:hAnsi="黑体" w:eastAsia="黑体" w:cs="黑体"/>
                <w:b w:val="0"/>
                <w:bCs/>
                <w:color w:val="auto"/>
                <w:sz w:val="22"/>
                <w:szCs w:val="22"/>
                <w:highlight w:val="none"/>
                <w:lang w:val="en-US" w:eastAsia="zh-CN"/>
              </w:rPr>
              <w:t>9</w:t>
            </w:r>
            <w:r>
              <w:rPr>
                <w:rFonts w:hint="eastAsia" w:ascii="黑体" w:hAnsi="黑体" w:eastAsia="黑体" w:cs="黑体"/>
                <w:b w:val="0"/>
                <w:bCs/>
                <w:color w:val="auto"/>
                <w:sz w:val="22"/>
                <w:szCs w:val="22"/>
                <w:highlight w:val="none"/>
                <w:lang w:eastAsia="zh-CN"/>
              </w:rPr>
              <w:t>-202</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w:t>
            </w:r>
            <w:r>
              <w:rPr>
                <w:rFonts w:hint="eastAsia" w:ascii="黑体" w:hAnsi="黑体" w:eastAsia="黑体" w:cs="黑体"/>
                <w:b w:val="0"/>
                <w:bCs/>
                <w:color w:val="auto"/>
                <w:sz w:val="22"/>
                <w:szCs w:val="22"/>
                <w:highlight w:val="none"/>
                <w:lang w:val="en-US" w:eastAsia="zh-CN"/>
              </w:rPr>
              <w:t>参加国家相关机构组织的实验室能力验证并取得满意结果每次得1分</w:t>
            </w:r>
            <w:r>
              <w:rPr>
                <w:rFonts w:hint="eastAsia" w:ascii="黑体" w:hAnsi="黑体" w:eastAsia="黑体" w:cs="黑体"/>
                <w:b w:val="0"/>
                <w:bCs/>
                <w:color w:val="auto"/>
                <w:sz w:val="22"/>
                <w:szCs w:val="22"/>
                <w:highlight w:val="none"/>
                <w:lang w:eastAsia="zh-CN"/>
              </w:rPr>
              <w:t>，</w:t>
            </w:r>
            <w:r>
              <w:rPr>
                <w:rFonts w:hint="eastAsia" w:ascii="黑体" w:hAnsi="黑体" w:eastAsia="黑体" w:cs="黑体"/>
                <w:b w:val="0"/>
                <w:bCs/>
                <w:color w:val="auto"/>
                <w:sz w:val="22"/>
                <w:szCs w:val="22"/>
                <w:highlight w:val="none"/>
                <w:lang w:val="en-US" w:eastAsia="zh-CN"/>
              </w:rPr>
              <w:t>参加省级相关机构组织的实验室能力验证并取得满意结果每次得0.5分，满分3</w:t>
            </w:r>
            <w:r>
              <w:rPr>
                <w:rFonts w:hint="eastAsia" w:ascii="黑体" w:hAnsi="黑体" w:eastAsia="黑体" w:cs="黑体"/>
                <w:b w:val="0"/>
                <w:bCs/>
                <w:color w:val="auto"/>
                <w:sz w:val="22"/>
                <w:szCs w:val="22"/>
                <w:highlight w:val="none"/>
                <w:lang w:eastAsia="zh-CN"/>
              </w:rPr>
              <w:t>分。（</w:t>
            </w:r>
            <w:r>
              <w:rPr>
                <w:rFonts w:hint="eastAsia" w:ascii="黑体" w:hAnsi="黑体" w:eastAsia="黑体" w:cs="黑体"/>
                <w:b w:val="0"/>
                <w:bCs/>
                <w:color w:val="auto"/>
                <w:sz w:val="22"/>
                <w:szCs w:val="22"/>
                <w:highlight w:val="none"/>
                <w:lang w:val="en-US" w:eastAsia="zh-CN"/>
              </w:rPr>
              <w:t>提供能力验证满意证书等相关证明材料作为得分依据</w:t>
            </w:r>
            <w:r>
              <w:rPr>
                <w:rFonts w:hint="eastAsia" w:ascii="黑体" w:hAnsi="黑体" w:eastAsia="黑体" w:cs="黑体"/>
                <w:b w:val="0"/>
                <w:bCs/>
                <w:color w:val="auto"/>
                <w:sz w:val="22"/>
                <w:szCs w:val="22"/>
                <w:highlight w:val="none"/>
                <w:lang w:eastAsia="zh-CN"/>
              </w:rPr>
              <w:t>）</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5、投标人在国内建有多个通过</w:t>
            </w:r>
            <w:r>
              <w:rPr>
                <w:rFonts w:hint="eastAsia" w:ascii="黑体" w:hAnsi="黑体" w:eastAsia="黑体" w:cs="黑体"/>
                <w:b w:val="0"/>
                <w:bCs/>
                <w:color w:val="auto"/>
                <w:sz w:val="22"/>
                <w:szCs w:val="22"/>
                <w:highlight w:val="none"/>
                <w:lang w:val="zh-CN" w:eastAsia="zh-CN"/>
              </w:rPr>
              <w:t>CMA资质附表中的项目</w:t>
            </w:r>
            <w:r>
              <w:rPr>
                <w:rFonts w:hint="eastAsia" w:ascii="黑体" w:hAnsi="黑体" w:eastAsia="黑体" w:cs="黑体"/>
                <w:b w:val="0"/>
                <w:bCs/>
                <w:color w:val="auto"/>
                <w:sz w:val="22"/>
                <w:szCs w:val="22"/>
                <w:highlight w:val="none"/>
                <w:lang w:val="en-US" w:eastAsia="zh-CN"/>
              </w:rPr>
              <w:t>及</w:t>
            </w:r>
            <w:r>
              <w:rPr>
                <w:rFonts w:hint="eastAsia" w:ascii="黑体" w:hAnsi="黑体" w:eastAsia="黑体" w:cs="黑体"/>
                <w:b w:val="0"/>
                <w:bCs/>
                <w:color w:val="auto"/>
                <w:sz w:val="22"/>
                <w:szCs w:val="22"/>
                <w:highlight w:val="none"/>
                <w:lang w:eastAsia="zh-CN"/>
              </w:rPr>
              <w:t>CATL</w:t>
            </w:r>
            <w:r>
              <w:rPr>
                <w:rFonts w:hint="eastAsia" w:ascii="黑体" w:hAnsi="黑体" w:eastAsia="黑体" w:cs="黑体"/>
                <w:b w:val="0"/>
                <w:bCs/>
                <w:color w:val="auto"/>
                <w:sz w:val="22"/>
                <w:szCs w:val="22"/>
                <w:highlight w:val="none"/>
                <w:lang w:val="en-US" w:eastAsia="zh-CN"/>
              </w:rPr>
              <w:t>资质的食品检测实验室（实验室须为同一法人代表），以省（自治区、直辖市）行政区域为单位，并且能及时与龙游局共享食品安全风险数据的，每拥有1个，得1分，满分3分（须提供CMA资质认定和认可证书复印件、营业执照、法人证书复印件、出资证明并加盖公章，未提供者不得分）</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6</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方案及制度</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w:t>
            </w:r>
            <w:r>
              <w:rPr>
                <w:rFonts w:hint="eastAsia" w:ascii="黑体" w:hAnsi="黑体" w:eastAsia="黑体" w:cs="黑体"/>
                <w:b w:val="0"/>
                <w:bCs/>
                <w:color w:val="auto"/>
                <w:sz w:val="22"/>
                <w:szCs w:val="22"/>
                <w:highlight w:val="none"/>
                <w:lang w:val="en-US" w:eastAsia="zh-CN"/>
              </w:rPr>
              <w:t>5</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根据投标人在项目实施过程中的安全保障措施以及质量控制管理制度（包括是否具有完善的食品安全检验工作制度、检验责任追究制度、检验档案管理制度,是否能按照招标人的要求及时汇总上报检测结果及分析报告的相关措施或方案)的优劣性情况酌情评分；总分</w:t>
            </w:r>
            <w:r>
              <w:rPr>
                <w:rFonts w:hint="eastAsia" w:ascii="黑体" w:hAnsi="黑体" w:eastAsia="黑体" w:cs="黑体"/>
                <w:b w:val="0"/>
                <w:bCs/>
                <w:color w:val="auto"/>
                <w:sz w:val="22"/>
                <w:szCs w:val="22"/>
                <w:highlight w:val="none"/>
                <w:lang w:val="en-US" w:eastAsia="zh-CN"/>
              </w:rPr>
              <w:t>5</w:t>
            </w:r>
            <w:r>
              <w:rPr>
                <w:rFonts w:hint="eastAsia" w:ascii="黑体" w:hAnsi="黑体" w:eastAsia="黑体" w:cs="黑体"/>
                <w:b w:val="0"/>
                <w:bCs/>
                <w:color w:val="auto"/>
                <w:sz w:val="22"/>
                <w:szCs w:val="22"/>
                <w:highlight w:val="none"/>
                <w:lang w:eastAsia="zh-CN"/>
              </w:rPr>
              <w:t>分。</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7</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投标人人员能力</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（1</w:t>
            </w:r>
            <w:r>
              <w:rPr>
                <w:rFonts w:hint="eastAsia" w:ascii="黑体" w:hAnsi="黑体" w:eastAsia="黑体" w:cs="黑体"/>
                <w:b w:val="0"/>
                <w:bCs/>
                <w:color w:val="auto"/>
                <w:sz w:val="22"/>
                <w:szCs w:val="22"/>
                <w:highlight w:val="none"/>
                <w:lang w:val="en-US" w:eastAsia="zh-CN"/>
              </w:rPr>
              <w:t>2</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zh-CN" w:eastAsia="zh-CN"/>
              </w:rPr>
            </w:pPr>
            <w:r>
              <w:rPr>
                <w:rFonts w:hint="eastAsia" w:ascii="黑体" w:hAnsi="黑体" w:eastAsia="黑体" w:cs="黑体"/>
                <w:b w:val="0"/>
                <w:bCs/>
                <w:color w:val="auto"/>
                <w:sz w:val="22"/>
                <w:szCs w:val="22"/>
                <w:highlight w:val="none"/>
                <w:lang w:val="zh-CN" w:eastAsia="zh-CN"/>
              </w:rPr>
              <w:t>1、项目负责人：具有相关专业正高级职称且在本单位工作</w:t>
            </w:r>
            <w:r>
              <w:rPr>
                <w:rFonts w:hint="eastAsia" w:ascii="黑体" w:hAnsi="黑体" w:eastAsia="黑体" w:cs="黑体"/>
                <w:b w:val="0"/>
                <w:bCs/>
                <w:color w:val="auto"/>
                <w:sz w:val="22"/>
                <w:szCs w:val="22"/>
                <w:highlight w:val="none"/>
                <w:lang w:val="en-US" w:eastAsia="zh-CN"/>
              </w:rPr>
              <w:t>3</w:t>
            </w:r>
            <w:r>
              <w:rPr>
                <w:rFonts w:hint="eastAsia" w:ascii="黑体" w:hAnsi="黑体" w:eastAsia="黑体" w:cs="黑体"/>
                <w:b w:val="0"/>
                <w:bCs/>
                <w:color w:val="auto"/>
                <w:sz w:val="22"/>
                <w:szCs w:val="22"/>
                <w:highlight w:val="none"/>
                <w:lang w:val="zh-CN" w:eastAsia="zh-CN"/>
              </w:rPr>
              <w:t>年以上的</w:t>
            </w:r>
            <w:r>
              <w:rPr>
                <w:rFonts w:hint="eastAsia" w:ascii="黑体" w:hAnsi="黑体" w:eastAsia="黑体" w:cs="黑体"/>
                <w:b w:val="0"/>
                <w:bCs/>
                <w:color w:val="auto"/>
                <w:sz w:val="22"/>
                <w:szCs w:val="22"/>
                <w:highlight w:val="none"/>
                <w:lang w:val="en-US" w:eastAsia="zh-CN"/>
              </w:rPr>
              <w:t>每人得2分，满分2</w:t>
            </w:r>
            <w:r>
              <w:rPr>
                <w:rFonts w:hint="eastAsia" w:ascii="黑体" w:hAnsi="黑体" w:eastAsia="黑体" w:cs="黑体"/>
                <w:b w:val="0"/>
                <w:bCs/>
                <w:color w:val="auto"/>
                <w:sz w:val="22"/>
                <w:szCs w:val="22"/>
                <w:highlight w:val="none"/>
                <w:lang w:val="zh-CN" w:eastAsia="zh-CN"/>
              </w:rPr>
              <w:t>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zh-CN" w:eastAsia="zh-CN"/>
              </w:rPr>
            </w:pPr>
            <w:r>
              <w:rPr>
                <w:rFonts w:hint="eastAsia" w:ascii="黑体" w:hAnsi="黑体" w:eastAsia="黑体" w:cs="黑体"/>
                <w:b w:val="0"/>
                <w:bCs/>
                <w:color w:val="auto"/>
                <w:sz w:val="22"/>
                <w:szCs w:val="22"/>
                <w:highlight w:val="none"/>
                <w:lang w:val="zh-CN" w:eastAsia="zh-CN"/>
              </w:rPr>
              <w:t>2、主要技术人员：具有相关专业高级职称（含副高）且在本单位工作</w:t>
            </w:r>
            <w:r>
              <w:rPr>
                <w:rFonts w:hint="eastAsia" w:ascii="黑体" w:hAnsi="黑体" w:eastAsia="黑体" w:cs="黑体"/>
                <w:b w:val="0"/>
                <w:bCs/>
                <w:color w:val="auto"/>
                <w:sz w:val="22"/>
                <w:szCs w:val="22"/>
                <w:highlight w:val="none"/>
                <w:lang w:val="en-US" w:eastAsia="zh-CN"/>
              </w:rPr>
              <w:t>3</w:t>
            </w:r>
            <w:r>
              <w:rPr>
                <w:rFonts w:hint="eastAsia" w:ascii="黑体" w:hAnsi="黑体" w:eastAsia="黑体" w:cs="黑体"/>
                <w:b w:val="0"/>
                <w:bCs/>
                <w:color w:val="auto"/>
                <w:sz w:val="22"/>
                <w:szCs w:val="22"/>
                <w:highlight w:val="none"/>
                <w:lang w:val="zh-CN" w:eastAsia="zh-CN"/>
              </w:rPr>
              <w:t>年以上的，每</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val="zh-CN" w:eastAsia="zh-CN"/>
              </w:rPr>
              <w:t>人得</w:t>
            </w:r>
            <w:r>
              <w:rPr>
                <w:rFonts w:hint="eastAsia" w:ascii="黑体" w:hAnsi="黑体" w:eastAsia="黑体" w:cs="黑体"/>
                <w:b w:val="0"/>
                <w:bCs/>
                <w:color w:val="auto"/>
                <w:sz w:val="22"/>
                <w:szCs w:val="22"/>
                <w:highlight w:val="none"/>
                <w:lang w:val="en-US" w:eastAsia="zh-CN"/>
              </w:rPr>
              <w:t>0.5</w:t>
            </w:r>
            <w:r>
              <w:rPr>
                <w:rFonts w:hint="eastAsia" w:ascii="黑体" w:hAnsi="黑体" w:eastAsia="黑体" w:cs="黑体"/>
                <w:b w:val="0"/>
                <w:bCs/>
                <w:color w:val="auto"/>
                <w:sz w:val="22"/>
                <w:szCs w:val="22"/>
                <w:highlight w:val="none"/>
                <w:lang w:val="zh-CN" w:eastAsia="zh-CN"/>
              </w:rPr>
              <w:t>分，满分</w:t>
            </w:r>
            <w:r>
              <w:rPr>
                <w:rFonts w:hint="eastAsia" w:ascii="黑体" w:hAnsi="黑体" w:eastAsia="黑体" w:cs="黑体"/>
                <w:b w:val="0"/>
                <w:bCs/>
                <w:color w:val="auto"/>
                <w:sz w:val="22"/>
                <w:szCs w:val="22"/>
                <w:highlight w:val="none"/>
                <w:lang w:val="en-US" w:eastAsia="zh-CN"/>
              </w:rPr>
              <w:t>7</w:t>
            </w:r>
            <w:r>
              <w:rPr>
                <w:rFonts w:hint="eastAsia" w:ascii="黑体" w:hAnsi="黑体" w:eastAsia="黑体" w:cs="黑体"/>
                <w:b w:val="0"/>
                <w:bCs/>
                <w:color w:val="auto"/>
                <w:sz w:val="22"/>
                <w:szCs w:val="22"/>
                <w:highlight w:val="none"/>
                <w:lang w:val="zh-CN" w:eastAsia="zh-CN"/>
              </w:rPr>
              <w:t>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zh-CN" w:eastAsia="zh-CN"/>
              </w:rPr>
            </w:pPr>
            <w:r>
              <w:rPr>
                <w:rFonts w:hint="eastAsia" w:ascii="黑体" w:hAnsi="黑体" w:eastAsia="黑体" w:cs="黑体"/>
                <w:b w:val="0"/>
                <w:bCs/>
                <w:color w:val="auto"/>
                <w:sz w:val="22"/>
                <w:szCs w:val="22"/>
                <w:highlight w:val="none"/>
                <w:lang w:val="zh-CN" w:eastAsia="zh-CN"/>
              </w:rPr>
              <w:t>3、一线检测人员：在本单位从事一线食品检测岗位，且己满3年的工作人员，每</w:t>
            </w:r>
            <w:r>
              <w:rPr>
                <w:rFonts w:hint="eastAsia" w:ascii="黑体" w:hAnsi="黑体" w:eastAsia="黑体" w:cs="黑体"/>
                <w:b w:val="0"/>
                <w:bCs/>
                <w:color w:val="auto"/>
                <w:sz w:val="22"/>
                <w:szCs w:val="22"/>
                <w:highlight w:val="none"/>
                <w:lang w:val="en-US" w:eastAsia="zh-CN"/>
              </w:rPr>
              <w:t>2</w:t>
            </w:r>
            <w:r>
              <w:rPr>
                <w:rFonts w:hint="eastAsia" w:ascii="黑体" w:hAnsi="黑体" w:eastAsia="黑体" w:cs="黑体"/>
                <w:b w:val="0"/>
                <w:bCs/>
                <w:color w:val="auto"/>
                <w:sz w:val="22"/>
                <w:szCs w:val="22"/>
                <w:highlight w:val="none"/>
                <w:lang w:val="zh-CN" w:eastAsia="zh-CN"/>
              </w:rPr>
              <w:t>人得0.1分，满分3分；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val="en-US" w:eastAsia="zh-CN"/>
              </w:rPr>
              <w:t>（以上须为单位在职员工，并须提供技术职称原件及近六个月社保证明（或提供网上查询社保账号））。</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8</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投标人同类项目业绩服务能力情况（</w:t>
            </w:r>
            <w:r>
              <w:rPr>
                <w:rFonts w:hint="eastAsia" w:ascii="黑体" w:hAnsi="黑体" w:eastAsia="黑体" w:cs="黑体"/>
                <w:b w:val="0"/>
                <w:bCs/>
                <w:color w:val="auto"/>
                <w:sz w:val="22"/>
                <w:szCs w:val="22"/>
                <w:highlight w:val="none"/>
                <w:lang w:val="en-US" w:eastAsia="zh-CN"/>
              </w:rPr>
              <w:t>13</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1、201</w:t>
            </w:r>
            <w:r>
              <w:rPr>
                <w:rFonts w:hint="eastAsia" w:ascii="黑体" w:hAnsi="黑体" w:eastAsia="黑体" w:cs="黑体"/>
                <w:b w:val="0"/>
                <w:bCs/>
                <w:color w:val="auto"/>
                <w:sz w:val="22"/>
                <w:szCs w:val="22"/>
                <w:highlight w:val="none"/>
                <w:lang w:val="en-US" w:eastAsia="zh-CN"/>
              </w:rPr>
              <w:t>9</w:t>
            </w:r>
            <w:r>
              <w:rPr>
                <w:rFonts w:hint="eastAsia" w:ascii="黑体" w:hAnsi="黑体" w:eastAsia="黑体" w:cs="黑体"/>
                <w:b w:val="0"/>
                <w:bCs/>
                <w:color w:val="auto"/>
                <w:sz w:val="22"/>
                <w:szCs w:val="22"/>
                <w:highlight w:val="none"/>
                <w:lang w:eastAsia="zh-CN"/>
              </w:rPr>
              <w:t>年以来承担国</w:t>
            </w:r>
            <w:r>
              <w:rPr>
                <w:rFonts w:hint="eastAsia" w:ascii="黑体" w:hAnsi="黑体" w:eastAsia="黑体" w:cs="黑体"/>
                <w:b w:val="0"/>
                <w:bCs/>
                <w:color w:val="auto"/>
                <w:sz w:val="22"/>
                <w:szCs w:val="22"/>
                <w:highlight w:val="none"/>
                <w:lang w:val="en-US" w:eastAsia="zh-CN"/>
              </w:rPr>
              <w:t>家</w:t>
            </w:r>
            <w:r>
              <w:rPr>
                <w:rFonts w:hint="eastAsia" w:ascii="黑体" w:hAnsi="黑体" w:eastAsia="黑体" w:cs="黑体"/>
                <w:b w:val="0"/>
                <w:bCs/>
                <w:color w:val="auto"/>
                <w:sz w:val="22"/>
                <w:szCs w:val="22"/>
                <w:highlight w:val="none"/>
                <w:lang w:eastAsia="zh-CN"/>
              </w:rPr>
              <w:t>级食品（</w:t>
            </w:r>
            <w:r>
              <w:rPr>
                <w:rFonts w:hint="eastAsia" w:ascii="黑体" w:hAnsi="黑体" w:eastAsia="黑体" w:cs="黑体"/>
                <w:b w:val="0"/>
                <w:bCs/>
                <w:color w:val="auto"/>
                <w:sz w:val="22"/>
                <w:szCs w:val="22"/>
                <w:highlight w:val="none"/>
                <w:lang w:val="en-US" w:eastAsia="zh-CN"/>
              </w:rPr>
              <w:t>包括农产品</w:t>
            </w:r>
            <w:r>
              <w:rPr>
                <w:rFonts w:hint="eastAsia" w:ascii="黑体" w:hAnsi="黑体" w:eastAsia="黑体" w:cs="黑体"/>
                <w:b w:val="0"/>
                <w:bCs/>
                <w:color w:val="auto"/>
                <w:sz w:val="22"/>
                <w:szCs w:val="22"/>
                <w:highlight w:val="none"/>
                <w:lang w:eastAsia="zh-CN"/>
              </w:rPr>
              <w:t>）抽检任务的，每个得1分，满分3分；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承担过省级食品（</w:t>
            </w:r>
            <w:r>
              <w:rPr>
                <w:rFonts w:hint="eastAsia" w:ascii="黑体" w:hAnsi="黑体" w:eastAsia="黑体" w:cs="黑体"/>
                <w:b w:val="0"/>
                <w:bCs/>
                <w:color w:val="auto"/>
                <w:sz w:val="22"/>
                <w:szCs w:val="22"/>
                <w:highlight w:val="none"/>
                <w:lang w:val="en-US" w:eastAsia="zh-CN"/>
              </w:rPr>
              <w:t>包括农产品</w:t>
            </w:r>
            <w:r>
              <w:rPr>
                <w:rFonts w:hint="eastAsia" w:ascii="黑体" w:hAnsi="黑体" w:eastAsia="黑体" w:cs="黑体"/>
                <w:b w:val="0"/>
                <w:bCs/>
                <w:color w:val="auto"/>
                <w:sz w:val="22"/>
                <w:szCs w:val="22"/>
                <w:highlight w:val="none"/>
                <w:lang w:eastAsia="zh-CN"/>
              </w:rPr>
              <w:t>）抽检任务的，每个0.5分，共2分；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承担过市级及以下食品（</w:t>
            </w:r>
            <w:r>
              <w:rPr>
                <w:rFonts w:hint="eastAsia" w:ascii="黑体" w:hAnsi="黑体" w:eastAsia="黑体" w:cs="黑体"/>
                <w:b w:val="0"/>
                <w:bCs/>
                <w:color w:val="auto"/>
                <w:sz w:val="22"/>
                <w:szCs w:val="22"/>
                <w:highlight w:val="none"/>
                <w:lang w:val="en-US" w:eastAsia="zh-CN"/>
              </w:rPr>
              <w:t>包括农产品</w:t>
            </w:r>
            <w:r>
              <w:rPr>
                <w:rFonts w:hint="eastAsia" w:ascii="黑体" w:hAnsi="黑体" w:eastAsia="黑体" w:cs="黑体"/>
                <w:b w:val="0"/>
                <w:bCs/>
                <w:color w:val="auto"/>
                <w:sz w:val="22"/>
                <w:szCs w:val="22"/>
                <w:highlight w:val="none"/>
                <w:lang w:eastAsia="zh-CN"/>
              </w:rPr>
              <w:t>）抽检任务的，每个0.2分，共</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分。（需提供中标通知书或合同等相关证明材料）</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2、投标人202</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年承担的省市县级市场监督管理部门年度食品安全抽样检测任务中，发现食品（餐具不计入）不合格率高于3%的，每个地区得2分，最多</w:t>
            </w:r>
            <w:r>
              <w:rPr>
                <w:rFonts w:hint="eastAsia" w:ascii="黑体" w:hAnsi="黑体" w:eastAsia="黑体" w:cs="黑体"/>
                <w:b w:val="0"/>
                <w:bCs/>
                <w:color w:val="auto"/>
                <w:sz w:val="22"/>
                <w:szCs w:val="22"/>
                <w:highlight w:val="none"/>
                <w:lang w:val="en-US" w:eastAsia="zh-CN"/>
              </w:rPr>
              <w:t>4</w:t>
            </w:r>
            <w:r>
              <w:rPr>
                <w:rFonts w:hint="eastAsia" w:ascii="黑体" w:hAnsi="黑体" w:eastAsia="黑体" w:cs="黑体"/>
                <w:b w:val="0"/>
                <w:bCs/>
                <w:color w:val="auto"/>
                <w:sz w:val="22"/>
                <w:szCs w:val="22"/>
                <w:highlight w:val="none"/>
                <w:lang w:eastAsia="zh-CN"/>
              </w:rPr>
              <w:t>分。（提供相关任务来源、客户评价表，要求提供当地市场监督管理部门的证明并加盖公章）</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3、投标人具有配合公安等办案食品检测经历，提供相关公安检定聘请书委托书或检测报告复印件，每提供一份得0.5分，共</w:t>
            </w:r>
            <w:r>
              <w:rPr>
                <w:rFonts w:hint="eastAsia" w:ascii="黑体" w:hAnsi="黑体" w:eastAsia="黑体" w:cs="黑体"/>
                <w:b w:val="0"/>
                <w:bCs/>
                <w:color w:val="auto"/>
                <w:sz w:val="22"/>
                <w:szCs w:val="22"/>
                <w:highlight w:val="none"/>
                <w:lang w:val="en-US" w:eastAsia="zh-CN"/>
              </w:rPr>
              <w:t>3</w:t>
            </w:r>
            <w:r>
              <w:rPr>
                <w:rFonts w:hint="eastAsia" w:ascii="黑体" w:hAnsi="黑体" w:eastAsia="黑体" w:cs="黑体"/>
                <w:b w:val="0"/>
                <w:bCs/>
                <w:color w:val="auto"/>
                <w:sz w:val="22"/>
                <w:szCs w:val="22"/>
                <w:highlight w:val="none"/>
                <w:lang w:eastAsia="zh-CN"/>
              </w:rPr>
              <w:t>分，没有的不得分。</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9</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投标人技术支持情况（</w:t>
            </w:r>
            <w:r>
              <w:rPr>
                <w:rFonts w:hint="eastAsia" w:ascii="黑体" w:hAnsi="黑体" w:eastAsia="黑体" w:cs="黑体"/>
                <w:b w:val="0"/>
                <w:bCs/>
                <w:color w:val="auto"/>
                <w:sz w:val="22"/>
                <w:szCs w:val="22"/>
                <w:highlight w:val="none"/>
                <w:lang w:val="en-US" w:eastAsia="zh-CN"/>
              </w:rPr>
              <w:t>6</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1、投标人承诺提供检测结果分析报告及技术培训服务的得</w:t>
            </w:r>
            <w:r>
              <w:rPr>
                <w:rFonts w:hint="eastAsia" w:ascii="黑体" w:hAnsi="黑体" w:eastAsia="黑体" w:cs="黑体"/>
                <w:b w:val="0"/>
                <w:bCs/>
                <w:color w:val="auto"/>
                <w:sz w:val="22"/>
                <w:szCs w:val="22"/>
                <w:highlight w:val="none"/>
                <w:lang w:val="en-US" w:eastAsia="zh-CN"/>
              </w:rPr>
              <w:t>3</w:t>
            </w:r>
            <w:r>
              <w:rPr>
                <w:rFonts w:hint="eastAsia" w:ascii="黑体" w:hAnsi="黑体" w:eastAsia="黑体" w:cs="黑体"/>
                <w:b w:val="0"/>
                <w:bCs/>
                <w:color w:val="auto"/>
                <w:sz w:val="22"/>
                <w:szCs w:val="22"/>
                <w:highlight w:val="none"/>
                <w:lang w:eastAsia="zh-CN"/>
              </w:rPr>
              <w:t>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2、投标人承诺报告出具时间为10个工作日的得</w:t>
            </w:r>
            <w:r>
              <w:rPr>
                <w:rFonts w:hint="eastAsia" w:ascii="黑体" w:hAnsi="黑体" w:eastAsia="黑体" w:cs="黑体"/>
                <w:b w:val="0"/>
                <w:bCs/>
                <w:color w:val="auto"/>
                <w:sz w:val="22"/>
                <w:szCs w:val="22"/>
                <w:highlight w:val="none"/>
                <w:lang w:val="en-US" w:eastAsia="zh-CN"/>
              </w:rPr>
              <w:t>3</w:t>
            </w:r>
            <w:r>
              <w:rPr>
                <w:rFonts w:hint="eastAsia" w:ascii="黑体" w:hAnsi="黑体" w:eastAsia="黑体" w:cs="黑体"/>
                <w:b w:val="0"/>
                <w:bCs/>
                <w:color w:val="auto"/>
                <w:sz w:val="22"/>
                <w:szCs w:val="22"/>
                <w:highlight w:val="none"/>
                <w:lang w:eastAsia="zh-CN"/>
              </w:rPr>
              <w:t>分，</w:t>
            </w:r>
            <w:r>
              <w:rPr>
                <w:rFonts w:hint="eastAsia" w:ascii="黑体" w:hAnsi="黑体" w:eastAsia="黑体" w:cs="黑体"/>
                <w:b w:val="0"/>
                <w:bCs/>
                <w:color w:val="auto"/>
                <w:sz w:val="22"/>
                <w:szCs w:val="22"/>
                <w:highlight w:val="none"/>
                <w:lang w:val="en-US" w:eastAsia="zh-CN"/>
              </w:rPr>
              <w:t>15个工作日得2分，20个工作日得1分，超过20个工作日不得分</w:t>
            </w:r>
            <w:r>
              <w:rPr>
                <w:rFonts w:hint="eastAsia" w:ascii="黑体" w:hAnsi="黑体" w:eastAsia="黑体" w:cs="黑体"/>
                <w:b w:val="0"/>
                <w:bCs/>
                <w:color w:val="auto"/>
                <w:sz w:val="22"/>
                <w:szCs w:val="22"/>
                <w:highlight w:val="none"/>
                <w:lang w:eastAsia="zh-CN"/>
              </w:rPr>
              <w:t>。</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（以上必须提供书面说明或证明材料。）</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shd w:val="clear" w:color="auto" w:fill="FFFFFF"/>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10</w:t>
            </w:r>
          </w:p>
        </w:tc>
        <w:tc>
          <w:tcPr>
            <w:tcW w:w="1540" w:type="dxa"/>
            <w:tcBorders>
              <w:tl2br w:val="nil"/>
              <w:tr2bl w:val="nil"/>
            </w:tcBorders>
            <w:shd w:val="clear" w:color="auto" w:fill="FFFFFF"/>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实验室应急保障能力</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（4分）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近三年（201</w:t>
            </w:r>
            <w:r>
              <w:rPr>
                <w:rFonts w:hint="eastAsia" w:ascii="黑体" w:hAnsi="黑体" w:eastAsia="黑体" w:cs="黑体"/>
                <w:b w:val="0"/>
                <w:bCs/>
                <w:color w:val="auto"/>
                <w:sz w:val="22"/>
                <w:szCs w:val="22"/>
                <w:highlight w:val="none"/>
                <w:lang w:val="en-US" w:eastAsia="zh-CN"/>
              </w:rPr>
              <w:t>9</w:t>
            </w:r>
            <w:r>
              <w:rPr>
                <w:rFonts w:hint="eastAsia" w:ascii="黑体" w:hAnsi="黑体" w:eastAsia="黑体" w:cs="黑体"/>
                <w:b w:val="0"/>
                <w:bCs/>
                <w:color w:val="auto"/>
                <w:sz w:val="22"/>
                <w:szCs w:val="22"/>
                <w:highlight w:val="none"/>
                <w:lang w:eastAsia="zh-CN"/>
              </w:rPr>
              <w:t>-202</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市、县（区）及以上农业农村局、食品药品（市场）监督管理部门、公安部门组织的食品安全突发事件抽检(应急抽检）服务的每参加1次得1分（需提供县级（含）以上农业农村局、食品药品（市场）监督管理部门、公安部门开具的有关证明及相关佐证材料），满分4分。</w:t>
            </w:r>
          </w:p>
        </w:tc>
      </w:tr>
    </w:tbl>
    <w:p>
      <w:pPr>
        <w:pStyle w:val="132"/>
        <w:tabs>
          <w:tab w:val="left" w:pos="-1080"/>
          <w:tab w:val="left" w:pos="180"/>
          <w:tab w:val="left" w:pos="1080"/>
        </w:tabs>
        <w:spacing w:line="500" w:lineRule="exact"/>
        <w:ind w:firstLine="480"/>
        <w:rPr>
          <w:rFonts w:hint="eastAsia" w:ascii="黑体" w:hAnsi="黑体" w:eastAsia="黑体" w:cs="黑体"/>
          <w:b/>
          <w:color w:val="auto"/>
          <w:szCs w:val="24"/>
          <w:highlight w:val="none"/>
          <w:lang w:val="en-US" w:eastAsia="zh-CN"/>
        </w:rPr>
      </w:pPr>
      <w:r>
        <w:rPr>
          <w:rFonts w:hint="eastAsia" w:ascii="黑体" w:hAnsi="黑体" w:eastAsia="黑体" w:cs="黑体"/>
          <w:b/>
          <w:color w:val="auto"/>
          <w:szCs w:val="24"/>
          <w:highlight w:val="none"/>
          <w:lang w:eastAsia="zh-CN"/>
        </w:rPr>
        <w:t>标项</w:t>
      </w:r>
      <w:r>
        <w:rPr>
          <w:rFonts w:hint="eastAsia" w:ascii="黑体" w:hAnsi="黑体" w:eastAsia="黑体" w:cs="黑体"/>
          <w:b/>
          <w:color w:val="auto"/>
          <w:szCs w:val="24"/>
          <w:highlight w:val="none"/>
          <w:lang w:val="en-US" w:eastAsia="zh-CN"/>
        </w:rPr>
        <w:t>2-4</w:t>
      </w:r>
    </w:p>
    <w:p>
      <w:pPr>
        <w:numPr>
          <w:ilvl w:val="0"/>
          <w:numId w:val="6"/>
        </w:numPr>
        <w:tabs>
          <w:tab w:val="left" w:pos="360"/>
          <w:tab w:val="left" w:pos="840"/>
        </w:tabs>
        <w:spacing w:line="380" w:lineRule="exact"/>
        <w:ind w:firstLine="480"/>
        <w:rPr>
          <w:rFonts w:hint="eastAsia" w:ascii="黑体" w:hAnsi="黑体" w:eastAsia="黑体" w:cs="黑体"/>
          <w:b/>
          <w:color w:val="auto"/>
          <w:szCs w:val="24"/>
          <w:highlight w:val="none"/>
          <w:lang w:val="en-US" w:eastAsia="zh-CN"/>
        </w:rPr>
      </w:pPr>
      <w:r>
        <w:rPr>
          <w:rFonts w:hint="eastAsia" w:ascii="黑体" w:hAnsi="黑体" w:eastAsia="黑体" w:cs="黑体"/>
          <w:bCs/>
          <w:color w:val="auto"/>
          <w:szCs w:val="24"/>
          <w:highlight w:val="none"/>
        </w:rPr>
        <w:t>评分细则（100分）</w:t>
      </w:r>
      <w:r>
        <w:rPr>
          <w:rFonts w:hint="eastAsia" w:ascii="黑体" w:hAnsi="黑体" w:eastAsia="黑体" w:cs="黑体"/>
          <w:bCs/>
          <w:color w:val="auto"/>
          <w:szCs w:val="24"/>
          <w:highlight w:val="none"/>
          <w:lang w:eastAsia="zh-CN"/>
        </w:rPr>
        <w:t>（</w:t>
      </w:r>
      <w:r>
        <w:rPr>
          <w:rFonts w:hint="eastAsia" w:ascii="黑体" w:hAnsi="黑体" w:eastAsia="黑体" w:cs="黑体"/>
          <w:bCs/>
          <w:color w:val="auto"/>
          <w:szCs w:val="21"/>
          <w:highlight w:val="none"/>
          <w:lang w:val="zh-CN"/>
        </w:rPr>
        <w:t>技术商务分</w:t>
      </w:r>
      <w:r>
        <w:rPr>
          <w:rFonts w:hint="eastAsia" w:ascii="黑体" w:hAnsi="黑体" w:eastAsia="黑体" w:cs="黑体"/>
          <w:bCs/>
          <w:color w:val="auto"/>
          <w:szCs w:val="21"/>
          <w:highlight w:val="none"/>
          <w:lang w:val="en-US" w:eastAsia="zh-CN"/>
        </w:rPr>
        <w:t>90</w:t>
      </w:r>
      <w:r>
        <w:rPr>
          <w:rFonts w:hint="eastAsia" w:ascii="黑体" w:hAnsi="黑体" w:eastAsia="黑体" w:cs="黑体"/>
          <w:bCs/>
          <w:color w:val="auto"/>
          <w:szCs w:val="21"/>
          <w:highlight w:val="none"/>
          <w:lang w:val="zh-CN"/>
        </w:rPr>
        <w:t>分、报价分</w:t>
      </w:r>
      <w:r>
        <w:rPr>
          <w:rFonts w:hint="eastAsia" w:ascii="黑体" w:hAnsi="黑体" w:eastAsia="黑体" w:cs="黑体"/>
          <w:bCs/>
          <w:color w:val="auto"/>
          <w:szCs w:val="21"/>
          <w:highlight w:val="none"/>
          <w:lang w:val="en-US" w:eastAsia="zh-CN"/>
        </w:rPr>
        <w:t>10</w:t>
      </w:r>
      <w:r>
        <w:rPr>
          <w:rFonts w:hint="eastAsia" w:ascii="黑体" w:hAnsi="黑体" w:eastAsia="黑体" w:cs="黑体"/>
          <w:bCs/>
          <w:color w:val="auto"/>
          <w:szCs w:val="21"/>
          <w:highlight w:val="none"/>
          <w:lang w:val="zh-CN"/>
        </w:rPr>
        <w:t>分</w:t>
      </w:r>
      <w:r>
        <w:rPr>
          <w:rFonts w:hint="eastAsia" w:ascii="黑体" w:hAnsi="黑体" w:eastAsia="黑体" w:cs="黑体"/>
          <w:bCs/>
          <w:color w:val="auto"/>
          <w:szCs w:val="24"/>
          <w:highlight w:val="none"/>
          <w:lang w:eastAsia="zh-CN"/>
        </w:rPr>
        <w:t>）</w:t>
      </w:r>
    </w:p>
    <w:tbl>
      <w:tblPr>
        <w:tblStyle w:val="34"/>
        <w:tblW w:w="8874" w:type="dxa"/>
        <w:jc w:val="center"/>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40"/>
        <w:gridCol w:w="6440"/>
      </w:tblGrid>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1</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报价</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（10分）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基准价为满足评标要求且投标价格最低的投标报价，投标报价得分=(基准价/投标报价)×10，四舍五入，保留两位小数。报价高于最高限价的，为无效投标文件。</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注：①若供应商按照工信部颁布的”中小企业划型标准”属小型/微型企业，或残疾人福利性单位提供本通知规定的《残疾人福利性单位声明函》，或监狱企业须投标人提供由省级以上监狱管理局、戒毒管理局（含新疆生产建设兵团）出具的属于监狱企业的证明文件，其报价扣减6%后再计入报价得分的评审（不累计扣减）。</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②若本项目所有供应商均属小型、微型企业或监狱企业或残疾人福利性单位的，按原报价进行评审。</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2</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检测资质</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w:t>
            </w:r>
            <w:r>
              <w:rPr>
                <w:rFonts w:hint="eastAsia" w:ascii="黑体" w:hAnsi="黑体" w:eastAsia="黑体" w:cs="黑体"/>
                <w:b w:val="0"/>
                <w:bCs/>
                <w:color w:val="auto"/>
                <w:sz w:val="22"/>
                <w:szCs w:val="22"/>
                <w:highlight w:val="none"/>
                <w:lang w:val="en-US" w:eastAsia="zh-CN"/>
              </w:rPr>
              <w:t>12</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zh-CN" w:eastAsia="zh-CN"/>
              </w:rPr>
            </w:pP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val="zh-CN" w:eastAsia="zh-CN"/>
              </w:rPr>
              <w:t>投标人CMA资质附表中的项目与《国家食品安全监督抽检实施细则（20</w:t>
            </w:r>
            <w:r>
              <w:rPr>
                <w:rFonts w:hint="eastAsia" w:ascii="黑体" w:hAnsi="黑体" w:eastAsia="黑体" w:cs="黑体"/>
                <w:b w:val="0"/>
                <w:bCs/>
                <w:color w:val="auto"/>
                <w:sz w:val="22"/>
                <w:szCs w:val="22"/>
                <w:highlight w:val="none"/>
                <w:lang w:eastAsia="zh-CN"/>
              </w:rPr>
              <w:t>21</w:t>
            </w:r>
            <w:r>
              <w:rPr>
                <w:rFonts w:hint="eastAsia" w:ascii="黑体" w:hAnsi="黑体" w:eastAsia="黑体" w:cs="黑体"/>
                <w:b w:val="0"/>
                <w:bCs/>
                <w:color w:val="auto"/>
                <w:sz w:val="22"/>
                <w:szCs w:val="22"/>
                <w:highlight w:val="none"/>
                <w:lang w:val="zh-CN" w:eastAsia="zh-CN"/>
              </w:rPr>
              <w:t>版）》中各食品类别细类所涉及的全部检测项目进行比较，共</w:t>
            </w:r>
            <w:r>
              <w:rPr>
                <w:rFonts w:hint="eastAsia" w:ascii="黑体" w:hAnsi="黑体" w:eastAsia="黑体" w:cs="黑体"/>
                <w:b w:val="0"/>
                <w:bCs/>
                <w:color w:val="auto"/>
                <w:sz w:val="22"/>
                <w:szCs w:val="22"/>
                <w:highlight w:val="none"/>
                <w:lang w:val="en-US" w:eastAsia="zh-CN"/>
              </w:rPr>
              <w:t>9</w:t>
            </w:r>
            <w:r>
              <w:rPr>
                <w:rFonts w:hint="eastAsia" w:ascii="黑体" w:hAnsi="黑体" w:eastAsia="黑体" w:cs="黑体"/>
                <w:b w:val="0"/>
                <w:bCs/>
                <w:color w:val="auto"/>
                <w:sz w:val="22"/>
                <w:szCs w:val="22"/>
                <w:highlight w:val="none"/>
                <w:lang w:val="zh-CN" w:eastAsia="zh-CN"/>
              </w:rPr>
              <w:t>分，每缺1项，扣</w:t>
            </w:r>
            <w:r>
              <w:rPr>
                <w:rFonts w:hint="eastAsia" w:ascii="黑体" w:hAnsi="黑体" w:eastAsia="黑体" w:cs="黑体"/>
                <w:b w:val="0"/>
                <w:bCs/>
                <w:color w:val="auto"/>
                <w:sz w:val="22"/>
                <w:szCs w:val="22"/>
                <w:highlight w:val="none"/>
                <w:lang w:val="en-US" w:eastAsia="zh-CN"/>
              </w:rPr>
              <w:t>0.5</w:t>
            </w:r>
            <w:r>
              <w:rPr>
                <w:rFonts w:hint="eastAsia" w:ascii="黑体" w:hAnsi="黑体" w:eastAsia="黑体" w:cs="黑体"/>
                <w:b w:val="0"/>
                <w:bCs/>
                <w:color w:val="auto"/>
                <w:sz w:val="22"/>
                <w:szCs w:val="22"/>
                <w:highlight w:val="none"/>
                <w:lang w:val="zh-CN" w:eastAsia="zh-CN"/>
              </w:rPr>
              <w:t>分。注：在投标文件，资信商务及技术文件部分，结尾处以附件形式提供CMA资质附表复印件，并标注页码；按招标文件格式，附件的要求，编制CMA资质覆盖率（缺项统计表），每个单项需指明，在CMA资质附表复印件中的页码，便于查证；CMA资质附表原件备查。</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zh-CN" w:eastAsia="zh-CN"/>
              </w:rPr>
            </w:pPr>
            <w:r>
              <w:rPr>
                <w:rFonts w:hint="eastAsia" w:ascii="黑体" w:hAnsi="黑体" w:eastAsia="黑体" w:cs="黑体"/>
                <w:b w:val="0"/>
                <w:bCs/>
                <w:color w:val="auto"/>
                <w:sz w:val="22"/>
                <w:szCs w:val="22"/>
                <w:highlight w:val="none"/>
                <w:lang w:val="en-US" w:eastAsia="zh-CN"/>
              </w:rPr>
              <w:t>2、</w:t>
            </w:r>
            <w:r>
              <w:rPr>
                <w:rFonts w:hint="eastAsia" w:ascii="黑体" w:hAnsi="黑体" w:eastAsia="黑体" w:cs="黑体"/>
                <w:b w:val="0"/>
                <w:bCs/>
                <w:color w:val="auto"/>
                <w:sz w:val="22"/>
                <w:szCs w:val="22"/>
                <w:highlight w:val="none"/>
                <w:lang w:val="zh-CN" w:eastAsia="zh-CN"/>
              </w:rPr>
              <w:t>投标人</w:t>
            </w:r>
            <w:r>
              <w:rPr>
                <w:rFonts w:hint="eastAsia" w:ascii="黑体" w:hAnsi="黑体" w:eastAsia="黑体" w:cs="黑体"/>
                <w:b w:val="0"/>
                <w:bCs/>
                <w:color w:val="auto"/>
                <w:sz w:val="22"/>
                <w:szCs w:val="22"/>
                <w:highlight w:val="none"/>
                <w:lang w:val="en-US" w:eastAsia="zh-CN"/>
              </w:rPr>
              <w:t>具有CNAS检测资质，得1分</w:t>
            </w:r>
            <w:r>
              <w:rPr>
                <w:rFonts w:hint="eastAsia" w:ascii="黑体" w:hAnsi="黑体" w:eastAsia="黑体" w:cs="黑体"/>
                <w:b w:val="0"/>
                <w:bCs/>
                <w:color w:val="auto"/>
                <w:sz w:val="22"/>
                <w:szCs w:val="22"/>
                <w:highlight w:val="none"/>
                <w:lang w:val="zh-CN" w:eastAsia="zh-CN"/>
              </w:rPr>
              <w:t>。</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val="en-US" w:eastAsia="zh-CN"/>
              </w:rPr>
              <w:t>3、投标人进入国家认证认可监督管理委员会、卫生部和农业部共同公布食品复检机构名录，得2分。如上一年度出现无正当理由拒绝业主单位复检委托情况的，本款不得分。</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3</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eastAsia="zh-CN"/>
              </w:rPr>
              <w:t>检测场地（</w:t>
            </w:r>
            <w:r>
              <w:rPr>
                <w:rFonts w:hint="eastAsia" w:ascii="黑体" w:hAnsi="黑体" w:eastAsia="黑体" w:cs="黑体"/>
                <w:b w:val="0"/>
                <w:bCs/>
                <w:color w:val="auto"/>
                <w:sz w:val="22"/>
                <w:szCs w:val="22"/>
                <w:highlight w:val="none"/>
                <w:lang w:val="en-US" w:eastAsia="zh-CN"/>
              </w:rPr>
              <w:t>11</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1、具有有满足检测工作需要的、独立、固定的食品检测场地，检测场地面积4000㎡（不含）以下得1分；4000㎡6000㎡（不含）得2分，6000㎡的（含）以上得3分。（提供实验室布局图，自有场地的提供房产证复印件并加盖公章。租用场地的提供房屋租赁合同复印件并加盖公章。）</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2、在浙江省内有实验室且满足上述食品检测场地要求的，得5分。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val="en-US" w:eastAsia="zh-CN"/>
              </w:rPr>
              <w:t>3、以龙游县为中心，服务半径200km以内得3分，200-300km得1分，超过300km的不得分。</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4</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检测设备配置情况（1</w:t>
            </w:r>
            <w:r>
              <w:rPr>
                <w:rFonts w:hint="eastAsia" w:ascii="黑体" w:hAnsi="黑体" w:eastAsia="黑体" w:cs="黑体"/>
                <w:b w:val="0"/>
                <w:bCs/>
                <w:color w:val="auto"/>
                <w:sz w:val="22"/>
                <w:szCs w:val="22"/>
                <w:highlight w:val="none"/>
                <w:lang w:val="en-US" w:eastAsia="zh-CN"/>
              </w:rPr>
              <w:t>6</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根据投标人所提供的检测仪器设备，是否有满足检测需求的液质联用仪、气质联用仪、电感耦合等离子质谱仪</w:t>
            </w:r>
            <w:r>
              <w:rPr>
                <w:rFonts w:hint="eastAsia" w:ascii="黑体" w:hAnsi="黑体" w:eastAsia="黑体" w:cs="黑体"/>
                <w:b w:val="0"/>
                <w:bCs/>
                <w:color w:val="auto"/>
                <w:sz w:val="22"/>
                <w:szCs w:val="22"/>
                <w:highlight w:val="none"/>
                <w:lang w:val="en-US" w:eastAsia="zh-CN"/>
              </w:rPr>
              <w:t>等仪器</w:t>
            </w:r>
            <w:r>
              <w:rPr>
                <w:rFonts w:hint="eastAsia" w:ascii="黑体" w:hAnsi="黑体" w:eastAsia="黑体" w:cs="黑体"/>
                <w:b w:val="0"/>
                <w:bCs/>
                <w:color w:val="auto"/>
                <w:sz w:val="22"/>
                <w:szCs w:val="22"/>
                <w:highlight w:val="none"/>
                <w:lang w:eastAsia="zh-CN"/>
              </w:rPr>
              <w:t>和配备的仪器设备数量是否能满足大批量样品的检测周期需要情况进行评分：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液质联用仪每套得1分，满分3分；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气质联用仪每套得1分，满分3分；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电感耦合等离子质谱仪每套得1分，满分2分；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液相色谱仪每套得0.5分，满分1分；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气相色谱仪每套得0.5分，满分1分；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原子吸收光谱仪每套得0.5分，满分1分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液相色谱-原子荧光光谱仪每套得0.5分，满分1分，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电感耦合等离子体发射光谱仪每套得0.5分，满分1分；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离子色谱仪、紫外可见分光光度计、原子荧光光谱仪、PCR仪、全自动微生物鉴定仪等每套得0.2分，满分1分；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en-US" w:eastAsia="zh-CN"/>
              </w:rPr>
            </w:pPr>
            <w:r>
              <w:rPr>
                <w:rFonts w:hint="eastAsia" w:ascii="黑体" w:hAnsi="黑体" w:eastAsia="黑体" w:cs="黑体"/>
                <w:b w:val="0"/>
                <w:bCs/>
                <w:color w:val="auto"/>
                <w:sz w:val="22"/>
                <w:szCs w:val="22"/>
                <w:highlight w:val="none"/>
                <w:lang w:val="en-US" w:eastAsia="zh-CN"/>
              </w:rPr>
              <w:t>（提供设备清单、采购合同和发票、检定/校准证书等证明材料）</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val="en-US" w:eastAsia="zh-CN"/>
              </w:rPr>
              <w:t>2、投标人实验室拥有冷库容积≥300 m³的得2分，300 m³＞冷库容积≥100 m³的得1分，100 m³以下不得分。（投标人须提供冷库装修合同的复印件或发票复印件及容积测量证明，以上材料未提供的不得分。</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5</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投标人能力</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w:t>
            </w:r>
            <w:r>
              <w:rPr>
                <w:rFonts w:hint="eastAsia" w:ascii="黑体" w:hAnsi="黑体" w:eastAsia="黑体" w:cs="黑体"/>
                <w:b w:val="0"/>
                <w:bCs/>
                <w:color w:val="auto"/>
                <w:sz w:val="22"/>
                <w:szCs w:val="22"/>
                <w:highlight w:val="none"/>
                <w:lang w:val="en-US" w:eastAsia="zh-CN"/>
              </w:rPr>
              <w:t>11</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1、投标人具备国家市场监管总局等部委批复的国家级食品或农产品检测中心或重点实验室资质的，得2分。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2、投标人为市场监督部门“守合同重信用”企业的得</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val="en-US" w:eastAsia="zh-CN"/>
              </w:rPr>
              <w:t>3、</w:t>
            </w:r>
            <w:r>
              <w:rPr>
                <w:rFonts w:hint="eastAsia" w:ascii="黑体" w:hAnsi="黑体" w:eastAsia="黑体" w:cs="黑体"/>
                <w:b w:val="0"/>
                <w:bCs/>
                <w:color w:val="auto"/>
                <w:sz w:val="22"/>
                <w:szCs w:val="22"/>
                <w:highlight w:val="none"/>
                <w:lang w:eastAsia="zh-CN"/>
              </w:rPr>
              <w:t>投标人具有PCR专用扩增室的情况进行评分，得2分。（需提供相关证明材料，如实验室检验区布局图、实体图片等，未提供的不得分）。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4、投标人</w:t>
            </w:r>
            <w:r>
              <w:rPr>
                <w:rFonts w:hint="eastAsia" w:ascii="黑体" w:hAnsi="黑体" w:eastAsia="黑体" w:cs="黑体"/>
                <w:b w:val="0"/>
                <w:bCs/>
                <w:color w:val="auto"/>
                <w:sz w:val="22"/>
                <w:szCs w:val="22"/>
                <w:highlight w:val="none"/>
                <w:lang w:val="en-US" w:eastAsia="zh-CN"/>
              </w:rPr>
              <w:t>近三年</w:t>
            </w:r>
            <w:r>
              <w:rPr>
                <w:rFonts w:hint="eastAsia" w:ascii="黑体" w:hAnsi="黑体" w:eastAsia="黑体" w:cs="黑体"/>
                <w:b w:val="0"/>
                <w:bCs/>
                <w:color w:val="auto"/>
                <w:sz w:val="22"/>
                <w:szCs w:val="22"/>
                <w:highlight w:val="none"/>
                <w:lang w:eastAsia="zh-CN"/>
              </w:rPr>
              <w:t>（201</w:t>
            </w:r>
            <w:r>
              <w:rPr>
                <w:rFonts w:hint="eastAsia" w:ascii="黑体" w:hAnsi="黑体" w:eastAsia="黑体" w:cs="黑体"/>
                <w:b w:val="0"/>
                <w:bCs/>
                <w:color w:val="auto"/>
                <w:sz w:val="22"/>
                <w:szCs w:val="22"/>
                <w:highlight w:val="none"/>
                <w:lang w:val="en-US" w:eastAsia="zh-CN"/>
              </w:rPr>
              <w:t>9</w:t>
            </w:r>
            <w:r>
              <w:rPr>
                <w:rFonts w:hint="eastAsia" w:ascii="黑体" w:hAnsi="黑体" w:eastAsia="黑体" w:cs="黑体"/>
                <w:b w:val="0"/>
                <w:bCs/>
                <w:color w:val="auto"/>
                <w:sz w:val="22"/>
                <w:szCs w:val="22"/>
                <w:highlight w:val="none"/>
                <w:lang w:eastAsia="zh-CN"/>
              </w:rPr>
              <w:t>-202</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w:t>
            </w:r>
            <w:r>
              <w:rPr>
                <w:rFonts w:hint="eastAsia" w:ascii="黑体" w:hAnsi="黑体" w:eastAsia="黑体" w:cs="黑体"/>
                <w:b w:val="0"/>
                <w:bCs/>
                <w:color w:val="auto"/>
                <w:sz w:val="22"/>
                <w:szCs w:val="22"/>
                <w:highlight w:val="none"/>
                <w:lang w:val="en-US" w:eastAsia="zh-CN"/>
              </w:rPr>
              <w:t>参加国家相关机构组织的实验室能力验证并取得满意结果每次得1分</w:t>
            </w:r>
            <w:r>
              <w:rPr>
                <w:rFonts w:hint="eastAsia" w:ascii="黑体" w:hAnsi="黑体" w:eastAsia="黑体" w:cs="黑体"/>
                <w:b w:val="0"/>
                <w:bCs/>
                <w:color w:val="auto"/>
                <w:sz w:val="22"/>
                <w:szCs w:val="22"/>
                <w:highlight w:val="none"/>
                <w:lang w:eastAsia="zh-CN"/>
              </w:rPr>
              <w:t>，</w:t>
            </w:r>
            <w:r>
              <w:rPr>
                <w:rFonts w:hint="eastAsia" w:ascii="黑体" w:hAnsi="黑体" w:eastAsia="黑体" w:cs="黑体"/>
                <w:b w:val="0"/>
                <w:bCs/>
                <w:color w:val="auto"/>
                <w:sz w:val="22"/>
                <w:szCs w:val="22"/>
                <w:highlight w:val="none"/>
                <w:lang w:val="en-US" w:eastAsia="zh-CN"/>
              </w:rPr>
              <w:t>参加省级相关机构组织的实验室能力验证并取得满意结果每次得0.5分，满分3</w:t>
            </w:r>
            <w:r>
              <w:rPr>
                <w:rFonts w:hint="eastAsia" w:ascii="黑体" w:hAnsi="黑体" w:eastAsia="黑体" w:cs="黑体"/>
                <w:b w:val="0"/>
                <w:bCs/>
                <w:color w:val="auto"/>
                <w:sz w:val="22"/>
                <w:szCs w:val="22"/>
                <w:highlight w:val="none"/>
                <w:lang w:eastAsia="zh-CN"/>
              </w:rPr>
              <w:t>分。（</w:t>
            </w:r>
            <w:r>
              <w:rPr>
                <w:rFonts w:hint="eastAsia" w:ascii="黑体" w:hAnsi="黑体" w:eastAsia="黑体" w:cs="黑体"/>
                <w:b w:val="0"/>
                <w:bCs/>
                <w:color w:val="auto"/>
                <w:sz w:val="22"/>
                <w:szCs w:val="22"/>
                <w:highlight w:val="none"/>
                <w:lang w:val="en-US" w:eastAsia="zh-CN"/>
              </w:rPr>
              <w:t>提供能力验证满意证书等相关证明材料作为得分依据，</w:t>
            </w:r>
            <w:r>
              <w:rPr>
                <w:rFonts w:hint="eastAsia" w:ascii="黑体" w:hAnsi="黑体" w:eastAsia="黑体" w:cs="黑体"/>
                <w:b w:val="0"/>
                <w:bCs/>
                <w:color w:val="auto"/>
                <w:sz w:val="22"/>
                <w:szCs w:val="22"/>
                <w:highlight w:val="none"/>
                <w:lang w:eastAsia="zh-CN"/>
              </w:rPr>
              <w:t>能力验证项目应是食品领域的，以投标人提供的能力验证证书等相关证明材料原件扫描件并加盖电子公章为得分依据）</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val="en-US" w:eastAsia="zh-CN"/>
              </w:rPr>
              <w:t>5、投标人在国内建有多个通过CMA资质的食品检测实验室（实验室须为同一法人代表），以省（自治区、直辖市）行政区域为单位，并且能及时与龙游局共享食品安全风险数据的，每拥有1个，得1分，满分3分（须提供CMA资质认定和认可证书复印件、营业执照、法人证书复印件、出资证明并加盖公章，未提供者不得分）</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6</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方案及制度</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w:t>
            </w:r>
            <w:r>
              <w:rPr>
                <w:rFonts w:hint="eastAsia" w:ascii="黑体" w:hAnsi="黑体" w:eastAsia="黑体" w:cs="黑体"/>
                <w:b w:val="0"/>
                <w:bCs/>
                <w:color w:val="auto"/>
                <w:sz w:val="22"/>
                <w:szCs w:val="22"/>
                <w:highlight w:val="none"/>
                <w:lang w:val="en-US" w:eastAsia="zh-CN"/>
              </w:rPr>
              <w:t>5</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 xml:space="preserve">根据投标人在项目实施过程中的安全保障措施以及质量控制管理制度（包括是否具有完善的食品安全检验工作制度、检验责任追究制度、检验档案管理制度,是否能按照招标人的要求及时汇总上报检测结果及分析报告的相关措施或方案)的优劣性情况酌情评分；总分 </w:t>
            </w:r>
            <w:r>
              <w:rPr>
                <w:rFonts w:hint="eastAsia" w:ascii="黑体" w:hAnsi="黑体" w:eastAsia="黑体" w:cs="黑体"/>
                <w:b w:val="0"/>
                <w:bCs/>
                <w:color w:val="auto"/>
                <w:sz w:val="22"/>
                <w:szCs w:val="22"/>
                <w:highlight w:val="none"/>
                <w:lang w:val="en-US" w:eastAsia="zh-CN"/>
              </w:rPr>
              <w:t>5</w:t>
            </w:r>
            <w:r>
              <w:rPr>
                <w:rFonts w:hint="eastAsia" w:ascii="黑体" w:hAnsi="黑体" w:eastAsia="黑体" w:cs="黑体"/>
                <w:b w:val="0"/>
                <w:bCs/>
                <w:color w:val="auto"/>
                <w:sz w:val="22"/>
                <w:szCs w:val="22"/>
                <w:highlight w:val="none"/>
                <w:lang w:eastAsia="zh-CN"/>
              </w:rPr>
              <w:t>分</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7</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投标人人员能力</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（1</w:t>
            </w:r>
            <w:r>
              <w:rPr>
                <w:rFonts w:hint="eastAsia" w:ascii="黑体" w:hAnsi="黑体" w:eastAsia="黑体" w:cs="黑体"/>
                <w:b w:val="0"/>
                <w:bCs/>
                <w:color w:val="auto"/>
                <w:sz w:val="22"/>
                <w:szCs w:val="22"/>
                <w:highlight w:val="none"/>
                <w:lang w:val="en-US" w:eastAsia="zh-CN"/>
              </w:rPr>
              <w:t>2</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zh-CN" w:eastAsia="zh-CN"/>
              </w:rPr>
            </w:pPr>
            <w:r>
              <w:rPr>
                <w:rFonts w:hint="eastAsia" w:ascii="黑体" w:hAnsi="黑体" w:eastAsia="黑体" w:cs="黑体"/>
                <w:b w:val="0"/>
                <w:bCs/>
                <w:color w:val="auto"/>
                <w:sz w:val="22"/>
                <w:szCs w:val="22"/>
                <w:highlight w:val="none"/>
                <w:lang w:val="zh-CN" w:eastAsia="zh-CN"/>
              </w:rPr>
              <w:t>1、项目负责人：具有相关专业正高级职称且在本单位工作</w:t>
            </w:r>
            <w:r>
              <w:rPr>
                <w:rFonts w:hint="eastAsia" w:ascii="黑体" w:hAnsi="黑体" w:eastAsia="黑体" w:cs="黑体"/>
                <w:b w:val="0"/>
                <w:bCs/>
                <w:color w:val="auto"/>
                <w:sz w:val="22"/>
                <w:szCs w:val="22"/>
                <w:highlight w:val="none"/>
                <w:lang w:val="en-US" w:eastAsia="zh-CN"/>
              </w:rPr>
              <w:t>3</w:t>
            </w:r>
            <w:r>
              <w:rPr>
                <w:rFonts w:hint="eastAsia" w:ascii="黑体" w:hAnsi="黑体" w:eastAsia="黑体" w:cs="黑体"/>
                <w:b w:val="0"/>
                <w:bCs/>
                <w:color w:val="auto"/>
                <w:sz w:val="22"/>
                <w:szCs w:val="22"/>
                <w:highlight w:val="none"/>
                <w:lang w:val="zh-CN" w:eastAsia="zh-CN"/>
              </w:rPr>
              <w:t>年以上的</w:t>
            </w:r>
            <w:r>
              <w:rPr>
                <w:rFonts w:hint="eastAsia" w:ascii="黑体" w:hAnsi="黑体" w:eastAsia="黑体" w:cs="黑体"/>
                <w:b w:val="0"/>
                <w:bCs/>
                <w:color w:val="auto"/>
                <w:sz w:val="22"/>
                <w:szCs w:val="22"/>
                <w:highlight w:val="none"/>
                <w:lang w:val="en-US" w:eastAsia="zh-CN"/>
              </w:rPr>
              <w:t>每人得2分，满分2</w:t>
            </w:r>
            <w:r>
              <w:rPr>
                <w:rFonts w:hint="eastAsia" w:ascii="黑体" w:hAnsi="黑体" w:eastAsia="黑体" w:cs="黑体"/>
                <w:b w:val="0"/>
                <w:bCs/>
                <w:color w:val="auto"/>
                <w:sz w:val="22"/>
                <w:szCs w:val="22"/>
                <w:highlight w:val="none"/>
                <w:lang w:val="zh-CN" w:eastAsia="zh-CN"/>
              </w:rPr>
              <w:t>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zh-CN" w:eastAsia="zh-CN"/>
              </w:rPr>
            </w:pPr>
            <w:r>
              <w:rPr>
                <w:rFonts w:hint="eastAsia" w:ascii="黑体" w:hAnsi="黑体" w:eastAsia="黑体" w:cs="黑体"/>
                <w:b w:val="0"/>
                <w:bCs/>
                <w:color w:val="auto"/>
                <w:sz w:val="22"/>
                <w:szCs w:val="22"/>
                <w:highlight w:val="none"/>
                <w:lang w:val="zh-CN" w:eastAsia="zh-CN"/>
              </w:rPr>
              <w:t>2、主要技术人员：具有相关专业高级职称（含副高）且在本单位工作</w:t>
            </w:r>
            <w:r>
              <w:rPr>
                <w:rFonts w:hint="eastAsia" w:ascii="黑体" w:hAnsi="黑体" w:eastAsia="黑体" w:cs="黑体"/>
                <w:b w:val="0"/>
                <w:bCs/>
                <w:color w:val="auto"/>
                <w:sz w:val="22"/>
                <w:szCs w:val="22"/>
                <w:highlight w:val="none"/>
                <w:lang w:val="en-US" w:eastAsia="zh-CN"/>
              </w:rPr>
              <w:t>3</w:t>
            </w:r>
            <w:r>
              <w:rPr>
                <w:rFonts w:hint="eastAsia" w:ascii="黑体" w:hAnsi="黑体" w:eastAsia="黑体" w:cs="黑体"/>
                <w:b w:val="0"/>
                <w:bCs/>
                <w:color w:val="auto"/>
                <w:sz w:val="22"/>
                <w:szCs w:val="22"/>
                <w:highlight w:val="none"/>
                <w:lang w:val="zh-CN" w:eastAsia="zh-CN"/>
              </w:rPr>
              <w:t>年以上的，每</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val="zh-CN" w:eastAsia="zh-CN"/>
              </w:rPr>
              <w:t>人得</w:t>
            </w:r>
            <w:r>
              <w:rPr>
                <w:rFonts w:hint="eastAsia" w:ascii="黑体" w:hAnsi="黑体" w:eastAsia="黑体" w:cs="黑体"/>
                <w:b w:val="0"/>
                <w:bCs/>
                <w:color w:val="auto"/>
                <w:sz w:val="22"/>
                <w:szCs w:val="22"/>
                <w:highlight w:val="none"/>
                <w:lang w:val="en-US" w:eastAsia="zh-CN"/>
              </w:rPr>
              <w:t>0.5</w:t>
            </w:r>
            <w:r>
              <w:rPr>
                <w:rFonts w:hint="eastAsia" w:ascii="黑体" w:hAnsi="黑体" w:eastAsia="黑体" w:cs="黑体"/>
                <w:b w:val="0"/>
                <w:bCs/>
                <w:color w:val="auto"/>
                <w:sz w:val="22"/>
                <w:szCs w:val="22"/>
                <w:highlight w:val="none"/>
                <w:lang w:val="zh-CN" w:eastAsia="zh-CN"/>
              </w:rPr>
              <w:t>分，满分</w:t>
            </w:r>
            <w:r>
              <w:rPr>
                <w:rFonts w:hint="eastAsia" w:ascii="黑体" w:hAnsi="黑体" w:eastAsia="黑体" w:cs="黑体"/>
                <w:b w:val="0"/>
                <w:bCs/>
                <w:color w:val="auto"/>
                <w:sz w:val="22"/>
                <w:szCs w:val="22"/>
                <w:highlight w:val="none"/>
                <w:lang w:val="en-US" w:eastAsia="zh-CN"/>
              </w:rPr>
              <w:t>7</w:t>
            </w:r>
            <w:r>
              <w:rPr>
                <w:rFonts w:hint="eastAsia" w:ascii="黑体" w:hAnsi="黑体" w:eastAsia="黑体" w:cs="黑体"/>
                <w:b w:val="0"/>
                <w:bCs/>
                <w:color w:val="auto"/>
                <w:sz w:val="22"/>
                <w:szCs w:val="22"/>
                <w:highlight w:val="none"/>
                <w:lang w:val="zh-CN" w:eastAsia="zh-CN"/>
              </w:rPr>
              <w:t>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val="zh-CN" w:eastAsia="zh-CN"/>
              </w:rPr>
            </w:pPr>
            <w:r>
              <w:rPr>
                <w:rFonts w:hint="eastAsia" w:ascii="黑体" w:hAnsi="黑体" w:eastAsia="黑体" w:cs="黑体"/>
                <w:b w:val="0"/>
                <w:bCs/>
                <w:color w:val="auto"/>
                <w:sz w:val="22"/>
                <w:szCs w:val="22"/>
                <w:highlight w:val="none"/>
                <w:lang w:val="zh-CN" w:eastAsia="zh-CN"/>
              </w:rPr>
              <w:t>3、一线检测人员：在本单位从事一线食品检测岗位，且己满3年的工作人员，每</w:t>
            </w:r>
            <w:r>
              <w:rPr>
                <w:rFonts w:hint="eastAsia" w:ascii="黑体" w:hAnsi="黑体" w:eastAsia="黑体" w:cs="黑体"/>
                <w:b w:val="0"/>
                <w:bCs/>
                <w:color w:val="auto"/>
                <w:sz w:val="22"/>
                <w:szCs w:val="22"/>
                <w:highlight w:val="none"/>
                <w:lang w:val="en-US" w:eastAsia="zh-CN"/>
              </w:rPr>
              <w:t>2</w:t>
            </w:r>
            <w:r>
              <w:rPr>
                <w:rFonts w:hint="eastAsia" w:ascii="黑体" w:hAnsi="黑体" w:eastAsia="黑体" w:cs="黑体"/>
                <w:b w:val="0"/>
                <w:bCs/>
                <w:color w:val="auto"/>
                <w:sz w:val="22"/>
                <w:szCs w:val="22"/>
                <w:highlight w:val="none"/>
                <w:lang w:val="zh-CN" w:eastAsia="zh-CN"/>
              </w:rPr>
              <w:t>人得0.1分，满分3分；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val="en-US" w:eastAsia="zh-CN"/>
              </w:rPr>
              <w:t>（以上须为单位在职员工，并须提供技术职称原件及近六个月社保证明（或提供网上查询社保账号））。</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3915"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8</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投标人同类项目业绩服务能力情况</w:t>
            </w:r>
            <w:r>
              <w:rPr>
                <w:rFonts w:hint="eastAsia" w:ascii="黑体" w:hAnsi="黑体" w:eastAsia="黑体" w:cs="黑体"/>
                <w:b w:val="0"/>
                <w:bCs/>
                <w:color w:val="auto"/>
                <w:sz w:val="22"/>
                <w:szCs w:val="22"/>
                <w:highlight w:val="none"/>
                <w:lang w:val="en-US" w:eastAsia="zh-CN"/>
              </w:rPr>
              <w:t xml:space="preserve">    </w:t>
            </w:r>
            <w:r>
              <w:rPr>
                <w:rFonts w:hint="eastAsia" w:ascii="黑体" w:hAnsi="黑体" w:eastAsia="黑体" w:cs="黑体"/>
                <w:b w:val="0"/>
                <w:bCs/>
                <w:color w:val="auto"/>
                <w:sz w:val="22"/>
                <w:szCs w:val="22"/>
                <w:highlight w:val="none"/>
                <w:lang w:eastAsia="zh-CN"/>
              </w:rPr>
              <w:t>（</w:t>
            </w:r>
            <w:r>
              <w:rPr>
                <w:rFonts w:hint="eastAsia" w:ascii="黑体" w:hAnsi="黑体" w:eastAsia="黑体" w:cs="黑体"/>
                <w:b w:val="0"/>
                <w:bCs/>
                <w:color w:val="auto"/>
                <w:sz w:val="22"/>
                <w:szCs w:val="22"/>
                <w:highlight w:val="none"/>
                <w:lang w:val="en-US" w:eastAsia="zh-CN"/>
              </w:rPr>
              <w:t>13</w:t>
            </w:r>
            <w:r>
              <w:rPr>
                <w:rFonts w:hint="eastAsia" w:ascii="黑体" w:hAnsi="黑体" w:eastAsia="黑体" w:cs="黑体"/>
                <w:b w:val="0"/>
                <w:bCs/>
                <w:color w:val="auto"/>
                <w:sz w:val="22"/>
                <w:szCs w:val="22"/>
                <w:highlight w:val="none"/>
                <w:lang w:eastAsia="zh-CN"/>
              </w:rPr>
              <w:t>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1、201</w:t>
            </w:r>
            <w:r>
              <w:rPr>
                <w:rFonts w:hint="eastAsia" w:ascii="黑体" w:hAnsi="黑体" w:eastAsia="黑体" w:cs="黑体"/>
                <w:b w:val="0"/>
                <w:bCs/>
                <w:color w:val="auto"/>
                <w:sz w:val="22"/>
                <w:szCs w:val="22"/>
                <w:highlight w:val="none"/>
                <w:lang w:val="en-US" w:eastAsia="zh-CN"/>
              </w:rPr>
              <w:t>9</w:t>
            </w:r>
            <w:r>
              <w:rPr>
                <w:rFonts w:hint="eastAsia" w:ascii="黑体" w:hAnsi="黑体" w:eastAsia="黑体" w:cs="黑体"/>
                <w:b w:val="0"/>
                <w:bCs/>
                <w:color w:val="auto"/>
                <w:sz w:val="22"/>
                <w:szCs w:val="22"/>
                <w:highlight w:val="none"/>
                <w:lang w:eastAsia="zh-CN"/>
              </w:rPr>
              <w:t>年以来承担国</w:t>
            </w:r>
            <w:r>
              <w:rPr>
                <w:rFonts w:hint="eastAsia" w:ascii="黑体" w:hAnsi="黑体" w:eastAsia="黑体" w:cs="黑体"/>
                <w:b w:val="0"/>
                <w:bCs/>
                <w:color w:val="auto"/>
                <w:sz w:val="22"/>
                <w:szCs w:val="22"/>
                <w:highlight w:val="none"/>
                <w:lang w:val="en-US" w:eastAsia="zh-CN"/>
              </w:rPr>
              <w:t>家</w:t>
            </w:r>
            <w:r>
              <w:rPr>
                <w:rFonts w:hint="eastAsia" w:ascii="黑体" w:hAnsi="黑体" w:eastAsia="黑体" w:cs="黑体"/>
                <w:b w:val="0"/>
                <w:bCs/>
                <w:color w:val="auto"/>
                <w:sz w:val="22"/>
                <w:szCs w:val="22"/>
                <w:highlight w:val="none"/>
                <w:lang w:eastAsia="zh-CN"/>
              </w:rPr>
              <w:t>级食品安全监督抽检任务的，每个得1分，满分3分；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承担过省级食品安全监督抽检任务的，每个0.5分，共2分；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承担过市级及以下食品监督抽检任务的，每个0.2分，共</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分。（需提供中标通知书或合同等相关证明材料）</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2、投标人202</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年承担的省市县级市场监督管理部门年度食品安全抽样检测任务中，发现食品（餐具不计入）不合格率高于3%的，每个地区得2分，最多</w:t>
            </w:r>
            <w:r>
              <w:rPr>
                <w:rFonts w:hint="eastAsia" w:ascii="黑体" w:hAnsi="黑体" w:eastAsia="黑体" w:cs="黑体"/>
                <w:b w:val="0"/>
                <w:bCs/>
                <w:color w:val="auto"/>
                <w:sz w:val="22"/>
                <w:szCs w:val="22"/>
                <w:highlight w:val="none"/>
                <w:lang w:val="en-US" w:eastAsia="zh-CN"/>
              </w:rPr>
              <w:t>4</w:t>
            </w:r>
            <w:r>
              <w:rPr>
                <w:rFonts w:hint="eastAsia" w:ascii="黑体" w:hAnsi="黑体" w:eastAsia="黑体" w:cs="黑体"/>
                <w:b w:val="0"/>
                <w:bCs/>
                <w:color w:val="auto"/>
                <w:sz w:val="22"/>
                <w:szCs w:val="22"/>
                <w:highlight w:val="none"/>
                <w:lang w:eastAsia="zh-CN"/>
              </w:rPr>
              <w:t>分。（提供相关任务来源、客户评价表，要求提供当地市场监督管理部门的证明并加盖公章）</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3、投标人具有配合公安等办案食品检测经历，提供相关公安检定聘请书委托书或检测报告复印件，每提供一份得0.5分，共</w:t>
            </w:r>
            <w:r>
              <w:rPr>
                <w:rFonts w:hint="eastAsia" w:ascii="黑体" w:hAnsi="黑体" w:eastAsia="黑体" w:cs="黑体"/>
                <w:b w:val="0"/>
                <w:bCs/>
                <w:color w:val="auto"/>
                <w:sz w:val="22"/>
                <w:szCs w:val="22"/>
                <w:highlight w:val="none"/>
                <w:lang w:val="en-US" w:eastAsia="zh-CN"/>
              </w:rPr>
              <w:t>3</w:t>
            </w:r>
            <w:r>
              <w:rPr>
                <w:rFonts w:hint="eastAsia" w:ascii="黑体" w:hAnsi="黑体" w:eastAsia="黑体" w:cs="黑体"/>
                <w:b w:val="0"/>
                <w:bCs/>
                <w:color w:val="auto"/>
                <w:sz w:val="22"/>
                <w:szCs w:val="22"/>
                <w:highlight w:val="none"/>
                <w:lang w:eastAsia="zh-CN"/>
              </w:rPr>
              <w:t>分，没有的不得分。</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9</w:t>
            </w:r>
          </w:p>
        </w:tc>
        <w:tc>
          <w:tcPr>
            <w:tcW w:w="15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投标人技术支持情况（</w:t>
            </w:r>
            <w:r>
              <w:rPr>
                <w:rFonts w:hint="eastAsia" w:ascii="黑体" w:hAnsi="黑体" w:eastAsia="黑体" w:cs="黑体"/>
                <w:b w:val="0"/>
                <w:bCs/>
                <w:color w:val="auto"/>
                <w:sz w:val="22"/>
                <w:szCs w:val="22"/>
                <w:highlight w:val="none"/>
                <w:lang w:val="en-US" w:eastAsia="zh-CN"/>
              </w:rPr>
              <w:t>6</w:t>
            </w:r>
            <w:r>
              <w:rPr>
                <w:rFonts w:hint="eastAsia" w:ascii="黑体" w:hAnsi="黑体" w:eastAsia="黑体" w:cs="黑体"/>
                <w:b w:val="0"/>
                <w:bCs/>
                <w:color w:val="auto"/>
                <w:sz w:val="22"/>
                <w:szCs w:val="22"/>
                <w:highlight w:val="none"/>
                <w:lang w:eastAsia="zh-CN"/>
              </w:rPr>
              <w:t>分）</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1、投标人承诺提供检测结果分析报告及技术培训服务的得</w:t>
            </w:r>
            <w:r>
              <w:rPr>
                <w:rFonts w:hint="eastAsia" w:ascii="黑体" w:hAnsi="黑体" w:eastAsia="黑体" w:cs="黑体"/>
                <w:b w:val="0"/>
                <w:bCs/>
                <w:color w:val="auto"/>
                <w:sz w:val="22"/>
                <w:szCs w:val="22"/>
                <w:highlight w:val="none"/>
                <w:lang w:val="en-US" w:eastAsia="zh-CN"/>
              </w:rPr>
              <w:t>2</w:t>
            </w:r>
            <w:r>
              <w:rPr>
                <w:rFonts w:hint="eastAsia" w:ascii="黑体" w:hAnsi="黑体" w:eastAsia="黑体" w:cs="黑体"/>
                <w:b w:val="0"/>
                <w:bCs/>
                <w:color w:val="auto"/>
                <w:sz w:val="22"/>
                <w:szCs w:val="22"/>
                <w:highlight w:val="none"/>
                <w:lang w:eastAsia="zh-CN"/>
              </w:rPr>
              <w:t>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2、投标人承诺报告出具时间为10个工作日的得</w:t>
            </w:r>
            <w:r>
              <w:rPr>
                <w:rFonts w:hint="eastAsia" w:ascii="黑体" w:hAnsi="黑体" w:eastAsia="黑体" w:cs="黑体"/>
                <w:b w:val="0"/>
                <w:bCs/>
                <w:color w:val="auto"/>
                <w:sz w:val="22"/>
                <w:szCs w:val="22"/>
                <w:highlight w:val="none"/>
                <w:lang w:val="en-US" w:eastAsia="zh-CN"/>
              </w:rPr>
              <w:t>2</w:t>
            </w:r>
            <w:r>
              <w:rPr>
                <w:rFonts w:hint="eastAsia" w:ascii="黑体" w:hAnsi="黑体" w:eastAsia="黑体" w:cs="黑体"/>
                <w:b w:val="0"/>
                <w:bCs/>
                <w:color w:val="auto"/>
                <w:sz w:val="22"/>
                <w:szCs w:val="22"/>
                <w:highlight w:val="none"/>
                <w:lang w:eastAsia="zh-CN"/>
              </w:rPr>
              <w:t>分，</w:t>
            </w:r>
            <w:r>
              <w:rPr>
                <w:rFonts w:hint="eastAsia" w:ascii="黑体" w:hAnsi="黑体" w:eastAsia="黑体" w:cs="黑体"/>
                <w:b w:val="0"/>
                <w:bCs/>
                <w:color w:val="auto"/>
                <w:sz w:val="22"/>
                <w:szCs w:val="22"/>
                <w:highlight w:val="none"/>
                <w:lang w:val="en-US" w:eastAsia="zh-CN"/>
              </w:rPr>
              <w:t>15个工作日得1分，20个工作日和超过20个工作日不得分</w:t>
            </w:r>
            <w:r>
              <w:rPr>
                <w:rFonts w:hint="eastAsia" w:ascii="黑体" w:hAnsi="黑体" w:eastAsia="黑体" w:cs="黑体"/>
                <w:b w:val="0"/>
                <w:bCs/>
                <w:color w:val="auto"/>
                <w:sz w:val="22"/>
                <w:szCs w:val="22"/>
                <w:highlight w:val="none"/>
                <w:lang w:eastAsia="zh-CN"/>
              </w:rPr>
              <w:t>。</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3、201</w:t>
            </w:r>
            <w:r>
              <w:rPr>
                <w:rFonts w:hint="eastAsia" w:ascii="黑体" w:hAnsi="黑体" w:eastAsia="黑体" w:cs="黑体"/>
                <w:b w:val="0"/>
                <w:bCs/>
                <w:color w:val="auto"/>
                <w:sz w:val="22"/>
                <w:szCs w:val="22"/>
                <w:highlight w:val="none"/>
                <w:lang w:val="en-US" w:eastAsia="zh-CN"/>
              </w:rPr>
              <w:t>9</w:t>
            </w:r>
            <w:r>
              <w:rPr>
                <w:rFonts w:hint="eastAsia" w:ascii="黑体" w:hAnsi="黑体" w:eastAsia="黑体" w:cs="黑体"/>
                <w:b w:val="0"/>
                <w:bCs/>
                <w:color w:val="auto"/>
                <w:sz w:val="22"/>
                <w:szCs w:val="22"/>
                <w:highlight w:val="none"/>
                <w:lang w:eastAsia="zh-CN"/>
              </w:rPr>
              <w:t>年以来，投标人每承接一次政府委托的餐饮、生产、流通企业审核检查或者对食品检验机构进行能力验证现场检查业务的得0.5分，满分1分（提供合同或委托批文复印件加盖公章，原件备查，否则不得分）。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4、201</w:t>
            </w:r>
            <w:r>
              <w:rPr>
                <w:rFonts w:hint="eastAsia" w:ascii="黑体" w:hAnsi="黑体" w:eastAsia="黑体" w:cs="黑体"/>
                <w:b w:val="0"/>
                <w:bCs/>
                <w:color w:val="auto"/>
                <w:sz w:val="22"/>
                <w:szCs w:val="22"/>
                <w:highlight w:val="none"/>
                <w:lang w:val="en-US" w:eastAsia="zh-CN"/>
              </w:rPr>
              <w:t>9</w:t>
            </w:r>
            <w:r>
              <w:rPr>
                <w:rFonts w:hint="eastAsia" w:ascii="黑体" w:hAnsi="黑体" w:eastAsia="黑体" w:cs="黑体"/>
                <w:b w:val="0"/>
                <w:bCs/>
                <w:color w:val="auto"/>
                <w:sz w:val="22"/>
                <w:szCs w:val="22"/>
                <w:highlight w:val="none"/>
                <w:lang w:eastAsia="zh-CN"/>
              </w:rPr>
              <w:t>年以来，投标人配合市场监管部门提供重大食品安全活动保障的，每次得0.5分，满分1分。</w:t>
            </w:r>
          </w:p>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（以上必须提供书面说明或证明材料。）</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4" w:type="dxa"/>
            <w:tcBorders>
              <w:tl2br w:val="nil"/>
              <w:tr2bl w:val="nil"/>
            </w:tcBorders>
            <w:shd w:val="clear" w:color="auto" w:fill="FFFFFF"/>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10</w:t>
            </w:r>
          </w:p>
        </w:tc>
        <w:tc>
          <w:tcPr>
            <w:tcW w:w="1540" w:type="dxa"/>
            <w:tcBorders>
              <w:tl2br w:val="nil"/>
              <w:tr2bl w:val="nil"/>
            </w:tcBorders>
            <w:shd w:val="clear" w:color="auto" w:fill="FFFFFF"/>
            <w:noWrap w:val="0"/>
            <w:vAlign w:val="center"/>
          </w:tcPr>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实验室应急保障能力</w:t>
            </w:r>
          </w:p>
          <w:p>
            <w:pPr>
              <w:pStyle w:val="132"/>
              <w:tabs>
                <w:tab w:val="left" w:pos="-1080"/>
                <w:tab w:val="left" w:pos="180"/>
                <w:tab w:val="left" w:pos="1080"/>
              </w:tabs>
              <w:spacing w:line="500" w:lineRule="exact"/>
              <w:ind w:firstLine="0" w:firstLineChars="0"/>
              <w:jc w:val="center"/>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（4分）</w:t>
            </w:r>
          </w:p>
        </w:tc>
        <w:tc>
          <w:tcPr>
            <w:tcW w:w="6440" w:type="dxa"/>
            <w:tcBorders>
              <w:tl2br w:val="nil"/>
              <w:tr2bl w:val="nil"/>
            </w:tcBorders>
            <w:noWrap w:val="0"/>
            <w:vAlign w:val="center"/>
          </w:tcPr>
          <w:p>
            <w:pPr>
              <w:pStyle w:val="132"/>
              <w:tabs>
                <w:tab w:val="left" w:pos="-1080"/>
                <w:tab w:val="left" w:pos="180"/>
                <w:tab w:val="left" w:pos="1080"/>
              </w:tabs>
              <w:spacing w:line="500" w:lineRule="exact"/>
              <w:ind w:firstLine="0" w:firstLineChars="0"/>
              <w:jc w:val="both"/>
              <w:rPr>
                <w:rFonts w:hint="eastAsia" w:ascii="黑体" w:hAnsi="黑体" w:eastAsia="黑体" w:cs="黑体"/>
                <w:b w:val="0"/>
                <w:bCs/>
                <w:color w:val="auto"/>
                <w:sz w:val="22"/>
                <w:szCs w:val="22"/>
                <w:highlight w:val="none"/>
                <w:lang w:eastAsia="zh-CN"/>
              </w:rPr>
            </w:pPr>
            <w:r>
              <w:rPr>
                <w:rFonts w:hint="eastAsia" w:ascii="黑体" w:hAnsi="黑体" w:eastAsia="黑体" w:cs="黑体"/>
                <w:b w:val="0"/>
                <w:bCs/>
                <w:color w:val="auto"/>
                <w:sz w:val="22"/>
                <w:szCs w:val="22"/>
                <w:highlight w:val="none"/>
                <w:lang w:eastAsia="zh-CN"/>
              </w:rPr>
              <w:t>近三年（201</w:t>
            </w:r>
            <w:r>
              <w:rPr>
                <w:rFonts w:hint="eastAsia" w:ascii="黑体" w:hAnsi="黑体" w:eastAsia="黑体" w:cs="黑体"/>
                <w:b w:val="0"/>
                <w:bCs/>
                <w:color w:val="auto"/>
                <w:sz w:val="22"/>
                <w:szCs w:val="22"/>
                <w:highlight w:val="none"/>
                <w:lang w:val="en-US" w:eastAsia="zh-CN"/>
              </w:rPr>
              <w:t>9</w:t>
            </w:r>
            <w:r>
              <w:rPr>
                <w:rFonts w:hint="eastAsia" w:ascii="黑体" w:hAnsi="黑体" w:eastAsia="黑体" w:cs="黑体"/>
                <w:b w:val="0"/>
                <w:bCs/>
                <w:color w:val="auto"/>
                <w:sz w:val="22"/>
                <w:szCs w:val="22"/>
                <w:highlight w:val="none"/>
                <w:lang w:eastAsia="zh-CN"/>
              </w:rPr>
              <w:t>-202</w:t>
            </w:r>
            <w:r>
              <w:rPr>
                <w:rFonts w:hint="eastAsia" w:ascii="黑体" w:hAnsi="黑体" w:eastAsia="黑体" w:cs="黑体"/>
                <w:b w:val="0"/>
                <w:bCs/>
                <w:color w:val="auto"/>
                <w:sz w:val="22"/>
                <w:szCs w:val="22"/>
                <w:highlight w:val="none"/>
                <w:lang w:val="en-US" w:eastAsia="zh-CN"/>
              </w:rPr>
              <w:t>1</w:t>
            </w:r>
            <w:r>
              <w:rPr>
                <w:rFonts w:hint="eastAsia" w:ascii="黑体" w:hAnsi="黑体" w:eastAsia="黑体" w:cs="黑体"/>
                <w:b w:val="0"/>
                <w:bCs/>
                <w:color w:val="auto"/>
                <w:sz w:val="22"/>
                <w:szCs w:val="22"/>
                <w:highlight w:val="none"/>
                <w:lang w:eastAsia="zh-CN"/>
              </w:rPr>
              <w:t>）市、县（区）及以上食品药品（市场）监督管理部门、公安部门组织的食品安全突发事件抽检(应急抽检）服务的每参加1次得1分（需提供县级（含）以上食品药品（市场）监督管理部门、公安部门开具的有关证明及相关佐证材料），满分4分。</w:t>
            </w:r>
          </w:p>
        </w:tc>
      </w:tr>
    </w:tbl>
    <w:p>
      <w:pPr>
        <w:pStyle w:val="132"/>
        <w:tabs>
          <w:tab w:val="left" w:pos="-1080"/>
          <w:tab w:val="left" w:pos="180"/>
          <w:tab w:val="left" w:pos="1080"/>
        </w:tabs>
        <w:spacing w:line="500" w:lineRule="exact"/>
        <w:ind w:left="0" w:leftChars="0" w:firstLine="482" w:firstLineChars="200"/>
        <w:rPr>
          <w:rFonts w:hint="eastAsia" w:ascii="黑体" w:hAnsi="黑体" w:eastAsia="黑体" w:cs="黑体"/>
          <w:bCs/>
          <w:color w:val="auto"/>
          <w:szCs w:val="21"/>
          <w:highlight w:val="none"/>
          <w:lang w:val="zh-CN"/>
        </w:rPr>
      </w:pPr>
      <w:r>
        <w:rPr>
          <w:rFonts w:hint="eastAsia" w:ascii="黑体" w:hAnsi="黑体" w:eastAsia="黑体" w:cs="黑体"/>
          <w:b/>
          <w:color w:val="auto"/>
          <w:szCs w:val="24"/>
          <w:highlight w:val="none"/>
        </w:rPr>
        <w:t>由于疫情原因，本项目为电子标，投标人的法定代表人（或其委托代理人）无需出席开标现场会议，评审过程中的涉及到的</w:t>
      </w:r>
      <w:r>
        <w:rPr>
          <w:rFonts w:hint="eastAsia" w:ascii="黑体" w:hAnsi="黑体" w:eastAsia="黑体" w:cs="黑体"/>
          <w:b/>
          <w:bCs/>
          <w:color w:val="auto"/>
          <w:szCs w:val="24"/>
          <w:highlight w:val="none"/>
        </w:rPr>
        <w:t>原件部分，由各供应商上传原件扫描件进行备查。</w:t>
      </w:r>
    </w:p>
    <w:p>
      <w:pPr>
        <w:pStyle w:val="132"/>
        <w:tabs>
          <w:tab w:val="left" w:pos="-1080"/>
          <w:tab w:val="left" w:pos="180"/>
          <w:tab w:val="left" w:pos="1080"/>
        </w:tabs>
        <w:ind w:firstLine="0" w:firstLineChars="0"/>
        <w:rPr>
          <w:rFonts w:hint="eastAsia" w:ascii="黑体" w:hAnsi="黑体" w:eastAsia="黑体" w:cs="黑体"/>
          <w:color w:val="auto"/>
          <w:szCs w:val="24"/>
          <w:highlight w:val="none"/>
          <w:lang w:val="zh-CN"/>
        </w:rPr>
      </w:pPr>
      <w:r>
        <w:rPr>
          <w:rFonts w:hint="eastAsia" w:ascii="黑体" w:hAnsi="黑体" w:eastAsia="黑体" w:cs="黑体"/>
          <w:color w:val="auto"/>
          <w:szCs w:val="24"/>
          <w:highlight w:val="none"/>
          <w:lang w:val="zh-CN"/>
        </w:rPr>
        <w:t>五、报价要</w:t>
      </w:r>
      <w:bookmarkEnd w:id="191"/>
      <w:bookmarkEnd w:id="192"/>
      <w:r>
        <w:rPr>
          <w:rFonts w:hint="eastAsia" w:ascii="黑体" w:hAnsi="黑体" w:eastAsia="黑体" w:cs="黑体"/>
          <w:color w:val="auto"/>
          <w:szCs w:val="24"/>
          <w:highlight w:val="none"/>
          <w:lang w:val="zh-CN"/>
        </w:rPr>
        <w:t>求</w:t>
      </w:r>
    </w:p>
    <w:p>
      <w:pPr>
        <w:tabs>
          <w:tab w:val="left" w:pos="-1080"/>
          <w:tab w:val="left" w:pos="180"/>
          <w:tab w:val="left" w:pos="1080"/>
        </w:tabs>
        <w:ind w:firstLine="480"/>
        <w:rPr>
          <w:rFonts w:hint="eastAsia" w:ascii="黑体" w:hAnsi="黑体" w:eastAsia="黑体" w:cs="黑体"/>
          <w:bCs/>
          <w:color w:val="auto"/>
          <w:szCs w:val="21"/>
          <w:highlight w:val="none"/>
          <w:lang w:val="zh-CN"/>
        </w:rPr>
      </w:pPr>
      <w:r>
        <w:rPr>
          <w:rFonts w:hint="eastAsia" w:ascii="黑体" w:hAnsi="黑体" w:eastAsia="黑体" w:cs="黑体"/>
          <w:bCs/>
          <w:color w:val="auto"/>
          <w:szCs w:val="21"/>
          <w:highlight w:val="none"/>
          <w:lang w:val="zh-CN"/>
        </w:rPr>
        <w:t>（1）本评标办法采用综合评分法，由技术商务分和报价分合计组成，其中技术商务分</w:t>
      </w:r>
      <w:r>
        <w:rPr>
          <w:rFonts w:hint="eastAsia" w:ascii="黑体" w:hAnsi="黑体" w:eastAsia="黑体" w:cs="黑体"/>
          <w:bCs/>
          <w:color w:val="auto"/>
          <w:szCs w:val="21"/>
          <w:highlight w:val="none"/>
          <w:lang w:val="en-US" w:eastAsia="zh-CN"/>
        </w:rPr>
        <w:t>90</w:t>
      </w:r>
      <w:r>
        <w:rPr>
          <w:rFonts w:hint="eastAsia" w:ascii="黑体" w:hAnsi="黑体" w:eastAsia="黑体" w:cs="黑体"/>
          <w:bCs/>
          <w:color w:val="auto"/>
          <w:szCs w:val="21"/>
          <w:highlight w:val="none"/>
          <w:lang w:val="zh-CN"/>
        </w:rPr>
        <w:t>分、报价分</w:t>
      </w:r>
      <w:r>
        <w:rPr>
          <w:rFonts w:hint="eastAsia" w:ascii="黑体" w:hAnsi="黑体" w:eastAsia="黑体" w:cs="黑体"/>
          <w:bCs/>
          <w:color w:val="auto"/>
          <w:szCs w:val="21"/>
          <w:highlight w:val="none"/>
          <w:lang w:val="en-US" w:eastAsia="zh-CN"/>
        </w:rPr>
        <w:t>10</w:t>
      </w:r>
      <w:r>
        <w:rPr>
          <w:rFonts w:hint="eastAsia" w:ascii="黑体" w:hAnsi="黑体" w:eastAsia="黑体" w:cs="黑体"/>
          <w:bCs/>
          <w:color w:val="auto"/>
          <w:szCs w:val="21"/>
          <w:highlight w:val="none"/>
          <w:lang w:val="zh-CN"/>
        </w:rPr>
        <w:t>分；满分为100分。</w:t>
      </w:r>
    </w:p>
    <w:p>
      <w:pPr>
        <w:ind w:firstLine="480"/>
        <w:rPr>
          <w:rFonts w:hint="eastAsia" w:ascii="黑体" w:hAnsi="黑体" w:eastAsia="黑体" w:cs="黑体"/>
          <w:bCs/>
          <w:color w:val="auto"/>
          <w:szCs w:val="21"/>
          <w:highlight w:val="none"/>
          <w:lang w:val="zh-CN"/>
        </w:rPr>
      </w:pPr>
      <w:r>
        <w:rPr>
          <w:rFonts w:hint="eastAsia" w:ascii="黑体" w:hAnsi="黑体" w:eastAsia="黑体" w:cs="黑体"/>
          <w:bCs/>
          <w:color w:val="auto"/>
          <w:szCs w:val="21"/>
          <w:highlight w:val="none"/>
          <w:lang w:val="zh-CN"/>
        </w:rPr>
        <w:t>（2）经初步评审合格的响应文件，招标评审小组根据招标文件确定的评审标准和方法，对其技术商务部分作进一步评审、比较、打分。</w:t>
      </w:r>
    </w:p>
    <w:p>
      <w:pPr>
        <w:ind w:firstLine="480"/>
        <w:rPr>
          <w:rFonts w:hint="eastAsia" w:ascii="黑体" w:hAnsi="黑体" w:eastAsia="黑体" w:cs="黑体"/>
          <w:bCs/>
          <w:color w:val="auto"/>
          <w:szCs w:val="21"/>
          <w:highlight w:val="none"/>
          <w:lang w:val="zh-CN"/>
        </w:rPr>
      </w:pPr>
      <w:r>
        <w:rPr>
          <w:rFonts w:hint="eastAsia" w:ascii="黑体" w:hAnsi="黑体" w:eastAsia="黑体" w:cs="黑体"/>
          <w:bCs/>
          <w:color w:val="auto"/>
          <w:szCs w:val="21"/>
          <w:highlight w:val="none"/>
          <w:lang w:val="zh-CN"/>
        </w:rPr>
        <w:t>（3）评审小组成员首先分别对每个供应商技术商务文件进行评审打分，然后计算出算术平均值（保留2位小数），即为供应商的技术商务得分，后计算报价，计算公式：投标报价得分=(评标基准价／投标报价)×</w:t>
      </w:r>
      <w:r>
        <w:rPr>
          <w:rFonts w:hint="eastAsia" w:ascii="黑体" w:hAnsi="黑体" w:eastAsia="黑体" w:cs="黑体"/>
          <w:bCs/>
          <w:color w:val="auto"/>
          <w:szCs w:val="21"/>
          <w:highlight w:val="none"/>
          <w:lang w:val="en-US" w:eastAsia="zh-CN"/>
        </w:rPr>
        <w:t>10</w:t>
      </w:r>
      <w:r>
        <w:rPr>
          <w:rFonts w:hint="eastAsia" w:ascii="黑体" w:hAnsi="黑体" w:eastAsia="黑体" w:cs="黑体"/>
          <w:bCs/>
          <w:color w:val="auto"/>
          <w:szCs w:val="21"/>
          <w:highlight w:val="none"/>
          <w:lang w:val="zh-CN"/>
        </w:rPr>
        <w:t>%×100，综合得分=技术商务分+最高单价报价分，以综合得分由高到低进行排序后推荐第一名为成交供应商候选人(得分相同的，按投标报价由低到高顺序排列。得分且投标报价相同的。依据投标人的投标文件满足招标文件全部实质性要求前提下，按照评审因素的量化指标评审得分最高的投标人为排名；确定供应商候选人，并提交评审结果。</w:t>
      </w:r>
    </w:p>
    <w:p>
      <w:pPr>
        <w:pStyle w:val="31"/>
        <w:ind w:firstLine="0" w:firstLineChars="0"/>
        <w:jc w:val="both"/>
        <w:rPr>
          <w:rFonts w:hint="eastAsia" w:ascii="黑体" w:hAnsi="黑体" w:eastAsia="黑体" w:cs="黑体"/>
          <w:color w:val="auto"/>
          <w:sz w:val="36"/>
          <w:szCs w:val="36"/>
          <w:highlight w:val="none"/>
        </w:rPr>
      </w:pPr>
      <w:bookmarkStart w:id="193" w:name="_Toc50628064"/>
    </w:p>
    <w:p>
      <w:pPr>
        <w:pStyle w:val="31"/>
        <w:ind w:firstLine="720"/>
        <w:rPr>
          <w:rFonts w:hint="eastAsia" w:ascii="黑体" w:hAnsi="黑体" w:eastAsia="黑体" w:cs="黑体"/>
          <w:color w:val="auto"/>
          <w:sz w:val="36"/>
          <w:szCs w:val="36"/>
          <w:highlight w:val="none"/>
        </w:rPr>
      </w:pPr>
    </w:p>
    <w:p>
      <w:pPr>
        <w:pStyle w:val="31"/>
        <w:ind w:firstLine="720"/>
        <w:rPr>
          <w:rFonts w:hint="eastAsia" w:ascii="黑体" w:hAnsi="黑体" w:eastAsia="黑体" w:cs="黑体"/>
          <w:color w:val="auto"/>
          <w:sz w:val="36"/>
          <w:szCs w:val="36"/>
          <w:highlight w:val="none"/>
        </w:rPr>
      </w:pPr>
    </w:p>
    <w:p>
      <w:pPr>
        <w:pStyle w:val="31"/>
        <w:ind w:firstLine="720"/>
        <w:rPr>
          <w:rFonts w:hint="eastAsia" w:ascii="黑体" w:hAnsi="黑体" w:eastAsia="黑体" w:cs="黑体"/>
          <w:color w:val="auto"/>
          <w:sz w:val="36"/>
          <w:szCs w:val="36"/>
          <w:highlight w:val="none"/>
        </w:rPr>
      </w:pPr>
    </w:p>
    <w:p>
      <w:pPr>
        <w:pStyle w:val="31"/>
        <w:ind w:firstLine="720"/>
        <w:rPr>
          <w:rFonts w:hint="eastAsia" w:ascii="黑体" w:hAnsi="黑体" w:eastAsia="黑体" w:cs="黑体"/>
          <w:color w:val="auto"/>
          <w:sz w:val="36"/>
          <w:szCs w:val="36"/>
          <w:highlight w:val="none"/>
        </w:rPr>
      </w:pPr>
    </w:p>
    <w:p>
      <w:pPr>
        <w:pStyle w:val="31"/>
        <w:ind w:firstLine="720"/>
        <w:rPr>
          <w:rFonts w:hint="eastAsia" w:ascii="黑体" w:hAnsi="黑体" w:eastAsia="黑体" w:cs="黑体"/>
          <w:color w:val="auto"/>
          <w:sz w:val="36"/>
          <w:szCs w:val="36"/>
          <w:highlight w:val="none"/>
        </w:rPr>
      </w:pPr>
    </w:p>
    <w:p>
      <w:pPr>
        <w:pStyle w:val="31"/>
        <w:ind w:firstLine="720"/>
        <w:rPr>
          <w:rFonts w:hint="eastAsia" w:ascii="黑体" w:hAnsi="黑体" w:eastAsia="黑体" w:cs="黑体"/>
          <w:color w:val="auto"/>
          <w:sz w:val="36"/>
          <w:szCs w:val="36"/>
          <w:highlight w:val="none"/>
        </w:rPr>
      </w:pPr>
    </w:p>
    <w:p>
      <w:pPr>
        <w:pStyle w:val="31"/>
        <w:ind w:firstLine="720"/>
        <w:rPr>
          <w:rFonts w:hint="eastAsia" w:ascii="黑体" w:hAnsi="黑体" w:eastAsia="黑体" w:cs="黑体"/>
          <w:color w:val="auto"/>
          <w:sz w:val="36"/>
          <w:szCs w:val="36"/>
          <w:highlight w:val="none"/>
        </w:rPr>
      </w:pPr>
    </w:p>
    <w:p>
      <w:pPr>
        <w:pStyle w:val="31"/>
        <w:ind w:firstLine="720"/>
        <w:rPr>
          <w:rFonts w:hint="eastAsia" w:ascii="黑体" w:hAnsi="黑体" w:eastAsia="黑体" w:cs="黑体"/>
          <w:color w:val="auto"/>
          <w:sz w:val="36"/>
          <w:szCs w:val="36"/>
          <w:highlight w:val="none"/>
        </w:rPr>
      </w:pPr>
    </w:p>
    <w:p>
      <w:pPr>
        <w:pStyle w:val="31"/>
        <w:ind w:firstLine="720"/>
        <w:rPr>
          <w:rFonts w:hint="eastAsia" w:ascii="黑体" w:hAnsi="黑体" w:eastAsia="黑体" w:cs="黑体"/>
          <w:color w:val="auto"/>
          <w:sz w:val="36"/>
          <w:szCs w:val="36"/>
          <w:highlight w:val="none"/>
        </w:rPr>
      </w:pPr>
    </w:p>
    <w:p>
      <w:pPr>
        <w:pStyle w:val="31"/>
        <w:ind w:firstLine="720"/>
        <w:rPr>
          <w:rFonts w:hint="eastAsia" w:ascii="黑体" w:hAnsi="黑体" w:eastAsia="黑体" w:cs="黑体"/>
          <w:color w:val="auto"/>
          <w:sz w:val="36"/>
          <w:szCs w:val="36"/>
          <w:highlight w:val="none"/>
        </w:rPr>
      </w:pPr>
    </w:p>
    <w:p>
      <w:pPr>
        <w:pStyle w:val="31"/>
        <w:ind w:firstLine="720"/>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第六章 投标文件格式</w:t>
      </w:r>
      <w:bookmarkEnd w:id="159"/>
      <w:bookmarkEnd w:id="160"/>
      <w:bookmarkEnd w:id="161"/>
      <w:bookmarkEnd w:id="162"/>
      <w:bookmarkEnd w:id="163"/>
      <w:bookmarkEnd w:id="193"/>
    </w:p>
    <w:p>
      <w:pPr>
        <w:ind w:firstLine="560"/>
        <w:jc w:val="center"/>
        <w:rPr>
          <w:rFonts w:hint="eastAsia" w:ascii="黑体" w:hAnsi="黑体" w:eastAsia="黑体" w:cs="黑体"/>
          <w:color w:val="auto"/>
          <w:sz w:val="28"/>
          <w:szCs w:val="28"/>
          <w:highlight w:val="none"/>
        </w:rPr>
      </w:pPr>
      <w:bookmarkStart w:id="194" w:name="_Toc32271"/>
      <w:bookmarkStart w:id="195" w:name="_Toc24828"/>
      <w:bookmarkStart w:id="196" w:name="_Toc2567"/>
      <w:bookmarkStart w:id="197" w:name="_Toc3148"/>
    </w:p>
    <w:p>
      <w:pPr>
        <w:spacing w:line="360" w:lineRule="auto"/>
        <w:ind w:firstLine="480"/>
        <w:rPr>
          <w:rFonts w:hint="eastAsia" w:ascii="黑体" w:hAnsi="黑体" w:eastAsia="黑体" w:cs="黑体"/>
          <w:b/>
          <w:color w:val="auto"/>
          <w:highlight w:val="none"/>
        </w:rPr>
      </w:pPr>
      <w:r>
        <w:rPr>
          <w:rFonts w:hint="eastAsia" w:ascii="黑体" w:hAnsi="黑体" w:eastAsia="黑体" w:cs="黑体"/>
          <w:bCs/>
          <w:color w:val="auto"/>
          <w:highlight w:val="none"/>
        </w:rPr>
        <w:t>本附件所有格式仅供制作公开招标响应文件时参考，供应商应根据行业特点，结合本项目的相关要求，对有关内容、表格可进行补充或修改，但不得对实质性内容做出变动。</w:t>
      </w:r>
    </w:p>
    <w:p>
      <w:pPr>
        <w:ind w:firstLine="560"/>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560"/>
        <w:jc w:val="center"/>
        <w:rPr>
          <w:rFonts w:hint="eastAsia" w:ascii="黑体" w:hAnsi="黑体" w:eastAsia="黑体" w:cs="黑体"/>
          <w:color w:val="auto"/>
          <w:sz w:val="28"/>
          <w:szCs w:val="28"/>
          <w:highlight w:val="none"/>
        </w:rPr>
      </w:pPr>
    </w:p>
    <w:p>
      <w:pPr>
        <w:ind w:firstLine="0" w:firstLineChars="0"/>
        <w:rPr>
          <w:rFonts w:hint="eastAsia" w:ascii="黑体" w:hAnsi="黑体" w:eastAsia="黑体" w:cs="黑体"/>
          <w:color w:val="auto"/>
          <w:sz w:val="28"/>
          <w:szCs w:val="28"/>
          <w:highlight w:val="none"/>
        </w:rPr>
      </w:pPr>
    </w:p>
    <w:p>
      <w:pPr>
        <w:ind w:firstLine="0" w:firstLineChars="0"/>
        <w:rPr>
          <w:rFonts w:hint="eastAsia" w:ascii="黑体" w:hAnsi="黑体" w:eastAsia="黑体" w:cs="黑体"/>
          <w:color w:val="auto"/>
          <w:sz w:val="28"/>
          <w:szCs w:val="28"/>
          <w:highlight w:val="none"/>
        </w:rPr>
      </w:pPr>
    </w:p>
    <w:p>
      <w:pPr>
        <w:ind w:firstLine="560"/>
        <w:jc w:val="center"/>
        <w:rPr>
          <w:rFonts w:hint="eastAsia" w:ascii="黑体" w:hAnsi="黑体" w:eastAsia="黑体" w:cs="黑体"/>
          <w:b/>
          <w:color w:val="auto"/>
          <w:szCs w:val="24"/>
          <w:highlight w:val="none"/>
        </w:rPr>
      </w:pPr>
      <w:r>
        <w:rPr>
          <w:rFonts w:hint="eastAsia" w:ascii="黑体" w:hAnsi="黑体" w:eastAsia="黑体" w:cs="黑体"/>
          <w:color w:val="auto"/>
          <w:sz w:val="28"/>
          <w:szCs w:val="28"/>
          <w:highlight w:val="none"/>
        </w:rPr>
        <w:t>（统一格式部分）</w:t>
      </w:r>
      <w:bookmarkEnd w:id="164"/>
      <w:bookmarkEnd w:id="165"/>
      <w:bookmarkEnd w:id="166"/>
      <w:bookmarkEnd w:id="167"/>
      <w:bookmarkEnd w:id="168"/>
      <w:bookmarkEnd w:id="169"/>
      <w:bookmarkEnd w:id="170"/>
      <w:bookmarkEnd w:id="171"/>
      <w:bookmarkEnd w:id="172"/>
      <w:bookmarkEnd w:id="173"/>
      <w:bookmarkEnd w:id="174"/>
      <w:bookmarkEnd w:id="194"/>
      <w:bookmarkEnd w:id="195"/>
      <w:bookmarkEnd w:id="196"/>
      <w:bookmarkEnd w:id="197"/>
      <w:bookmarkStart w:id="198" w:name="_Toc80157776"/>
      <w:bookmarkStart w:id="199" w:name="_Toc81372788"/>
      <w:bookmarkStart w:id="200" w:name="_Toc84325982"/>
      <w:bookmarkStart w:id="201" w:name="_Toc81372965"/>
    </w:p>
    <w:p>
      <w:pPr>
        <w:snapToGrid w:val="0"/>
        <w:spacing w:beforeLines="50" w:after="50"/>
        <w:ind w:firstLine="480"/>
        <w:jc w:val="right"/>
        <w:rPr>
          <w:rFonts w:hint="eastAsia" w:ascii="黑体" w:hAnsi="黑体" w:eastAsia="黑体" w:cs="黑体"/>
          <w:b/>
          <w:bCs/>
          <w:color w:val="auto"/>
          <w:highlight w:val="none"/>
        </w:rPr>
      </w:pPr>
      <w:r>
        <w:rPr>
          <w:rFonts w:hint="eastAsia" w:ascii="黑体" w:hAnsi="黑体" w:eastAsia="黑体" w:cs="黑体"/>
          <w:b/>
          <w:bCs/>
          <w:color w:val="auto"/>
          <w:highlight w:val="none"/>
        </w:rPr>
        <w:t>正本/或副本</w:t>
      </w:r>
    </w:p>
    <w:p>
      <w:pPr>
        <w:snapToGrid w:val="0"/>
        <w:ind w:firstLine="0" w:firstLineChars="0"/>
        <w:rPr>
          <w:rFonts w:hint="eastAsia" w:ascii="黑体" w:hAnsi="黑体" w:eastAsia="黑体" w:cs="黑体"/>
          <w:color w:val="auto"/>
          <w:szCs w:val="24"/>
          <w:highlight w:val="none"/>
        </w:rPr>
      </w:pPr>
    </w:p>
    <w:p>
      <w:pPr>
        <w:snapToGrid w:val="0"/>
        <w:spacing w:beforeLines="50" w:after="50" w:line="240" w:lineRule="auto"/>
        <w:ind w:firstLine="0" w:firstLineChars="0"/>
        <w:jc w:val="center"/>
        <w:rPr>
          <w:rFonts w:hint="eastAsia" w:ascii="黑体" w:hAnsi="黑体" w:eastAsia="黑体" w:cs="黑体"/>
          <w:bCs/>
          <w:color w:val="auto"/>
          <w:sz w:val="52"/>
          <w:szCs w:val="52"/>
          <w:highlight w:val="none"/>
        </w:rPr>
      </w:pPr>
      <w:r>
        <w:rPr>
          <w:rFonts w:hint="eastAsia" w:ascii="黑体" w:hAnsi="黑体" w:eastAsia="黑体" w:cs="黑体"/>
          <w:bCs/>
          <w:color w:val="auto"/>
          <w:sz w:val="52"/>
          <w:szCs w:val="52"/>
          <w:highlight w:val="none"/>
        </w:rPr>
        <w:t>资信证明文件/技术商务文件/报价文件</w:t>
      </w:r>
    </w:p>
    <w:p>
      <w:pPr>
        <w:snapToGrid w:val="0"/>
        <w:ind w:firstLine="0" w:firstLineChars="0"/>
        <w:rPr>
          <w:rFonts w:hint="eastAsia" w:ascii="黑体" w:hAnsi="黑体" w:eastAsia="黑体" w:cs="黑体"/>
          <w:color w:val="auto"/>
          <w:szCs w:val="24"/>
          <w:highlight w:val="none"/>
        </w:rPr>
      </w:pPr>
    </w:p>
    <w:p>
      <w:pPr>
        <w:snapToGrid w:val="0"/>
        <w:ind w:firstLine="0" w:firstLineChars="0"/>
        <w:rPr>
          <w:rFonts w:hint="eastAsia" w:ascii="黑体" w:hAnsi="黑体" w:eastAsia="黑体" w:cs="黑体"/>
          <w:color w:val="auto"/>
          <w:szCs w:val="24"/>
          <w:highlight w:val="none"/>
        </w:rPr>
      </w:pPr>
    </w:p>
    <w:p>
      <w:pPr>
        <w:snapToGrid w:val="0"/>
        <w:ind w:firstLine="0" w:firstLineChars="0"/>
        <w:rPr>
          <w:rFonts w:hint="eastAsia" w:ascii="黑体" w:hAnsi="黑体" w:eastAsia="黑体" w:cs="黑体"/>
          <w:color w:val="auto"/>
          <w:szCs w:val="24"/>
          <w:highlight w:val="none"/>
        </w:rPr>
      </w:pPr>
    </w:p>
    <w:p>
      <w:pPr>
        <w:snapToGrid w:val="0"/>
        <w:spacing w:beforeLines="50" w:after="50" w:line="480" w:lineRule="auto"/>
        <w:ind w:firstLine="1335" w:firstLineChars="445"/>
        <w:rPr>
          <w:rFonts w:hint="eastAsia" w:ascii="黑体" w:hAnsi="黑体" w:eastAsia="黑体" w:cs="黑体"/>
          <w:color w:val="auto"/>
          <w:sz w:val="30"/>
          <w:szCs w:val="30"/>
          <w:highlight w:val="none"/>
          <w:u w:val="single"/>
        </w:rPr>
      </w:pPr>
      <w:r>
        <w:rPr>
          <w:rFonts w:hint="eastAsia" w:ascii="黑体" w:hAnsi="黑体" w:eastAsia="黑体" w:cs="黑体"/>
          <w:color w:val="auto"/>
          <w:sz w:val="30"/>
          <w:szCs w:val="30"/>
          <w:highlight w:val="none"/>
        </w:rPr>
        <w:t>项目名称：</w:t>
      </w:r>
    </w:p>
    <w:p>
      <w:pPr>
        <w:snapToGrid w:val="0"/>
        <w:spacing w:beforeLines="50" w:after="50" w:line="480" w:lineRule="auto"/>
        <w:ind w:firstLine="1335" w:firstLineChars="445"/>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p>
      <w:pPr>
        <w:snapToGrid w:val="0"/>
        <w:spacing w:beforeLines="50" w:after="50" w:line="480" w:lineRule="auto"/>
        <w:ind w:firstLine="1335" w:firstLineChars="445"/>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投标人名称（盖章）：</w:t>
      </w:r>
    </w:p>
    <w:p>
      <w:pPr>
        <w:snapToGrid w:val="0"/>
        <w:spacing w:beforeLines="50" w:after="50" w:line="480" w:lineRule="auto"/>
        <w:ind w:firstLine="1335" w:firstLineChars="445"/>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法定代表人或授权委托人（签字或盖章）：</w:t>
      </w:r>
    </w:p>
    <w:p>
      <w:pPr>
        <w:snapToGrid w:val="0"/>
        <w:spacing w:beforeLines="50" w:after="50" w:line="480" w:lineRule="auto"/>
        <w:ind w:firstLine="1335" w:firstLineChars="445"/>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投标人地址：</w:t>
      </w:r>
    </w:p>
    <w:p>
      <w:pPr>
        <w:pStyle w:val="9"/>
        <w:spacing w:before="120" w:after="120"/>
        <w:rPr>
          <w:rFonts w:hint="eastAsia" w:ascii="黑体" w:hAnsi="黑体" w:eastAsia="黑体" w:cs="黑体"/>
          <w:color w:val="auto"/>
          <w:sz w:val="30"/>
          <w:szCs w:val="30"/>
          <w:highlight w:val="none"/>
        </w:rPr>
      </w:pPr>
    </w:p>
    <w:p>
      <w:pPr>
        <w:pStyle w:val="9"/>
        <w:spacing w:before="120" w:after="120"/>
        <w:jc w:val="both"/>
        <w:rPr>
          <w:rFonts w:hint="eastAsia" w:ascii="黑体" w:hAnsi="黑体" w:eastAsia="黑体" w:cs="黑体"/>
          <w:color w:val="auto"/>
          <w:highlight w:val="none"/>
        </w:rPr>
      </w:pPr>
    </w:p>
    <w:p>
      <w:pPr>
        <w:snapToGrid w:val="0"/>
        <w:ind w:firstLine="0" w:firstLineChars="0"/>
        <w:rPr>
          <w:rFonts w:hint="eastAsia" w:ascii="黑体" w:hAnsi="黑体" w:eastAsia="黑体" w:cs="黑体"/>
          <w:color w:val="auto"/>
          <w:szCs w:val="24"/>
          <w:highlight w:val="none"/>
        </w:rPr>
      </w:pPr>
    </w:p>
    <w:p>
      <w:pPr>
        <w:snapToGrid w:val="0"/>
        <w:spacing w:beforeLines="50" w:after="50" w:line="480" w:lineRule="auto"/>
        <w:ind w:firstLine="0" w:firstLineChars="0"/>
        <w:jc w:val="cente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 xml:space="preserve">                 2021年  月  日</w:t>
      </w:r>
      <w:bookmarkEnd w:id="198"/>
      <w:bookmarkEnd w:id="199"/>
      <w:bookmarkEnd w:id="200"/>
      <w:bookmarkEnd w:id="201"/>
    </w:p>
    <w:p>
      <w:pPr>
        <w:snapToGrid w:val="0"/>
        <w:spacing w:beforeLines="50" w:after="50" w:line="480" w:lineRule="auto"/>
        <w:ind w:firstLine="0" w:firstLineChars="0"/>
        <w:rPr>
          <w:rFonts w:hint="eastAsia" w:ascii="黑体" w:hAnsi="黑体" w:eastAsia="黑体" w:cs="黑体"/>
          <w:bCs/>
          <w:color w:val="auto"/>
          <w:szCs w:val="24"/>
          <w:highlight w:val="none"/>
        </w:rPr>
      </w:pPr>
    </w:p>
    <w:p>
      <w:pPr>
        <w:snapToGrid w:val="0"/>
        <w:spacing w:beforeLines="50" w:after="50" w:line="480" w:lineRule="auto"/>
        <w:ind w:firstLine="0" w:firstLineChars="0"/>
        <w:rPr>
          <w:rFonts w:hint="eastAsia" w:ascii="黑体" w:hAnsi="黑体" w:eastAsia="黑体" w:cs="黑体"/>
          <w:bCs/>
          <w:color w:val="auto"/>
          <w:szCs w:val="24"/>
          <w:highlight w:val="none"/>
        </w:rPr>
      </w:pPr>
    </w:p>
    <w:p>
      <w:pPr>
        <w:snapToGrid w:val="0"/>
        <w:spacing w:beforeLines="50" w:after="50" w:line="480" w:lineRule="auto"/>
        <w:ind w:firstLine="0" w:firstLineChars="0"/>
        <w:rPr>
          <w:rFonts w:hint="eastAsia" w:ascii="黑体" w:hAnsi="黑体" w:eastAsia="黑体" w:cs="黑体"/>
          <w:bCs/>
          <w:color w:val="auto"/>
          <w:szCs w:val="24"/>
          <w:highlight w:val="none"/>
        </w:rPr>
      </w:pPr>
    </w:p>
    <w:p>
      <w:pPr>
        <w:snapToGrid w:val="0"/>
        <w:spacing w:beforeLines="50" w:after="50" w:line="480" w:lineRule="auto"/>
        <w:ind w:firstLine="0" w:firstLineChars="0"/>
        <w:rPr>
          <w:rFonts w:hint="eastAsia" w:ascii="黑体" w:hAnsi="黑体" w:eastAsia="黑体" w:cs="黑体"/>
          <w:bCs/>
          <w:color w:val="auto"/>
          <w:szCs w:val="24"/>
          <w:highlight w:val="none"/>
        </w:rPr>
      </w:pPr>
    </w:p>
    <w:p>
      <w:pPr>
        <w:snapToGrid w:val="0"/>
        <w:spacing w:beforeLines="50" w:after="50" w:line="480" w:lineRule="auto"/>
        <w:ind w:firstLine="0" w:firstLineChars="0"/>
        <w:rPr>
          <w:rFonts w:hint="eastAsia" w:ascii="黑体" w:hAnsi="黑体" w:eastAsia="黑体" w:cs="黑体"/>
          <w:bCs/>
          <w:color w:val="auto"/>
          <w:spacing w:val="20"/>
          <w:highlight w:val="none"/>
        </w:rPr>
      </w:pPr>
      <w:r>
        <w:rPr>
          <w:rFonts w:hint="eastAsia" w:ascii="黑体" w:hAnsi="黑体" w:eastAsia="黑体" w:cs="黑体"/>
          <w:bCs/>
          <w:color w:val="auto"/>
          <w:szCs w:val="24"/>
          <w:highlight w:val="none"/>
        </w:rPr>
        <w:t>附件1</w:t>
      </w:r>
    </w:p>
    <w:p>
      <w:pPr>
        <w:adjustRightInd w:val="0"/>
        <w:snapToGrid w:val="0"/>
        <w:spacing w:line="360" w:lineRule="auto"/>
        <w:ind w:firstLine="0" w:firstLineChars="0"/>
        <w:jc w:val="center"/>
        <w:rPr>
          <w:rFonts w:hint="eastAsia" w:ascii="黑体" w:hAnsi="黑体" w:eastAsia="黑体" w:cs="黑体"/>
          <w:b/>
          <w:color w:val="auto"/>
          <w:sz w:val="30"/>
          <w:szCs w:val="30"/>
          <w:highlight w:val="none"/>
        </w:rPr>
      </w:pPr>
      <w:r>
        <w:rPr>
          <w:rFonts w:hint="eastAsia" w:ascii="黑体" w:hAnsi="黑体" w:eastAsia="黑体" w:cs="黑体"/>
          <w:bCs/>
          <w:color w:val="auto"/>
          <w:sz w:val="30"/>
          <w:szCs w:val="30"/>
          <w:highlight w:val="none"/>
        </w:rPr>
        <w:t>投标声明书</w:t>
      </w:r>
    </w:p>
    <w:p>
      <w:pPr>
        <w:adjustRightInd w:val="0"/>
        <w:snapToGrid w:val="0"/>
        <w:spacing w:line="360" w:lineRule="auto"/>
        <w:ind w:firstLine="0" w:firstLineChars="0"/>
        <w:rPr>
          <w:rFonts w:hint="eastAsia" w:ascii="黑体" w:hAnsi="黑体" w:eastAsia="黑体" w:cs="黑体"/>
          <w:color w:val="auto"/>
          <w:highlight w:val="none"/>
        </w:rPr>
      </w:pPr>
      <w:r>
        <w:rPr>
          <w:rFonts w:hint="eastAsia" w:ascii="黑体" w:hAnsi="黑体" w:eastAsia="黑体" w:cs="黑体"/>
          <w:color w:val="auto"/>
          <w:highlight w:val="none"/>
        </w:rPr>
        <w:t>致：</w:t>
      </w:r>
      <w:r>
        <w:rPr>
          <w:rFonts w:hint="eastAsia" w:ascii="黑体" w:hAnsi="黑体" w:eastAsia="黑体" w:cs="黑体"/>
          <w:color w:val="auto"/>
          <w:highlight w:val="none"/>
          <w:u w:val="single"/>
        </w:rPr>
        <w:t xml:space="preserve">              </w:t>
      </w:r>
      <w:r>
        <w:rPr>
          <w:rFonts w:hint="eastAsia" w:ascii="黑体" w:hAnsi="黑体" w:eastAsia="黑体" w:cs="黑体"/>
          <w:color w:val="auto"/>
          <w:highlight w:val="none"/>
        </w:rPr>
        <w:t>：</w:t>
      </w:r>
    </w:p>
    <w:p>
      <w:pPr>
        <w:tabs>
          <w:tab w:val="left" w:pos="1418"/>
        </w:tabs>
        <w:snapToGrid w:val="0"/>
        <w:spacing w:before="50" w:after="50"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（投标人名称）系中华人民共和国合法企业，经营地址。</w:t>
      </w:r>
    </w:p>
    <w:p>
      <w:pPr>
        <w:tabs>
          <w:tab w:val="left" w:pos="1418"/>
        </w:tabs>
        <w:snapToGrid w:val="0"/>
        <w:spacing w:before="50" w:after="50"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我（姓名）系（投标人名称）的法定代表人，我方愿意参加贵方组织的的投标，为便于贵方公正、择优地确定中标人及其投标项目的服务，我方就本次投标有关事项郑重声明如下：</w:t>
      </w:r>
    </w:p>
    <w:p>
      <w:pPr>
        <w:adjustRightInd w:val="0"/>
        <w:snapToGrid w:val="0"/>
        <w:spacing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1、我方向贵方提交的所有投标文件、资料都是准确的和真实的；</w:t>
      </w:r>
    </w:p>
    <w:p>
      <w:pPr>
        <w:adjustRightInd w:val="0"/>
        <w:snapToGrid w:val="0"/>
        <w:spacing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2、我方不是采购人的附属机构；</w:t>
      </w:r>
    </w:p>
    <w:p>
      <w:pPr>
        <w:adjustRightInd w:val="0"/>
        <w:snapToGrid w:val="0"/>
        <w:spacing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3、我方此次向贵方提供的项目名称为：</w:t>
      </w:r>
      <w:r>
        <w:rPr>
          <w:rFonts w:hint="eastAsia" w:ascii="黑体" w:hAnsi="黑体" w:eastAsia="黑体" w:cs="黑体"/>
          <w:color w:val="auto"/>
          <w:highlight w:val="none"/>
          <w:u w:val="single"/>
        </w:rPr>
        <w:t xml:space="preserve">               </w:t>
      </w:r>
      <w:r>
        <w:rPr>
          <w:rFonts w:hint="eastAsia" w:ascii="黑体" w:hAnsi="黑体" w:eastAsia="黑体" w:cs="黑体"/>
          <w:color w:val="auto"/>
          <w:highlight w:val="none"/>
        </w:rPr>
        <w:t>。</w:t>
      </w:r>
    </w:p>
    <w:p>
      <w:pPr>
        <w:adjustRightInd w:val="0"/>
        <w:snapToGrid w:val="0"/>
        <w:spacing w:line="360" w:lineRule="auto"/>
        <w:ind w:firstLine="480"/>
        <w:rPr>
          <w:rFonts w:hint="eastAsia" w:ascii="黑体" w:hAnsi="黑体" w:eastAsia="黑体" w:cs="黑体"/>
          <w:color w:val="auto"/>
          <w:highlight w:val="none"/>
          <w:u w:val="single"/>
        </w:rPr>
      </w:pPr>
      <w:r>
        <w:rPr>
          <w:rFonts w:hint="eastAsia" w:ascii="黑体" w:hAnsi="黑体" w:eastAsia="黑体" w:cs="黑体"/>
          <w:color w:val="auto"/>
          <w:highlight w:val="none"/>
        </w:rPr>
        <w:t>4、我方最近三年内的被公开披露或查处的违法违规行为有：</w:t>
      </w:r>
      <w:r>
        <w:rPr>
          <w:rFonts w:hint="eastAsia" w:ascii="黑体" w:hAnsi="黑体" w:eastAsia="黑体" w:cs="黑体"/>
          <w:color w:val="auto"/>
          <w:highlight w:val="none"/>
          <w:u w:val="single"/>
        </w:rPr>
        <w:t xml:space="preserve">               </w:t>
      </w:r>
      <w:r>
        <w:rPr>
          <w:rFonts w:hint="eastAsia" w:ascii="黑体" w:hAnsi="黑体" w:eastAsia="黑体" w:cs="黑体"/>
          <w:color w:val="auto"/>
          <w:highlight w:val="none"/>
        </w:rPr>
        <w:t>。</w:t>
      </w:r>
    </w:p>
    <w:p>
      <w:pPr>
        <w:adjustRightInd w:val="0"/>
        <w:snapToGrid w:val="0"/>
        <w:spacing w:line="360" w:lineRule="auto"/>
        <w:ind w:firstLine="480"/>
        <w:rPr>
          <w:rFonts w:hint="eastAsia" w:ascii="黑体" w:hAnsi="黑体" w:eastAsia="黑体" w:cs="黑体"/>
          <w:color w:val="auto"/>
          <w:highlight w:val="none"/>
          <w:u w:val="single"/>
        </w:rPr>
      </w:pPr>
      <w:r>
        <w:rPr>
          <w:rFonts w:hint="eastAsia" w:ascii="黑体" w:hAnsi="黑体" w:eastAsia="黑体" w:cs="黑体"/>
          <w:color w:val="auto"/>
          <w:highlight w:val="none"/>
        </w:rPr>
        <w:t>5、以上事项如有虚假或隐瞒，我方愿意承担一切后果和责任。</w:t>
      </w:r>
    </w:p>
    <w:p>
      <w:pPr>
        <w:snapToGrid w:val="0"/>
        <w:spacing w:line="312" w:lineRule="auto"/>
        <w:ind w:firstLine="480"/>
        <w:rPr>
          <w:rFonts w:hint="eastAsia" w:ascii="黑体" w:hAnsi="黑体" w:eastAsia="黑体" w:cs="黑体"/>
          <w:color w:val="auto"/>
          <w:highlight w:val="none"/>
          <w:lang w:val="zh-CN"/>
        </w:rPr>
      </w:pPr>
    </w:p>
    <w:p>
      <w:pPr>
        <w:snapToGrid w:val="0"/>
        <w:spacing w:line="312" w:lineRule="auto"/>
        <w:ind w:firstLine="480"/>
        <w:rPr>
          <w:rFonts w:hint="eastAsia" w:ascii="黑体" w:hAnsi="黑体" w:eastAsia="黑体" w:cs="黑体"/>
          <w:color w:val="auto"/>
          <w:highlight w:val="none"/>
          <w:lang w:val="zh-CN"/>
        </w:rPr>
      </w:pPr>
    </w:p>
    <w:p>
      <w:pPr>
        <w:snapToGrid w:val="0"/>
        <w:spacing w:line="312" w:lineRule="auto"/>
        <w:ind w:firstLine="480"/>
        <w:rPr>
          <w:rFonts w:hint="eastAsia" w:ascii="黑体" w:hAnsi="黑体" w:eastAsia="黑体" w:cs="黑体"/>
          <w:color w:val="auto"/>
          <w:highlight w:val="none"/>
          <w:lang w:val="zh-CN"/>
        </w:rPr>
      </w:pP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供应商：</w:t>
      </w:r>
      <w:r>
        <w:rPr>
          <w:rFonts w:hint="eastAsia" w:ascii="黑体" w:hAnsi="黑体" w:eastAsia="黑体" w:cs="黑体"/>
          <w:color w:val="auto"/>
          <w:highlight w:val="none"/>
          <w:u w:val="single"/>
        </w:rPr>
        <w:t xml:space="preserve">                               （盖章）</w:t>
      </w: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法定代表人或授权委托人：</w:t>
      </w:r>
      <w:r>
        <w:rPr>
          <w:rFonts w:hint="eastAsia" w:ascii="黑体" w:hAnsi="黑体" w:eastAsia="黑体" w:cs="黑体"/>
          <w:color w:val="auto"/>
          <w:highlight w:val="none"/>
          <w:u w:val="single"/>
        </w:rPr>
        <w:t xml:space="preserve">         （签字或盖章）</w:t>
      </w:r>
    </w:p>
    <w:p>
      <w:pPr>
        <w:widowControl/>
        <w:adjustRightInd w:val="0"/>
        <w:snapToGrid w:val="0"/>
        <w:spacing w:line="360" w:lineRule="auto"/>
        <w:ind w:firstLine="3360" w:firstLineChars="1400"/>
        <w:rPr>
          <w:rFonts w:hint="eastAsia" w:ascii="黑体" w:hAnsi="黑体" w:eastAsia="黑体" w:cs="黑体"/>
          <w:color w:val="auto"/>
          <w:highlight w:val="none"/>
        </w:rPr>
      </w:pPr>
      <w:r>
        <w:rPr>
          <w:rFonts w:hint="eastAsia" w:ascii="黑体" w:hAnsi="黑体" w:eastAsia="黑体" w:cs="黑体"/>
          <w:color w:val="auto"/>
          <w:highlight w:val="none"/>
        </w:rPr>
        <w:t>日期：    年   月   日</w:t>
      </w:r>
    </w:p>
    <w:p>
      <w:pPr>
        <w:spacing w:line="360" w:lineRule="auto"/>
        <w:ind w:firstLine="640"/>
        <w:rPr>
          <w:rFonts w:hint="eastAsia" w:ascii="黑体" w:hAnsi="黑体" w:eastAsia="黑体" w:cs="黑体"/>
          <w:bCs/>
          <w:color w:val="auto"/>
          <w:sz w:val="32"/>
          <w:szCs w:val="32"/>
          <w:highlight w:val="none"/>
        </w:rPr>
      </w:pPr>
    </w:p>
    <w:p>
      <w:pPr>
        <w:spacing w:line="360" w:lineRule="auto"/>
        <w:ind w:firstLine="640"/>
        <w:jc w:val="center"/>
        <w:rPr>
          <w:rFonts w:hint="eastAsia" w:ascii="黑体" w:hAnsi="黑体" w:eastAsia="黑体" w:cs="黑体"/>
          <w:bCs/>
          <w:color w:val="auto"/>
          <w:sz w:val="32"/>
          <w:szCs w:val="32"/>
          <w:highlight w:val="none"/>
        </w:rPr>
        <w:sectPr>
          <w:pgSz w:w="11906" w:h="16838"/>
          <w:pgMar w:top="1417" w:right="1134" w:bottom="1417" w:left="1134" w:header="851" w:footer="850" w:gutter="0"/>
          <w:pgBorders>
            <w:top w:val="none" w:sz="0" w:space="0"/>
            <w:left w:val="none" w:sz="0" w:space="0"/>
            <w:bottom w:val="none" w:sz="0" w:space="0"/>
            <w:right w:val="none" w:sz="0" w:space="0"/>
          </w:pgBorders>
          <w:cols w:space="0" w:num="1"/>
          <w:titlePg/>
          <w:docGrid w:linePitch="312" w:charSpace="0"/>
        </w:sectPr>
      </w:pPr>
    </w:p>
    <w:p>
      <w:pPr>
        <w:pStyle w:val="20"/>
        <w:ind w:firstLine="480"/>
        <w:rPr>
          <w:rFonts w:hint="eastAsia" w:ascii="黑体" w:hAnsi="黑体" w:eastAsia="黑体" w:cs="黑体"/>
          <w:color w:val="auto"/>
          <w:sz w:val="32"/>
          <w:szCs w:val="32"/>
          <w:highlight w:val="none"/>
        </w:rPr>
      </w:pPr>
      <w:r>
        <w:rPr>
          <w:rFonts w:hint="eastAsia" w:ascii="黑体" w:hAnsi="黑体" w:eastAsia="黑体" w:cs="黑体"/>
          <w:color w:val="auto"/>
          <w:highlight w:val="none"/>
        </w:rPr>
        <w:t>附件2</w:t>
      </w:r>
    </w:p>
    <w:p>
      <w:pPr>
        <w:spacing w:beforeLines="50" w:line="360" w:lineRule="auto"/>
        <w:ind w:firstLine="640"/>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所有资质文件</w:t>
      </w:r>
    </w:p>
    <w:p>
      <w:pPr>
        <w:spacing w:beforeLines="50" w:line="360" w:lineRule="auto"/>
        <w:ind w:firstLine="640"/>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关于资格的声明函</w:t>
      </w:r>
    </w:p>
    <w:p>
      <w:pPr>
        <w:spacing w:beforeLines="50"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致</w:t>
      </w:r>
      <w:r>
        <w:rPr>
          <w:rFonts w:hint="eastAsia" w:ascii="黑体" w:hAnsi="黑体" w:eastAsia="黑体" w:cs="黑体"/>
          <w:color w:val="auto"/>
          <w:highlight w:val="none"/>
          <w:u w:val="single"/>
        </w:rPr>
        <w:t xml:space="preserve">              </w:t>
      </w:r>
      <w:r>
        <w:rPr>
          <w:rFonts w:hint="eastAsia" w:ascii="黑体" w:hAnsi="黑体" w:eastAsia="黑体" w:cs="黑体"/>
          <w:color w:val="auto"/>
          <w:highlight w:val="none"/>
        </w:rPr>
        <w:t>：</w:t>
      </w:r>
    </w:p>
    <w:p>
      <w:pPr>
        <w:spacing w:beforeLines="50"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关于贵方招标项目，本签字人愿意参加投标，提供龙游县政府采购一览表中规定的要求及服务，并证实提交的下列文件和说明是准确的和真实的：</w:t>
      </w:r>
    </w:p>
    <w:p>
      <w:pPr>
        <w:spacing w:beforeLines="50"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1.投标人基本情况表。</w:t>
      </w:r>
    </w:p>
    <w:p>
      <w:pPr>
        <w:spacing w:beforeLines="50"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2.营业执照副本。（复印件盖章）</w:t>
      </w:r>
    </w:p>
    <w:p>
      <w:pPr>
        <w:spacing w:beforeLines="50"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3.税务登记证副本。（复印件盖章）</w:t>
      </w:r>
    </w:p>
    <w:p>
      <w:pPr>
        <w:spacing w:beforeLines="50"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4.组织机构代码证。（复印件盖章）</w:t>
      </w:r>
    </w:p>
    <w:p>
      <w:pPr>
        <w:spacing w:beforeLines="50"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5.企业资质证书副本。（复印件盖章）</w:t>
      </w:r>
    </w:p>
    <w:p>
      <w:pPr>
        <w:spacing w:beforeLines="50"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6.资质证书。（复印件盖章）</w:t>
      </w:r>
    </w:p>
    <w:p>
      <w:pPr>
        <w:spacing w:beforeLines="50"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7.最近一个季度依法缴纳税收和社保费的证明（税费凭证，或者依法缴纳税费或依法免缴税费的证明，社保交纳证明）。（复印件盖章）</w:t>
      </w:r>
    </w:p>
    <w:p>
      <w:pPr>
        <w:spacing w:beforeLines="50"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8.项目负责人职称证书。（复印件盖章）</w:t>
      </w:r>
    </w:p>
    <w:p>
      <w:pPr>
        <w:spacing w:beforeLines="50" w:line="360"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N.投标人认为有必要提供的声明及文件资料。</w:t>
      </w:r>
    </w:p>
    <w:p>
      <w:pPr>
        <w:spacing w:beforeLines="50" w:line="360" w:lineRule="auto"/>
        <w:ind w:firstLine="480"/>
        <w:rPr>
          <w:rFonts w:hint="eastAsia" w:ascii="黑体" w:hAnsi="黑体" w:eastAsia="黑体" w:cs="黑体"/>
          <w:color w:val="auto"/>
          <w:highlight w:val="none"/>
        </w:rPr>
      </w:pPr>
    </w:p>
    <w:p>
      <w:pPr>
        <w:spacing w:line="600" w:lineRule="exact"/>
        <w:ind w:firstLine="480"/>
        <w:rPr>
          <w:rFonts w:hint="eastAsia" w:ascii="黑体" w:hAnsi="黑体" w:eastAsia="黑体" w:cs="黑体"/>
          <w:b/>
          <w:color w:val="auto"/>
          <w:highlight w:val="none"/>
        </w:rPr>
      </w:pPr>
      <w:r>
        <w:rPr>
          <w:rFonts w:hint="eastAsia" w:ascii="黑体" w:hAnsi="黑体" w:eastAsia="黑体" w:cs="黑体"/>
          <w:b/>
          <w:color w:val="auto"/>
          <w:highlight w:val="none"/>
        </w:rPr>
        <w:t>如营业执照为五证合一上述2-4项仅需提供加盖公章的营业执照复印件。</w:t>
      </w:r>
    </w:p>
    <w:p>
      <w:pPr>
        <w:pStyle w:val="33"/>
        <w:ind w:left="0" w:leftChars="0" w:firstLine="0" w:firstLineChars="0"/>
        <w:rPr>
          <w:rFonts w:hint="eastAsia" w:ascii="黑体" w:hAnsi="黑体" w:eastAsia="黑体" w:cs="黑体"/>
          <w:color w:val="auto"/>
          <w:highlight w:val="none"/>
        </w:rPr>
      </w:pPr>
    </w:p>
    <w:p>
      <w:pPr>
        <w:spacing w:beforeLines="50" w:line="360" w:lineRule="auto"/>
        <w:ind w:firstLine="0" w:firstLineChars="0"/>
        <w:rPr>
          <w:rFonts w:hint="eastAsia" w:ascii="黑体" w:hAnsi="黑体" w:eastAsia="黑体" w:cs="黑体"/>
          <w:bCs/>
          <w:color w:val="auto"/>
          <w:szCs w:val="24"/>
          <w:highlight w:val="none"/>
        </w:rPr>
        <w:sectPr>
          <w:pgSz w:w="11906" w:h="16838"/>
          <w:pgMar w:top="1417" w:right="1134" w:bottom="1417" w:left="1134" w:header="851" w:footer="850" w:gutter="0"/>
          <w:pgBorders>
            <w:top w:val="none" w:sz="0" w:space="0"/>
            <w:left w:val="none" w:sz="0" w:space="0"/>
            <w:bottom w:val="none" w:sz="0" w:space="0"/>
            <w:right w:val="none" w:sz="0" w:space="0"/>
          </w:pgBorders>
          <w:cols w:space="0" w:num="1"/>
          <w:titlePg/>
          <w:docGrid w:linePitch="312" w:charSpace="0"/>
        </w:sectPr>
      </w:pPr>
    </w:p>
    <w:p>
      <w:pPr>
        <w:pStyle w:val="20"/>
        <w:ind w:firstLine="480"/>
        <w:rPr>
          <w:rFonts w:hint="eastAsia" w:ascii="黑体" w:hAnsi="黑体" w:eastAsia="黑体" w:cs="黑体"/>
          <w:color w:val="auto"/>
          <w:sz w:val="32"/>
          <w:szCs w:val="32"/>
          <w:highlight w:val="none"/>
        </w:rPr>
      </w:pPr>
      <w:r>
        <w:rPr>
          <w:rFonts w:hint="eastAsia" w:ascii="黑体" w:hAnsi="黑体" w:eastAsia="黑体" w:cs="黑体"/>
          <w:color w:val="auto"/>
          <w:highlight w:val="none"/>
        </w:rPr>
        <w:t>附件3</w:t>
      </w:r>
    </w:p>
    <w:p>
      <w:pPr>
        <w:spacing w:beforeLines="50" w:line="360" w:lineRule="auto"/>
        <w:ind w:firstLine="0" w:firstLineChars="0"/>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法定代表人授权委托书</w:t>
      </w:r>
    </w:p>
    <w:p>
      <w:pPr>
        <w:snapToGrid w:val="0"/>
        <w:spacing w:line="312" w:lineRule="auto"/>
        <w:ind w:firstLine="480"/>
        <w:rPr>
          <w:rFonts w:hint="eastAsia" w:ascii="黑体" w:hAnsi="黑体" w:eastAsia="黑体" w:cs="黑体"/>
          <w:color w:val="auto"/>
          <w:highlight w:val="none"/>
          <w:lang w:val="zh-CN"/>
        </w:rPr>
      </w:pPr>
      <w:r>
        <w:rPr>
          <w:rFonts w:hint="eastAsia" w:ascii="黑体" w:hAnsi="黑体" w:eastAsia="黑体" w:cs="黑体"/>
          <w:color w:val="auto"/>
          <w:highlight w:val="none"/>
          <w:lang w:val="zh-CN"/>
        </w:rPr>
        <w:t>本人</w:t>
      </w:r>
      <w:r>
        <w:rPr>
          <w:rFonts w:hint="eastAsia" w:ascii="黑体" w:hAnsi="黑体" w:eastAsia="黑体" w:cs="黑体"/>
          <w:color w:val="auto"/>
          <w:highlight w:val="none"/>
          <w:u w:val="single"/>
          <w:lang w:val="zh-CN"/>
        </w:rPr>
        <w:t xml:space="preserve">  （姓名）  </w:t>
      </w:r>
      <w:r>
        <w:rPr>
          <w:rFonts w:hint="eastAsia" w:ascii="黑体" w:hAnsi="黑体" w:eastAsia="黑体" w:cs="黑体"/>
          <w:color w:val="auto"/>
          <w:highlight w:val="none"/>
          <w:lang w:val="zh-CN"/>
        </w:rPr>
        <w:t>系</w:t>
      </w:r>
      <w:r>
        <w:rPr>
          <w:rFonts w:hint="eastAsia" w:ascii="黑体" w:hAnsi="黑体" w:eastAsia="黑体" w:cs="黑体"/>
          <w:color w:val="auto"/>
          <w:highlight w:val="none"/>
          <w:u w:val="single"/>
          <w:lang w:val="zh-CN"/>
        </w:rPr>
        <w:t xml:space="preserve">      （投标人名称）      </w:t>
      </w:r>
      <w:r>
        <w:rPr>
          <w:rFonts w:hint="eastAsia" w:ascii="黑体" w:hAnsi="黑体" w:eastAsia="黑体" w:cs="黑体"/>
          <w:color w:val="auto"/>
          <w:highlight w:val="none"/>
          <w:lang w:val="zh-CN"/>
        </w:rPr>
        <w:t>的法定代表人，现授权</w:t>
      </w:r>
      <w:r>
        <w:rPr>
          <w:rFonts w:hint="eastAsia" w:ascii="黑体" w:hAnsi="黑体" w:eastAsia="黑体" w:cs="黑体"/>
          <w:color w:val="auto"/>
          <w:highlight w:val="none"/>
          <w:u w:val="single"/>
          <w:lang w:val="zh-CN"/>
        </w:rPr>
        <w:t xml:space="preserve">  （姓名）  </w:t>
      </w:r>
      <w:r>
        <w:rPr>
          <w:rFonts w:hint="eastAsia" w:ascii="黑体" w:hAnsi="黑体" w:eastAsia="黑体" w:cs="黑体"/>
          <w:color w:val="auto"/>
          <w:highlight w:val="none"/>
          <w:lang w:val="zh-CN"/>
        </w:rPr>
        <w:t>（</w:t>
      </w:r>
      <w:r>
        <w:rPr>
          <w:rFonts w:hint="eastAsia" w:ascii="黑体" w:hAnsi="黑体" w:eastAsia="黑体" w:cs="黑体"/>
          <w:color w:val="auto"/>
          <w:highlight w:val="none"/>
          <w:u w:val="single"/>
          <w:lang w:val="zh-CN"/>
        </w:rPr>
        <w:t xml:space="preserve">   身份证号码   </w:t>
      </w:r>
      <w:r>
        <w:rPr>
          <w:rFonts w:hint="eastAsia" w:ascii="黑体" w:hAnsi="黑体" w:eastAsia="黑体" w:cs="黑体"/>
          <w:color w:val="auto"/>
          <w:highlight w:val="none"/>
          <w:lang w:val="zh-CN"/>
        </w:rPr>
        <w:t>）为我方代理人。授权代理人根据授权对</w:t>
      </w:r>
      <w:r>
        <w:rPr>
          <w:rFonts w:hint="eastAsia" w:ascii="黑体" w:hAnsi="黑体" w:eastAsia="黑体" w:cs="黑体"/>
          <w:color w:val="auto"/>
          <w:highlight w:val="none"/>
          <w:u w:val="single"/>
          <w:lang w:val="zh-CN"/>
        </w:rPr>
        <w:t xml:space="preserve">      （项目名称）</w:t>
      </w:r>
      <w:r>
        <w:rPr>
          <w:rFonts w:hint="eastAsia" w:ascii="黑体" w:hAnsi="黑体" w:eastAsia="黑体" w:cs="黑体"/>
          <w:color w:val="auto"/>
          <w:highlight w:val="none"/>
          <w:u w:val="single"/>
        </w:rPr>
        <w:t xml:space="preserve">   </w:t>
      </w:r>
      <w:r>
        <w:rPr>
          <w:rFonts w:hint="eastAsia" w:ascii="黑体" w:hAnsi="黑体" w:eastAsia="黑体" w:cs="黑体"/>
          <w:color w:val="auto"/>
          <w:highlight w:val="none"/>
          <w:u w:val="single"/>
          <w:lang w:val="zh-CN"/>
        </w:rPr>
        <w:t xml:space="preserve">  </w:t>
      </w:r>
      <w:r>
        <w:rPr>
          <w:rFonts w:hint="eastAsia" w:ascii="黑体" w:hAnsi="黑体" w:eastAsia="黑体" w:cs="黑体"/>
          <w:color w:val="auto"/>
          <w:highlight w:val="none"/>
          <w:lang w:val="zh-CN"/>
        </w:rPr>
        <w:t>投标，以我方名义签署、澄清、说明、补正、提交、撤回、修改投标文件，签订合同和处理有关事宜，其法律后果由我方承担。</w:t>
      </w:r>
    </w:p>
    <w:p>
      <w:pPr>
        <w:snapToGrid w:val="0"/>
        <w:spacing w:line="312" w:lineRule="auto"/>
        <w:ind w:firstLine="480"/>
        <w:rPr>
          <w:rFonts w:hint="eastAsia" w:ascii="黑体" w:hAnsi="黑体" w:eastAsia="黑体" w:cs="黑体"/>
          <w:color w:val="auto"/>
          <w:highlight w:val="none"/>
          <w:lang w:val="zh-CN"/>
        </w:rPr>
      </w:pPr>
    </w:p>
    <w:p>
      <w:pPr>
        <w:snapToGrid w:val="0"/>
        <w:spacing w:line="312" w:lineRule="auto"/>
        <w:ind w:firstLine="480"/>
        <w:rPr>
          <w:rFonts w:hint="eastAsia" w:ascii="黑体" w:hAnsi="黑体" w:eastAsia="黑体" w:cs="黑体"/>
          <w:color w:val="auto"/>
          <w:highlight w:val="none"/>
          <w:lang w:val="zh-CN"/>
        </w:rPr>
      </w:pPr>
      <w:r>
        <w:rPr>
          <w:rFonts w:hint="eastAsia" w:ascii="黑体" w:hAnsi="黑体" w:eastAsia="黑体" w:cs="黑体"/>
          <w:color w:val="auto"/>
          <w:highlight w:val="none"/>
          <w:lang w:val="zh-CN"/>
        </w:rPr>
        <w:t>委托期限：2021年  月  日-2021年  月  日止</w:t>
      </w:r>
    </w:p>
    <w:p>
      <w:pPr>
        <w:snapToGrid w:val="0"/>
        <w:spacing w:line="312" w:lineRule="auto"/>
        <w:ind w:firstLine="480"/>
        <w:rPr>
          <w:rFonts w:hint="eastAsia" w:ascii="黑体" w:hAnsi="黑体" w:eastAsia="黑体" w:cs="黑体"/>
          <w:color w:val="auto"/>
          <w:highlight w:val="none"/>
          <w:lang w:val="zh-CN"/>
        </w:rPr>
      </w:pPr>
      <w:r>
        <w:rPr>
          <w:rFonts w:hint="eastAsia" w:ascii="黑体" w:hAnsi="黑体" w:eastAsia="黑体" w:cs="黑体"/>
          <w:color w:val="auto"/>
          <w:highlight w:val="none"/>
          <w:lang w:val="zh-CN"/>
        </w:rPr>
        <w:t>授权代理人无转委托权。</w:t>
      </w:r>
    </w:p>
    <w:p>
      <w:pPr>
        <w:snapToGrid w:val="0"/>
        <w:spacing w:line="312" w:lineRule="auto"/>
        <w:ind w:firstLine="480"/>
        <w:rPr>
          <w:rFonts w:hint="eastAsia" w:ascii="黑体" w:hAnsi="黑体" w:eastAsia="黑体" w:cs="黑体"/>
          <w:color w:val="auto"/>
          <w:highlight w:val="none"/>
          <w:lang w:val="zh-CN"/>
        </w:rPr>
      </w:pPr>
    </w:p>
    <w:p>
      <w:pPr>
        <w:snapToGrid w:val="0"/>
        <w:spacing w:line="312" w:lineRule="auto"/>
        <w:ind w:firstLine="480"/>
        <w:rPr>
          <w:rFonts w:hint="eastAsia" w:ascii="黑体" w:hAnsi="黑体" w:eastAsia="黑体" w:cs="黑体"/>
          <w:color w:val="auto"/>
          <w:highlight w:val="none"/>
          <w:lang w:val="zh-CN"/>
        </w:rPr>
      </w:pPr>
    </w:p>
    <w:p>
      <w:pPr>
        <w:snapToGrid w:val="0"/>
        <w:spacing w:line="312" w:lineRule="auto"/>
        <w:ind w:firstLine="480"/>
        <w:rPr>
          <w:rFonts w:hint="eastAsia" w:ascii="黑体" w:hAnsi="黑体" w:eastAsia="黑体" w:cs="黑体"/>
          <w:color w:val="auto"/>
          <w:highlight w:val="none"/>
          <w:lang w:val="zh-CN"/>
        </w:rPr>
      </w:pPr>
    </w:p>
    <w:p>
      <w:pPr>
        <w:adjustRightInd w:val="0"/>
        <w:snapToGrid w:val="0"/>
        <w:spacing w:line="360" w:lineRule="auto"/>
        <w:ind w:firstLine="4759" w:firstLineChars="1983"/>
        <w:rPr>
          <w:rFonts w:hint="eastAsia" w:ascii="黑体" w:hAnsi="黑体" w:eastAsia="黑体" w:cs="黑体"/>
          <w:color w:val="auto"/>
          <w:szCs w:val="24"/>
          <w:highlight w:val="none"/>
        </w:rPr>
      </w:pPr>
      <w:r>
        <w:rPr>
          <w:rFonts w:hint="eastAsia" w:ascii="黑体" w:hAnsi="黑体" w:eastAsia="黑体" w:cs="黑体"/>
          <w:color w:val="auto"/>
          <w:szCs w:val="24"/>
          <w:highlight w:val="none"/>
        </w:rPr>
        <w:t>投标人（盖章）：</w:t>
      </w:r>
    </w:p>
    <w:p>
      <w:pPr>
        <w:adjustRightInd w:val="0"/>
        <w:snapToGrid w:val="0"/>
        <w:spacing w:line="360" w:lineRule="auto"/>
        <w:ind w:firstLine="4759" w:firstLineChars="1983"/>
        <w:rPr>
          <w:rFonts w:hint="eastAsia" w:ascii="黑体" w:hAnsi="黑体" w:eastAsia="黑体" w:cs="黑体"/>
          <w:color w:val="auto"/>
          <w:szCs w:val="24"/>
          <w:highlight w:val="none"/>
        </w:rPr>
      </w:pPr>
      <w:r>
        <w:rPr>
          <w:rFonts w:hint="eastAsia" w:ascii="黑体" w:hAnsi="黑体" w:eastAsia="黑体" w:cs="黑体"/>
          <w:color w:val="auto"/>
          <w:szCs w:val="24"/>
          <w:highlight w:val="none"/>
        </w:rPr>
        <w:t>法定代表人（签字或盖章）：</w:t>
      </w:r>
    </w:p>
    <w:p>
      <w:pPr>
        <w:adjustRightInd w:val="0"/>
        <w:snapToGrid w:val="0"/>
        <w:spacing w:line="360" w:lineRule="auto"/>
        <w:ind w:firstLine="4759" w:firstLineChars="1983"/>
        <w:rPr>
          <w:rFonts w:hint="eastAsia" w:ascii="黑体" w:hAnsi="黑体" w:eastAsia="黑体" w:cs="黑体"/>
          <w:color w:val="auto"/>
          <w:szCs w:val="24"/>
          <w:highlight w:val="none"/>
        </w:rPr>
      </w:pPr>
      <w:r>
        <w:rPr>
          <w:rFonts w:hint="eastAsia" w:ascii="黑体" w:hAnsi="黑体" w:eastAsia="黑体" w:cs="黑体"/>
          <w:color w:val="auto"/>
          <w:szCs w:val="24"/>
          <w:highlight w:val="none"/>
        </w:rPr>
        <w:t>法定代表人移动电话：</w:t>
      </w:r>
    </w:p>
    <w:p>
      <w:pPr>
        <w:adjustRightInd w:val="0"/>
        <w:snapToGrid w:val="0"/>
        <w:spacing w:line="360" w:lineRule="auto"/>
        <w:ind w:firstLine="4759" w:firstLineChars="1983"/>
        <w:rPr>
          <w:rFonts w:hint="eastAsia" w:ascii="黑体" w:hAnsi="黑体" w:eastAsia="黑体" w:cs="黑体"/>
          <w:color w:val="auto"/>
          <w:szCs w:val="24"/>
          <w:highlight w:val="none"/>
        </w:rPr>
      </w:pPr>
      <w:r>
        <w:rPr>
          <w:rFonts w:hint="eastAsia" w:ascii="黑体" w:hAnsi="黑体" w:eastAsia="黑体" w:cs="黑体"/>
          <w:color w:val="auto"/>
          <w:szCs w:val="24"/>
          <w:highlight w:val="none"/>
        </w:rPr>
        <w:t>授权代理人移动电话：</w:t>
      </w:r>
    </w:p>
    <w:p>
      <w:pPr>
        <w:adjustRightInd w:val="0"/>
        <w:snapToGrid w:val="0"/>
        <w:spacing w:line="360" w:lineRule="auto"/>
        <w:ind w:firstLine="4759" w:firstLineChars="1983"/>
        <w:rPr>
          <w:rFonts w:hint="eastAsia" w:ascii="黑体" w:hAnsi="黑体" w:eastAsia="黑体" w:cs="黑体"/>
          <w:color w:val="auto"/>
          <w:szCs w:val="24"/>
          <w:highlight w:val="none"/>
        </w:rPr>
      </w:pPr>
      <w:r>
        <w:rPr>
          <w:rFonts w:hint="eastAsia" w:ascii="黑体" w:hAnsi="黑体" w:eastAsia="黑体" w:cs="黑体"/>
          <w:color w:val="auto"/>
          <w:szCs w:val="24"/>
          <w:highlight w:val="none"/>
        </w:rPr>
        <w:t>日  期：</w:t>
      </w:r>
    </w:p>
    <w:p>
      <w:pPr>
        <w:tabs>
          <w:tab w:val="left" w:pos="1575"/>
        </w:tabs>
        <w:snapToGrid w:val="0"/>
        <w:ind w:firstLine="480"/>
        <w:rPr>
          <w:rFonts w:hint="eastAsia" w:ascii="黑体" w:hAnsi="黑体" w:eastAsia="黑体" w:cs="黑体"/>
          <w:color w:val="auto"/>
          <w:highlight w:val="none"/>
        </w:rPr>
      </w:pPr>
    </w:p>
    <w:p>
      <w:pPr>
        <w:tabs>
          <w:tab w:val="left" w:pos="1575"/>
        </w:tabs>
        <w:snapToGrid w:val="0"/>
        <w:ind w:firstLine="480"/>
        <w:rPr>
          <w:rFonts w:hint="eastAsia" w:ascii="黑体" w:hAnsi="黑体" w:eastAsia="黑体" w:cs="黑体"/>
          <w:color w:val="auto"/>
          <w:highlight w:val="none"/>
          <w:lang w:val="zh-CN"/>
        </w:rPr>
      </w:pPr>
    </w:p>
    <w:p>
      <w:pPr>
        <w:tabs>
          <w:tab w:val="left" w:pos="1575"/>
        </w:tabs>
        <w:snapToGrid w:val="0"/>
        <w:ind w:firstLine="480"/>
        <w:rPr>
          <w:rFonts w:hint="eastAsia" w:ascii="黑体" w:hAnsi="黑体" w:eastAsia="黑体" w:cs="黑体"/>
          <w:color w:val="auto"/>
          <w:highlight w:val="none"/>
          <w:lang w:val="zh-CN"/>
        </w:rPr>
      </w:pPr>
    </w:p>
    <w:p>
      <w:pPr>
        <w:snapToGrid w:val="0"/>
        <w:spacing w:line="312" w:lineRule="auto"/>
        <w:ind w:firstLine="480"/>
        <w:rPr>
          <w:rFonts w:hint="eastAsia" w:ascii="黑体" w:hAnsi="黑体" w:eastAsia="黑体" w:cs="黑体"/>
          <w:color w:val="auto"/>
          <w:highlight w:val="none"/>
          <w:lang w:val="zh-CN"/>
        </w:rPr>
      </w:pPr>
      <w:r>
        <w:rPr>
          <w:rFonts w:hint="eastAsia" w:ascii="黑体" w:hAnsi="黑体" w:eastAsia="黑体" w:cs="黑体"/>
          <w:color w:val="auto"/>
          <w:highlight w:val="none"/>
          <w:lang w:val="zh-CN"/>
        </w:rPr>
        <w:t>后附法定代表人和授权代理人的双面身份证复印件，若是法定代表人参加投标的及签署投标文件的则不需提供该授权书</w:t>
      </w:r>
    </w:p>
    <w:p>
      <w:pPr>
        <w:spacing w:beforeLines="50" w:line="360" w:lineRule="auto"/>
        <w:ind w:firstLine="0" w:firstLineChars="0"/>
        <w:rPr>
          <w:rFonts w:hint="eastAsia" w:ascii="黑体" w:hAnsi="黑体" w:eastAsia="黑体" w:cs="黑体"/>
          <w:color w:val="auto"/>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sectPr>
          <w:pgSz w:w="11906" w:h="16838"/>
          <w:pgMar w:top="1417" w:right="1134" w:bottom="1417" w:left="1134" w:header="851" w:footer="850" w:gutter="0"/>
          <w:pgBorders>
            <w:top w:val="none" w:sz="0" w:space="0"/>
            <w:left w:val="none" w:sz="0" w:space="0"/>
            <w:bottom w:val="none" w:sz="0" w:space="0"/>
            <w:right w:val="none" w:sz="0" w:space="0"/>
          </w:pgBorders>
          <w:cols w:space="0" w:num="1"/>
          <w:titlePg/>
          <w:docGrid w:linePitch="312" w:charSpace="0"/>
        </w:sectPr>
      </w:pPr>
    </w:p>
    <w:p>
      <w:pPr>
        <w:adjustRightInd w:val="0"/>
        <w:snapToGrid w:val="0"/>
        <w:spacing w:line="360" w:lineRule="auto"/>
        <w:ind w:firstLine="0" w:firstLineChars="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附件4</w:t>
      </w:r>
    </w:p>
    <w:p>
      <w:pPr>
        <w:adjustRightInd w:val="0"/>
        <w:snapToGrid w:val="0"/>
        <w:spacing w:line="480" w:lineRule="auto"/>
        <w:ind w:firstLine="0" w:firstLineChars="0"/>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近三年内，在经营活动中没有重大违法记录的承诺书</w:t>
      </w:r>
    </w:p>
    <w:p>
      <w:pPr>
        <w:snapToGrid w:val="0"/>
        <w:spacing w:line="360" w:lineRule="auto"/>
        <w:ind w:firstLine="0" w:firstLineChars="0"/>
        <w:rPr>
          <w:rFonts w:hint="eastAsia" w:ascii="黑体" w:hAnsi="黑体" w:eastAsia="黑体" w:cs="黑体"/>
          <w:color w:val="auto"/>
          <w:highlight w:val="none"/>
          <w:lang w:val="zh-CN" w:eastAsia="zh-CN"/>
        </w:rPr>
      </w:pPr>
      <w:r>
        <w:rPr>
          <w:rFonts w:hint="eastAsia" w:ascii="黑体" w:hAnsi="黑体" w:eastAsia="黑体" w:cs="黑体"/>
          <w:color w:val="auto"/>
          <w:highlight w:val="none"/>
          <w:lang w:val="zh-CN"/>
        </w:rPr>
        <w:t>致：</w:t>
      </w:r>
      <w:r>
        <w:rPr>
          <w:rFonts w:hint="eastAsia" w:ascii="黑体" w:hAnsi="黑体" w:eastAsia="黑体" w:cs="黑体"/>
          <w:color w:val="auto"/>
          <w:highlight w:val="none"/>
        </w:rPr>
        <w:t>龙游县市场监督管理局            项目编号：</w:t>
      </w:r>
      <w:r>
        <w:rPr>
          <w:rFonts w:hint="eastAsia" w:ascii="黑体" w:hAnsi="黑体" w:eastAsia="黑体" w:cs="黑体"/>
          <w:color w:val="auto"/>
          <w:highlight w:val="none"/>
          <w:lang w:eastAsia="zh-CN"/>
        </w:rPr>
        <w:t>OBZFCG2021-033</w:t>
      </w:r>
    </w:p>
    <w:p>
      <w:pPr>
        <w:snapToGrid w:val="0"/>
        <w:spacing w:line="360" w:lineRule="auto"/>
        <w:ind w:firstLine="480"/>
        <w:rPr>
          <w:rFonts w:hint="eastAsia" w:ascii="黑体" w:hAnsi="黑体" w:eastAsia="黑体" w:cs="黑体"/>
          <w:color w:val="auto"/>
          <w:highlight w:val="none"/>
          <w:lang w:val="zh-CN"/>
        </w:rPr>
      </w:pPr>
      <w:r>
        <w:rPr>
          <w:rFonts w:hint="eastAsia" w:ascii="黑体" w:hAnsi="黑体" w:eastAsia="黑体" w:cs="黑体"/>
          <w:color w:val="auto"/>
          <w:highlight w:val="none"/>
          <w:lang w:val="zh-CN"/>
        </w:rPr>
        <w:t>我单位近三年内，在经营活动中没有重大违法记录，特此承诺。</w:t>
      </w:r>
    </w:p>
    <w:p>
      <w:pPr>
        <w:snapToGrid w:val="0"/>
        <w:spacing w:line="360" w:lineRule="auto"/>
        <w:ind w:firstLine="480"/>
        <w:rPr>
          <w:rFonts w:hint="eastAsia" w:ascii="黑体" w:hAnsi="黑体" w:eastAsia="黑体" w:cs="黑体"/>
          <w:color w:val="auto"/>
          <w:highlight w:val="none"/>
          <w:lang w:val="zh-CN"/>
        </w:rPr>
      </w:pPr>
      <w:r>
        <w:rPr>
          <w:rFonts w:hint="eastAsia" w:ascii="黑体" w:hAnsi="黑体" w:eastAsia="黑体" w:cs="黑体"/>
          <w:color w:val="auto"/>
          <w:highlight w:val="none"/>
          <w:lang w:val="zh-CN"/>
        </w:rPr>
        <w:t>若采购单位在本项目</w:t>
      </w:r>
      <w:r>
        <w:rPr>
          <w:rFonts w:hint="eastAsia" w:ascii="黑体" w:hAnsi="黑体" w:eastAsia="黑体" w:cs="黑体"/>
          <w:bCs/>
          <w:color w:val="auto"/>
          <w:highlight w:val="none"/>
          <w:u w:val="single"/>
          <w:lang w:eastAsia="zh-CN"/>
        </w:rPr>
        <w:t>龙游县市场监督管理局2022年-2023年食品安全监督抽检项目</w:t>
      </w:r>
      <w:r>
        <w:rPr>
          <w:rFonts w:hint="eastAsia" w:ascii="黑体" w:hAnsi="黑体" w:eastAsia="黑体" w:cs="黑体"/>
          <w:color w:val="auto"/>
          <w:highlight w:val="none"/>
          <w:u w:val="single"/>
          <w:lang w:val="zh-CN"/>
        </w:rPr>
        <w:t> 项目编号：OBZFCG2021-033号）</w:t>
      </w:r>
      <w:r>
        <w:rPr>
          <w:rFonts w:hint="eastAsia" w:ascii="黑体" w:hAnsi="黑体" w:eastAsia="黑体" w:cs="黑体"/>
          <w:color w:val="auto"/>
          <w:highlight w:val="none"/>
          <w:u w:val="single"/>
        </w:rPr>
        <w:t xml:space="preserve"> </w:t>
      </w:r>
      <w:r>
        <w:rPr>
          <w:rFonts w:hint="eastAsia" w:ascii="黑体" w:hAnsi="黑体" w:eastAsia="黑体" w:cs="黑体"/>
          <w:color w:val="auto"/>
          <w:highlight w:val="none"/>
          <w:lang w:val="zh-CN"/>
        </w:rPr>
        <w:t>采购过程中发现我单位近三年内在经营活动中有重大违法记录，我单位将无条件地退出本项目的采购活动，并承担因此引起的一切后果。时间为开标之日起往前推三年。</w:t>
      </w:r>
    </w:p>
    <w:p>
      <w:pPr>
        <w:snapToGrid w:val="0"/>
        <w:spacing w:line="312" w:lineRule="auto"/>
        <w:ind w:firstLine="480"/>
        <w:rPr>
          <w:rFonts w:hint="eastAsia" w:ascii="黑体" w:hAnsi="黑体" w:eastAsia="黑体" w:cs="黑体"/>
          <w:color w:val="auto"/>
          <w:highlight w:val="none"/>
          <w:lang w:val="zh-CN"/>
        </w:rPr>
      </w:pPr>
    </w:p>
    <w:p>
      <w:pPr>
        <w:snapToGrid w:val="0"/>
        <w:spacing w:line="312" w:lineRule="auto"/>
        <w:ind w:firstLine="480"/>
        <w:rPr>
          <w:rFonts w:hint="eastAsia" w:ascii="黑体" w:hAnsi="黑体" w:eastAsia="黑体" w:cs="黑体"/>
          <w:color w:val="auto"/>
          <w:highlight w:val="none"/>
          <w:lang w:val="zh-CN"/>
        </w:rPr>
      </w:pPr>
    </w:p>
    <w:p>
      <w:pPr>
        <w:snapToGrid w:val="0"/>
        <w:spacing w:line="312" w:lineRule="auto"/>
        <w:ind w:firstLine="480"/>
        <w:rPr>
          <w:rFonts w:hint="eastAsia" w:ascii="黑体" w:hAnsi="黑体" w:eastAsia="黑体" w:cs="黑体"/>
          <w:color w:val="auto"/>
          <w:highlight w:val="none"/>
          <w:lang w:val="zh-CN"/>
        </w:rPr>
      </w:pP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供应商：</w:t>
      </w:r>
      <w:r>
        <w:rPr>
          <w:rFonts w:hint="eastAsia" w:ascii="黑体" w:hAnsi="黑体" w:eastAsia="黑体" w:cs="黑体"/>
          <w:color w:val="auto"/>
          <w:highlight w:val="none"/>
          <w:u w:val="single"/>
        </w:rPr>
        <w:t xml:space="preserve">                               （盖章）</w:t>
      </w: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法定代表人或授权委托人：</w:t>
      </w:r>
      <w:r>
        <w:rPr>
          <w:rFonts w:hint="eastAsia" w:ascii="黑体" w:hAnsi="黑体" w:eastAsia="黑体" w:cs="黑体"/>
          <w:color w:val="auto"/>
          <w:highlight w:val="none"/>
          <w:u w:val="single"/>
        </w:rPr>
        <w:t xml:space="preserve">         （签字或盖章）</w:t>
      </w:r>
    </w:p>
    <w:p>
      <w:pPr>
        <w:widowControl/>
        <w:adjustRightInd w:val="0"/>
        <w:snapToGrid w:val="0"/>
        <w:spacing w:line="360" w:lineRule="auto"/>
        <w:ind w:firstLine="3360" w:firstLineChars="1400"/>
        <w:rPr>
          <w:rFonts w:hint="eastAsia" w:ascii="黑体" w:hAnsi="黑体" w:eastAsia="黑体" w:cs="黑体"/>
          <w:color w:val="auto"/>
          <w:highlight w:val="none"/>
        </w:rPr>
      </w:pPr>
      <w:r>
        <w:rPr>
          <w:rFonts w:hint="eastAsia" w:ascii="黑体" w:hAnsi="黑体" w:eastAsia="黑体" w:cs="黑体"/>
          <w:color w:val="auto"/>
          <w:highlight w:val="none"/>
        </w:rPr>
        <w:t>日期：    年   月   日</w:t>
      </w:r>
    </w:p>
    <w:p>
      <w:pPr>
        <w:spacing w:beforeLines="50" w:line="360" w:lineRule="auto"/>
        <w:ind w:firstLine="0" w:firstLineChars="0"/>
        <w:rPr>
          <w:rFonts w:hint="eastAsia" w:ascii="黑体" w:hAnsi="黑体" w:eastAsia="黑体" w:cs="黑体"/>
          <w:bCs/>
          <w:color w:val="auto"/>
          <w:szCs w:val="24"/>
          <w:highlight w:val="none"/>
        </w:rPr>
        <w:sectPr>
          <w:pgSz w:w="11906" w:h="16838"/>
          <w:pgMar w:top="1417" w:right="1134" w:bottom="1417" w:left="1134" w:header="851" w:footer="850" w:gutter="0"/>
          <w:pgBorders>
            <w:top w:val="none" w:sz="0" w:space="0"/>
            <w:left w:val="none" w:sz="0" w:space="0"/>
            <w:bottom w:val="none" w:sz="0" w:space="0"/>
            <w:right w:val="none" w:sz="0" w:space="0"/>
          </w:pgBorders>
          <w:cols w:space="0" w:num="1"/>
          <w:titlePg/>
          <w:docGrid w:linePitch="312" w:charSpace="0"/>
        </w:sectPr>
      </w:pPr>
    </w:p>
    <w:p>
      <w:pPr>
        <w:adjustRightInd w:val="0"/>
        <w:snapToGrid w:val="0"/>
        <w:spacing w:line="360" w:lineRule="auto"/>
        <w:ind w:firstLine="0" w:firstLineChars="0"/>
        <w:rPr>
          <w:rFonts w:hint="eastAsia" w:ascii="黑体" w:hAnsi="黑体" w:eastAsia="黑体" w:cs="黑体"/>
          <w:bCs/>
          <w:color w:val="auto"/>
          <w:szCs w:val="24"/>
          <w:highlight w:val="none"/>
        </w:rPr>
      </w:pPr>
      <w:r>
        <w:rPr>
          <w:rFonts w:hint="eastAsia" w:ascii="黑体" w:hAnsi="黑体" w:eastAsia="黑体" w:cs="黑体"/>
          <w:bCs/>
          <w:color w:val="auto"/>
          <w:szCs w:val="24"/>
          <w:highlight w:val="none"/>
        </w:rPr>
        <w:t>附件5</w:t>
      </w:r>
    </w:p>
    <w:p>
      <w:pPr>
        <w:widowControl/>
        <w:tabs>
          <w:tab w:val="left" w:pos="4170"/>
          <w:tab w:val="center" w:pos="5199"/>
        </w:tabs>
        <w:ind w:firstLine="0" w:firstLineChars="0"/>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类似案例业绩一览表</w:t>
      </w:r>
    </w:p>
    <w:tbl>
      <w:tblPr>
        <w:tblStyle w:val="34"/>
        <w:tblpPr w:leftFromText="180" w:rightFromText="180" w:vertAnchor="text" w:horzAnchor="page" w:tblpXSpec="center" w:tblpY="30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640"/>
        <w:gridCol w:w="1580"/>
        <w:gridCol w:w="1580"/>
        <w:gridCol w:w="176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434" w:type="pct"/>
            <w:vAlign w:val="center"/>
          </w:tcPr>
          <w:p>
            <w:pPr>
              <w:snapToGrid w:val="0"/>
              <w:spacing w:beforeLines="30" w:afterLines="30"/>
              <w:ind w:firstLine="0" w:firstLineChars="0"/>
              <w:jc w:val="center"/>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序号</w:t>
            </w:r>
          </w:p>
        </w:tc>
        <w:tc>
          <w:tcPr>
            <w:tcW w:w="1325" w:type="pct"/>
            <w:vAlign w:val="center"/>
          </w:tcPr>
          <w:p>
            <w:pPr>
              <w:snapToGrid w:val="0"/>
              <w:spacing w:beforeLines="30" w:afterLines="30"/>
              <w:ind w:firstLine="0" w:firstLineChars="0"/>
              <w:jc w:val="center"/>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项目名称</w:t>
            </w:r>
          </w:p>
        </w:tc>
        <w:tc>
          <w:tcPr>
            <w:tcW w:w="793" w:type="pct"/>
            <w:vAlign w:val="center"/>
          </w:tcPr>
          <w:p>
            <w:pPr>
              <w:snapToGrid w:val="0"/>
              <w:spacing w:beforeLines="30" w:afterLines="30"/>
              <w:ind w:firstLine="0" w:firstLineChars="0"/>
              <w:jc w:val="center"/>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项目类型</w:t>
            </w:r>
          </w:p>
        </w:tc>
        <w:tc>
          <w:tcPr>
            <w:tcW w:w="793" w:type="pct"/>
            <w:vAlign w:val="center"/>
          </w:tcPr>
          <w:p>
            <w:pPr>
              <w:snapToGrid w:val="0"/>
              <w:spacing w:beforeLines="30" w:afterLines="30"/>
              <w:ind w:firstLine="0" w:firstLineChars="0"/>
              <w:jc w:val="center"/>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实施时间</w:t>
            </w:r>
          </w:p>
        </w:tc>
        <w:tc>
          <w:tcPr>
            <w:tcW w:w="883" w:type="pct"/>
            <w:vAlign w:val="center"/>
          </w:tcPr>
          <w:p>
            <w:pPr>
              <w:snapToGrid w:val="0"/>
              <w:spacing w:beforeLines="30" w:afterLines="30"/>
              <w:ind w:firstLine="0" w:firstLineChars="0"/>
              <w:jc w:val="center"/>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项目单位、联系人及电话</w:t>
            </w:r>
          </w:p>
        </w:tc>
        <w:tc>
          <w:tcPr>
            <w:tcW w:w="771" w:type="pct"/>
            <w:vAlign w:val="center"/>
          </w:tcPr>
          <w:p>
            <w:pPr>
              <w:snapToGrid w:val="0"/>
              <w:spacing w:beforeLines="30" w:afterLines="30"/>
              <w:ind w:firstLine="0" w:firstLineChars="0"/>
              <w:jc w:val="center"/>
              <w:rPr>
                <w:rFonts w:hint="eastAsia" w:ascii="黑体" w:hAnsi="黑体" w:eastAsia="黑体" w:cs="黑体"/>
                <w:color w:val="auto"/>
                <w:kern w:val="0"/>
                <w:szCs w:val="24"/>
                <w:highlight w:val="none"/>
              </w:rPr>
            </w:pPr>
            <w:r>
              <w:rPr>
                <w:rFonts w:hint="eastAsia" w:ascii="黑体" w:hAnsi="黑体" w:eastAsia="黑体" w:cs="黑体"/>
                <w:color w:val="auto"/>
                <w:kern w:val="0"/>
                <w:szCs w:val="24"/>
                <w:highlight w:val="none"/>
              </w:rPr>
              <w:t>中标通知书及合同对应页码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34" w:type="pct"/>
            <w:vAlign w:val="center"/>
          </w:tcPr>
          <w:p>
            <w:pPr>
              <w:autoSpaceDE w:val="0"/>
              <w:autoSpaceDN w:val="0"/>
              <w:adjustRightInd w:val="0"/>
              <w:snapToGrid w:val="0"/>
              <w:ind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rPr>
              <w:t>1</w:t>
            </w:r>
          </w:p>
        </w:tc>
        <w:tc>
          <w:tcPr>
            <w:tcW w:w="1325"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88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71"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34" w:type="pct"/>
            <w:vAlign w:val="center"/>
          </w:tcPr>
          <w:p>
            <w:pPr>
              <w:autoSpaceDE w:val="0"/>
              <w:autoSpaceDN w:val="0"/>
              <w:adjustRightInd w:val="0"/>
              <w:snapToGrid w:val="0"/>
              <w:ind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rPr>
              <w:t>2</w:t>
            </w:r>
          </w:p>
        </w:tc>
        <w:tc>
          <w:tcPr>
            <w:tcW w:w="1325"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88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71"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34" w:type="pct"/>
            <w:vAlign w:val="center"/>
          </w:tcPr>
          <w:p>
            <w:pPr>
              <w:autoSpaceDE w:val="0"/>
              <w:autoSpaceDN w:val="0"/>
              <w:adjustRightInd w:val="0"/>
              <w:snapToGrid w:val="0"/>
              <w:ind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rPr>
              <w:t>3</w:t>
            </w:r>
          </w:p>
        </w:tc>
        <w:tc>
          <w:tcPr>
            <w:tcW w:w="1325"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88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71"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34" w:type="pct"/>
            <w:vAlign w:val="center"/>
          </w:tcPr>
          <w:p>
            <w:pPr>
              <w:autoSpaceDE w:val="0"/>
              <w:autoSpaceDN w:val="0"/>
              <w:adjustRightInd w:val="0"/>
              <w:snapToGrid w:val="0"/>
              <w:ind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rPr>
              <w:t>4</w:t>
            </w:r>
          </w:p>
        </w:tc>
        <w:tc>
          <w:tcPr>
            <w:tcW w:w="1325"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88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71"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34" w:type="pct"/>
            <w:vAlign w:val="center"/>
          </w:tcPr>
          <w:p>
            <w:pPr>
              <w:autoSpaceDE w:val="0"/>
              <w:autoSpaceDN w:val="0"/>
              <w:adjustRightInd w:val="0"/>
              <w:snapToGrid w:val="0"/>
              <w:ind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rPr>
              <w:t>5</w:t>
            </w:r>
          </w:p>
        </w:tc>
        <w:tc>
          <w:tcPr>
            <w:tcW w:w="1325"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88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71"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34" w:type="pct"/>
            <w:vAlign w:val="center"/>
          </w:tcPr>
          <w:p>
            <w:pPr>
              <w:autoSpaceDE w:val="0"/>
              <w:autoSpaceDN w:val="0"/>
              <w:adjustRightInd w:val="0"/>
              <w:snapToGrid w:val="0"/>
              <w:ind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rPr>
              <w:t>6</w:t>
            </w:r>
          </w:p>
        </w:tc>
        <w:tc>
          <w:tcPr>
            <w:tcW w:w="1325"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88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71"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34" w:type="pct"/>
            <w:vAlign w:val="center"/>
          </w:tcPr>
          <w:p>
            <w:pPr>
              <w:autoSpaceDE w:val="0"/>
              <w:autoSpaceDN w:val="0"/>
              <w:adjustRightInd w:val="0"/>
              <w:snapToGrid w:val="0"/>
              <w:ind w:firstLine="0" w:firstLineChars="0"/>
              <w:jc w:val="center"/>
              <w:rPr>
                <w:rFonts w:hint="eastAsia" w:ascii="黑体" w:hAnsi="黑体" w:eastAsia="黑体" w:cs="黑体"/>
                <w:color w:val="auto"/>
                <w:highlight w:val="none"/>
              </w:rPr>
            </w:pPr>
            <w:r>
              <w:rPr>
                <w:rFonts w:hint="eastAsia" w:ascii="黑体" w:hAnsi="黑体" w:eastAsia="黑体" w:cs="黑体"/>
                <w:color w:val="auto"/>
                <w:highlight w:val="none"/>
              </w:rPr>
              <w:t>7</w:t>
            </w:r>
          </w:p>
        </w:tc>
        <w:tc>
          <w:tcPr>
            <w:tcW w:w="1325"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88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71"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34" w:type="pct"/>
            <w:vAlign w:val="center"/>
          </w:tcPr>
          <w:p>
            <w:pPr>
              <w:adjustRightInd w:val="0"/>
              <w:snapToGrid w:val="0"/>
              <w:spacing w:beforeLines="30" w:afterLines="30"/>
              <w:ind w:firstLine="0" w:firstLineChars="0"/>
              <w:jc w:val="center"/>
              <w:rPr>
                <w:rFonts w:hint="eastAsia" w:ascii="黑体" w:hAnsi="黑体" w:eastAsia="黑体" w:cs="黑体"/>
                <w:color w:val="auto"/>
                <w:highlight w:val="none"/>
              </w:rPr>
            </w:pPr>
            <w:r>
              <w:rPr>
                <w:rFonts w:hint="eastAsia" w:ascii="黑体" w:hAnsi="黑体" w:eastAsia="黑体" w:cs="黑体"/>
                <w:color w:val="auto"/>
                <w:kern w:val="0"/>
                <w:szCs w:val="24"/>
                <w:highlight w:val="none"/>
              </w:rPr>
              <w:t>……</w:t>
            </w:r>
          </w:p>
        </w:tc>
        <w:tc>
          <w:tcPr>
            <w:tcW w:w="1325"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9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883"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c>
          <w:tcPr>
            <w:tcW w:w="771" w:type="pct"/>
            <w:vAlign w:val="center"/>
          </w:tcPr>
          <w:p>
            <w:pPr>
              <w:autoSpaceDE w:val="0"/>
              <w:autoSpaceDN w:val="0"/>
              <w:adjustRightInd w:val="0"/>
              <w:snapToGrid w:val="0"/>
              <w:ind w:firstLine="480"/>
              <w:jc w:val="center"/>
              <w:rPr>
                <w:rFonts w:hint="eastAsia" w:ascii="黑体" w:hAnsi="黑体" w:eastAsia="黑体" w:cs="黑体"/>
                <w:color w:val="auto"/>
                <w:highlight w:val="none"/>
              </w:rPr>
            </w:pPr>
          </w:p>
        </w:tc>
      </w:tr>
    </w:tbl>
    <w:p>
      <w:pPr>
        <w:pStyle w:val="33"/>
        <w:ind w:left="480" w:firstLine="344"/>
        <w:rPr>
          <w:rFonts w:hint="eastAsia" w:ascii="黑体" w:hAnsi="黑体" w:eastAsia="黑体" w:cs="黑体"/>
          <w:color w:val="auto"/>
          <w:highlight w:val="none"/>
        </w:rPr>
      </w:pPr>
    </w:p>
    <w:p>
      <w:pPr>
        <w:autoSpaceDE w:val="0"/>
        <w:autoSpaceDN w:val="0"/>
        <w:adjustRightInd w:val="0"/>
        <w:ind w:firstLine="480"/>
        <w:rPr>
          <w:rFonts w:hint="eastAsia" w:ascii="黑体" w:hAnsi="黑体" w:eastAsia="黑体" w:cs="黑体"/>
          <w:color w:val="auto"/>
          <w:highlight w:val="none"/>
        </w:rPr>
      </w:pPr>
      <w:r>
        <w:rPr>
          <w:rFonts w:hint="eastAsia" w:ascii="黑体" w:hAnsi="黑体" w:eastAsia="黑体" w:cs="黑体"/>
          <w:color w:val="auto"/>
          <w:highlight w:val="none"/>
        </w:rPr>
        <w:t>注：投标人可按上述的格式自行编制，后附项目合同复印件，此表不够可自行添加。（加盖单位公章）。</w:t>
      </w:r>
    </w:p>
    <w:p>
      <w:pPr>
        <w:snapToGrid w:val="0"/>
        <w:spacing w:line="312" w:lineRule="auto"/>
        <w:ind w:firstLine="480"/>
        <w:rPr>
          <w:rFonts w:hint="eastAsia" w:ascii="黑体" w:hAnsi="黑体" w:eastAsia="黑体" w:cs="黑体"/>
          <w:color w:val="auto"/>
          <w:highlight w:val="none"/>
          <w:lang w:val="zh-CN"/>
        </w:rPr>
      </w:pPr>
    </w:p>
    <w:p>
      <w:pPr>
        <w:snapToGrid w:val="0"/>
        <w:spacing w:line="312" w:lineRule="auto"/>
        <w:ind w:firstLine="480"/>
        <w:rPr>
          <w:rFonts w:hint="eastAsia" w:ascii="黑体" w:hAnsi="黑体" w:eastAsia="黑体" w:cs="黑体"/>
          <w:color w:val="auto"/>
          <w:highlight w:val="none"/>
          <w:lang w:val="zh-CN"/>
        </w:rPr>
      </w:pPr>
    </w:p>
    <w:p>
      <w:pPr>
        <w:snapToGrid w:val="0"/>
        <w:spacing w:line="312" w:lineRule="auto"/>
        <w:ind w:firstLine="480"/>
        <w:rPr>
          <w:rFonts w:hint="eastAsia" w:ascii="黑体" w:hAnsi="黑体" w:eastAsia="黑体" w:cs="黑体"/>
          <w:color w:val="auto"/>
          <w:highlight w:val="none"/>
          <w:lang w:val="zh-CN"/>
        </w:rPr>
      </w:pP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供应商：</w:t>
      </w:r>
      <w:r>
        <w:rPr>
          <w:rFonts w:hint="eastAsia" w:ascii="黑体" w:hAnsi="黑体" w:eastAsia="黑体" w:cs="黑体"/>
          <w:color w:val="auto"/>
          <w:highlight w:val="none"/>
          <w:u w:val="single"/>
        </w:rPr>
        <w:t xml:space="preserve">                               （盖章）</w:t>
      </w: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法定代表人或授权委托人：</w:t>
      </w:r>
      <w:r>
        <w:rPr>
          <w:rFonts w:hint="eastAsia" w:ascii="黑体" w:hAnsi="黑体" w:eastAsia="黑体" w:cs="黑体"/>
          <w:color w:val="auto"/>
          <w:highlight w:val="none"/>
          <w:u w:val="single"/>
        </w:rPr>
        <w:t xml:space="preserve">         （签字或盖章）</w:t>
      </w:r>
    </w:p>
    <w:p>
      <w:pPr>
        <w:widowControl/>
        <w:adjustRightInd w:val="0"/>
        <w:snapToGrid w:val="0"/>
        <w:spacing w:line="360" w:lineRule="auto"/>
        <w:ind w:firstLine="3360" w:firstLineChars="1400"/>
        <w:rPr>
          <w:rFonts w:hint="eastAsia" w:ascii="黑体" w:hAnsi="黑体" w:eastAsia="黑体" w:cs="黑体"/>
          <w:color w:val="auto"/>
          <w:highlight w:val="none"/>
        </w:rPr>
      </w:pPr>
      <w:r>
        <w:rPr>
          <w:rFonts w:hint="eastAsia" w:ascii="黑体" w:hAnsi="黑体" w:eastAsia="黑体" w:cs="黑体"/>
          <w:color w:val="auto"/>
          <w:highlight w:val="none"/>
        </w:rPr>
        <w:t>日期：    年   月   日</w:t>
      </w:r>
    </w:p>
    <w:p>
      <w:pPr>
        <w:pStyle w:val="33"/>
        <w:ind w:left="0" w:leftChars="0" w:firstLine="0" w:firstLineChars="0"/>
        <w:rPr>
          <w:rFonts w:hint="eastAsia" w:ascii="黑体" w:hAnsi="黑体" w:eastAsia="黑体" w:cs="黑体"/>
          <w:color w:val="auto"/>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sectPr>
          <w:headerReference r:id="rId17" w:type="first"/>
          <w:pgSz w:w="11906" w:h="16838"/>
          <w:pgMar w:top="1440" w:right="1080" w:bottom="1440" w:left="1080" w:header="851" w:footer="850" w:gutter="0"/>
          <w:pgBorders>
            <w:top w:val="none" w:sz="0" w:space="0"/>
            <w:left w:val="none" w:sz="0" w:space="0"/>
            <w:bottom w:val="none" w:sz="0" w:space="0"/>
            <w:right w:val="none" w:sz="0" w:space="0"/>
          </w:pgBorders>
          <w:cols w:space="0" w:num="1"/>
          <w:titlePg/>
          <w:docGrid w:linePitch="312" w:charSpace="0"/>
        </w:sectPr>
      </w:pPr>
    </w:p>
    <w:p>
      <w:pPr>
        <w:adjustRightInd w:val="0"/>
        <w:snapToGrid w:val="0"/>
        <w:spacing w:line="360" w:lineRule="auto"/>
        <w:ind w:firstLine="0" w:firstLineChars="0"/>
        <w:rPr>
          <w:rFonts w:hint="eastAsia" w:ascii="黑体" w:hAnsi="黑体" w:eastAsia="黑体" w:cs="黑体"/>
          <w:bCs/>
          <w:color w:val="auto"/>
          <w:sz w:val="28"/>
          <w:szCs w:val="28"/>
          <w:highlight w:val="none"/>
        </w:rPr>
      </w:pPr>
      <w:r>
        <w:rPr>
          <w:rFonts w:hint="eastAsia" w:ascii="黑体" w:hAnsi="黑体" w:eastAsia="黑体" w:cs="黑体"/>
          <w:bCs/>
          <w:color w:val="auto"/>
          <w:szCs w:val="24"/>
          <w:highlight w:val="none"/>
        </w:rPr>
        <w:t>附件6</w:t>
      </w:r>
    </w:p>
    <w:p>
      <w:pPr>
        <w:ind w:firstLine="640"/>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售后服务承诺书</w:t>
      </w:r>
    </w:p>
    <w:p>
      <w:pPr>
        <w:snapToGrid w:val="0"/>
        <w:ind w:firstLine="480"/>
        <w:jc w:val="center"/>
        <w:rPr>
          <w:rFonts w:hint="eastAsia" w:ascii="黑体" w:hAnsi="黑体" w:eastAsia="黑体" w:cs="黑体"/>
          <w:bCs/>
          <w:color w:val="auto"/>
          <w:highlight w:val="none"/>
        </w:rPr>
      </w:pPr>
    </w:p>
    <w:p>
      <w:pPr>
        <w:adjustRightInd w:val="0"/>
        <w:snapToGrid w:val="0"/>
        <w:spacing w:line="288" w:lineRule="auto"/>
        <w:ind w:firstLine="480"/>
        <w:rPr>
          <w:rFonts w:hint="eastAsia" w:ascii="黑体" w:hAnsi="黑体" w:eastAsia="黑体" w:cs="黑体"/>
          <w:color w:val="auto"/>
          <w:highlight w:val="none"/>
        </w:rPr>
      </w:pPr>
      <w:r>
        <w:rPr>
          <w:rFonts w:hint="eastAsia" w:ascii="黑体" w:hAnsi="黑体" w:eastAsia="黑体" w:cs="黑体"/>
          <w:bCs/>
          <w:color w:val="auto"/>
          <w:highlight w:val="none"/>
        </w:rPr>
        <w:t>根据贵方</w:t>
      </w:r>
      <w:r>
        <w:rPr>
          <w:rFonts w:hint="eastAsia" w:ascii="黑体" w:hAnsi="黑体" w:eastAsia="黑体" w:cs="黑体"/>
          <w:color w:val="auto"/>
          <w:highlight w:val="none"/>
          <w:u w:val="single"/>
        </w:rPr>
        <w:t xml:space="preserve">                          </w:t>
      </w:r>
      <w:r>
        <w:rPr>
          <w:rFonts w:hint="eastAsia" w:ascii="黑体" w:hAnsi="黑体" w:eastAsia="黑体" w:cs="黑体"/>
          <w:color w:val="auto"/>
          <w:highlight w:val="none"/>
        </w:rPr>
        <w:t>采购项目</w:t>
      </w:r>
      <w:r>
        <w:rPr>
          <w:rFonts w:hint="eastAsia" w:ascii="黑体" w:hAnsi="黑体" w:eastAsia="黑体" w:cs="黑体"/>
          <w:bCs/>
          <w:color w:val="auto"/>
          <w:highlight w:val="none"/>
        </w:rPr>
        <w:t>（项目编号</w:t>
      </w:r>
      <w:r>
        <w:rPr>
          <w:rFonts w:hint="eastAsia" w:ascii="黑体" w:hAnsi="黑体" w:eastAsia="黑体" w:cs="黑体"/>
          <w:color w:val="auto"/>
          <w:highlight w:val="none"/>
          <w:u w:val="single"/>
        </w:rPr>
        <w:t xml:space="preserve">                 </w:t>
      </w:r>
      <w:r>
        <w:rPr>
          <w:rFonts w:hint="eastAsia" w:ascii="黑体" w:hAnsi="黑体" w:eastAsia="黑体" w:cs="黑体"/>
          <w:bCs/>
          <w:color w:val="auto"/>
          <w:highlight w:val="none"/>
        </w:rPr>
        <w:t>）的招标文件</w:t>
      </w:r>
      <w:r>
        <w:rPr>
          <w:rFonts w:hint="eastAsia" w:ascii="黑体" w:hAnsi="黑体" w:eastAsia="黑体" w:cs="黑体"/>
          <w:color w:val="auto"/>
          <w:highlight w:val="none"/>
        </w:rPr>
        <w:t>要求</w:t>
      </w:r>
      <w:r>
        <w:rPr>
          <w:rFonts w:hint="eastAsia" w:ascii="黑体" w:hAnsi="黑体" w:eastAsia="黑体" w:cs="黑体"/>
          <w:bCs/>
          <w:color w:val="auto"/>
          <w:highlight w:val="none"/>
        </w:rPr>
        <w:t>，我方对该项目做出如下售后服务承诺：</w:t>
      </w:r>
    </w:p>
    <w:p>
      <w:pPr>
        <w:adjustRightInd w:val="0"/>
        <w:snapToGrid w:val="0"/>
        <w:spacing w:line="288" w:lineRule="auto"/>
        <w:ind w:firstLine="480"/>
        <w:jc w:val="left"/>
        <w:rPr>
          <w:rFonts w:hint="eastAsia" w:ascii="黑体" w:hAnsi="黑体" w:eastAsia="黑体" w:cs="黑体"/>
          <w:color w:val="auto"/>
          <w:highlight w:val="none"/>
        </w:rPr>
      </w:pPr>
      <w:r>
        <w:rPr>
          <w:rFonts w:hint="eastAsia" w:ascii="黑体" w:hAnsi="黑体" w:eastAsia="黑体" w:cs="黑体"/>
          <w:color w:val="auto"/>
          <w:highlight w:val="none"/>
        </w:rPr>
        <w:t>1.免费维修（维护）年限、范围、条件：</w:t>
      </w:r>
    </w:p>
    <w:p>
      <w:pPr>
        <w:adjustRightInd w:val="0"/>
        <w:snapToGrid w:val="0"/>
        <w:spacing w:line="288" w:lineRule="auto"/>
        <w:ind w:firstLine="480"/>
        <w:rPr>
          <w:rFonts w:hint="eastAsia" w:ascii="黑体" w:hAnsi="黑体" w:eastAsia="黑体" w:cs="黑体"/>
          <w:color w:val="auto"/>
          <w:highlight w:val="none"/>
        </w:rPr>
      </w:pPr>
    </w:p>
    <w:p>
      <w:pPr>
        <w:adjustRightInd w:val="0"/>
        <w:snapToGrid w:val="0"/>
        <w:spacing w:line="288" w:lineRule="auto"/>
        <w:ind w:firstLine="480"/>
        <w:rPr>
          <w:rFonts w:hint="eastAsia" w:ascii="黑体" w:hAnsi="黑体" w:eastAsia="黑体" w:cs="黑体"/>
          <w:color w:val="auto"/>
          <w:highlight w:val="none"/>
        </w:rPr>
      </w:pPr>
    </w:p>
    <w:p>
      <w:pPr>
        <w:adjustRightInd w:val="0"/>
        <w:snapToGrid w:val="0"/>
        <w:spacing w:line="288"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2.解决问题、排除故障的速度：</w:t>
      </w:r>
    </w:p>
    <w:p>
      <w:pPr>
        <w:adjustRightInd w:val="0"/>
        <w:snapToGrid w:val="0"/>
        <w:spacing w:line="288" w:lineRule="auto"/>
        <w:ind w:firstLine="480"/>
        <w:rPr>
          <w:rFonts w:hint="eastAsia" w:ascii="黑体" w:hAnsi="黑体" w:eastAsia="黑体" w:cs="黑体"/>
          <w:color w:val="auto"/>
          <w:highlight w:val="none"/>
        </w:rPr>
      </w:pPr>
    </w:p>
    <w:p>
      <w:pPr>
        <w:adjustRightInd w:val="0"/>
        <w:snapToGrid w:val="0"/>
        <w:spacing w:line="288" w:lineRule="auto"/>
        <w:ind w:firstLine="480"/>
        <w:rPr>
          <w:rFonts w:hint="eastAsia" w:ascii="黑体" w:hAnsi="黑体" w:eastAsia="黑体" w:cs="黑体"/>
          <w:color w:val="auto"/>
          <w:highlight w:val="none"/>
        </w:rPr>
      </w:pPr>
    </w:p>
    <w:p>
      <w:pPr>
        <w:adjustRightInd w:val="0"/>
        <w:snapToGrid w:val="0"/>
        <w:spacing w:line="288"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3.项目培训、指导：</w:t>
      </w:r>
    </w:p>
    <w:p>
      <w:pPr>
        <w:adjustRightInd w:val="0"/>
        <w:snapToGrid w:val="0"/>
        <w:spacing w:line="288" w:lineRule="auto"/>
        <w:ind w:firstLine="480"/>
        <w:rPr>
          <w:rFonts w:hint="eastAsia" w:ascii="黑体" w:hAnsi="黑体" w:eastAsia="黑体" w:cs="黑体"/>
          <w:color w:val="auto"/>
          <w:highlight w:val="none"/>
        </w:rPr>
      </w:pPr>
    </w:p>
    <w:p>
      <w:pPr>
        <w:adjustRightInd w:val="0"/>
        <w:snapToGrid w:val="0"/>
        <w:spacing w:line="288" w:lineRule="auto"/>
        <w:ind w:firstLine="480"/>
        <w:rPr>
          <w:rFonts w:hint="eastAsia" w:ascii="黑体" w:hAnsi="黑体" w:eastAsia="黑体" w:cs="黑体"/>
          <w:color w:val="auto"/>
          <w:highlight w:val="none"/>
        </w:rPr>
      </w:pPr>
    </w:p>
    <w:p>
      <w:pPr>
        <w:adjustRightInd w:val="0"/>
        <w:snapToGrid w:val="0"/>
        <w:spacing w:line="288"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4.售后服务方面的其他承诺（安装、定期巡检等）：</w:t>
      </w:r>
    </w:p>
    <w:p>
      <w:pPr>
        <w:adjustRightInd w:val="0"/>
        <w:snapToGrid w:val="0"/>
        <w:spacing w:line="288" w:lineRule="auto"/>
        <w:ind w:firstLine="480"/>
        <w:rPr>
          <w:rFonts w:hint="eastAsia" w:ascii="黑体" w:hAnsi="黑体" w:eastAsia="黑体" w:cs="黑体"/>
          <w:color w:val="auto"/>
          <w:highlight w:val="none"/>
        </w:rPr>
      </w:pPr>
    </w:p>
    <w:p>
      <w:pPr>
        <w:adjustRightInd w:val="0"/>
        <w:snapToGrid w:val="0"/>
        <w:spacing w:line="288" w:lineRule="auto"/>
        <w:ind w:firstLine="480"/>
        <w:rPr>
          <w:rFonts w:hint="eastAsia" w:ascii="黑体" w:hAnsi="黑体" w:eastAsia="黑体" w:cs="黑体"/>
          <w:color w:val="auto"/>
          <w:highlight w:val="none"/>
        </w:rPr>
      </w:pPr>
    </w:p>
    <w:p>
      <w:pPr>
        <w:adjustRightInd w:val="0"/>
        <w:snapToGrid w:val="0"/>
        <w:spacing w:line="288" w:lineRule="auto"/>
        <w:ind w:firstLine="480"/>
        <w:rPr>
          <w:rFonts w:hint="eastAsia" w:ascii="黑体" w:hAnsi="黑体" w:eastAsia="黑体" w:cs="黑体"/>
          <w:color w:val="auto"/>
          <w:highlight w:val="none"/>
        </w:rPr>
      </w:pPr>
      <w:r>
        <w:rPr>
          <w:rFonts w:hint="eastAsia" w:ascii="黑体" w:hAnsi="黑体" w:eastAsia="黑体" w:cs="黑体"/>
          <w:color w:val="auto"/>
          <w:highlight w:val="none"/>
        </w:rPr>
        <w:t>5.售后服务联系方式（联系人、联系电话、维修点、响应时间等）：</w:t>
      </w:r>
    </w:p>
    <w:p>
      <w:pPr>
        <w:adjustRightInd w:val="0"/>
        <w:snapToGrid w:val="0"/>
        <w:spacing w:line="288" w:lineRule="auto"/>
        <w:ind w:firstLine="480"/>
        <w:rPr>
          <w:rFonts w:hint="eastAsia" w:ascii="黑体" w:hAnsi="黑体" w:eastAsia="黑体" w:cs="黑体"/>
          <w:color w:val="auto"/>
          <w:highlight w:val="none"/>
        </w:rPr>
      </w:pPr>
    </w:p>
    <w:p>
      <w:pPr>
        <w:adjustRightInd w:val="0"/>
        <w:snapToGrid w:val="0"/>
        <w:spacing w:line="288" w:lineRule="auto"/>
        <w:ind w:firstLine="480"/>
        <w:rPr>
          <w:rFonts w:hint="eastAsia" w:ascii="黑体" w:hAnsi="黑体" w:eastAsia="黑体" w:cs="黑体"/>
          <w:color w:val="auto"/>
          <w:highlight w:val="none"/>
        </w:rPr>
      </w:pPr>
    </w:p>
    <w:p>
      <w:pPr>
        <w:adjustRightInd w:val="0"/>
        <w:snapToGrid w:val="0"/>
        <w:ind w:firstLine="480"/>
        <w:rPr>
          <w:rFonts w:hint="eastAsia" w:ascii="黑体" w:hAnsi="黑体" w:eastAsia="黑体" w:cs="黑体"/>
          <w:color w:val="auto"/>
          <w:highlight w:val="none"/>
        </w:rPr>
      </w:pPr>
      <w:r>
        <w:rPr>
          <w:rFonts w:hint="eastAsia" w:ascii="黑体" w:hAnsi="黑体" w:eastAsia="黑体" w:cs="黑体"/>
          <w:color w:val="auto"/>
          <w:highlight w:val="none"/>
        </w:rPr>
        <w:t>6.其他优惠条件：</w:t>
      </w:r>
    </w:p>
    <w:p>
      <w:pPr>
        <w:snapToGrid w:val="0"/>
        <w:spacing w:line="312" w:lineRule="auto"/>
        <w:ind w:firstLine="480"/>
        <w:rPr>
          <w:rFonts w:hint="eastAsia" w:ascii="黑体" w:hAnsi="黑体" w:eastAsia="黑体" w:cs="黑体"/>
          <w:color w:val="auto"/>
          <w:highlight w:val="none"/>
          <w:lang w:val="zh-CN"/>
        </w:rPr>
      </w:pPr>
    </w:p>
    <w:p>
      <w:pPr>
        <w:snapToGrid w:val="0"/>
        <w:spacing w:line="312" w:lineRule="auto"/>
        <w:ind w:firstLine="480"/>
        <w:rPr>
          <w:rFonts w:hint="eastAsia" w:ascii="黑体" w:hAnsi="黑体" w:eastAsia="黑体" w:cs="黑体"/>
          <w:color w:val="auto"/>
          <w:highlight w:val="none"/>
          <w:lang w:val="zh-CN"/>
        </w:rPr>
      </w:pPr>
    </w:p>
    <w:p>
      <w:pPr>
        <w:pStyle w:val="137"/>
        <w:spacing w:line="360" w:lineRule="auto"/>
        <w:ind w:firstLine="3720" w:firstLineChars="155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供应商名称：</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（盖公章）</w:t>
      </w:r>
    </w:p>
    <w:p>
      <w:pPr>
        <w:pStyle w:val="137"/>
        <w:spacing w:line="360" w:lineRule="auto"/>
        <w:ind w:firstLine="3720" w:firstLineChars="155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法定代表人或授权代表人：</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 xml:space="preserve">（签字或盖章） </w:t>
      </w:r>
    </w:p>
    <w:p>
      <w:pPr>
        <w:pStyle w:val="137"/>
        <w:spacing w:line="360" w:lineRule="auto"/>
        <w:ind w:firstLine="3720" w:firstLineChars="1550"/>
        <w:jc w:val="left"/>
        <w:rPr>
          <w:rFonts w:hint="eastAsia" w:ascii="黑体" w:hAnsi="黑体" w:eastAsia="黑体" w:cs="黑体"/>
          <w:color w:val="auto"/>
          <w:sz w:val="24"/>
          <w:highlight w:val="none"/>
        </w:rPr>
      </w:pPr>
      <w:r>
        <w:rPr>
          <w:rFonts w:hint="eastAsia" w:ascii="黑体" w:hAnsi="黑体" w:eastAsia="黑体" w:cs="黑体"/>
          <w:color w:val="auto"/>
          <w:sz w:val="24"/>
          <w:highlight w:val="none"/>
        </w:rPr>
        <w:t>2021年</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月</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日</w:t>
      </w:r>
    </w:p>
    <w:p>
      <w:pPr>
        <w:snapToGrid w:val="0"/>
        <w:spacing w:beforeLines="50" w:after="50" w:line="480" w:lineRule="auto"/>
        <w:ind w:firstLine="0" w:firstLineChars="0"/>
        <w:rPr>
          <w:rFonts w:hint="eastAsia" w:ascii="黑体" w:hAnsi="黑体" w:eastAsia="黑体" w:cs="黑体"/>
          <w:bCs/>
          <w:color w:val="auto"/>
          <w:szCs w:val="24"/>
          <w:highlight w:val="none"/>
        </w:rPr>
      </w:pPr>
    </w:p>
    <w:p>
      <w:pPr>
        <w:snapToGrid w:val="0"/>
        <w:spacing w:beforeLines="50" w:after="50" w:line="480" w:lineRule="auto"/>
        <w:ind w:firstLine="0" w:firstLineChars="0"/>
        <w:rPr>
          <w:rFonts w:hint="eastAsia" w:ascii="黑体" w:hAnsi="黑体" w:eastAsia="黑体" w:cs="黑体"/>
          <w:bCs/>
          <w:color w:val="auto"/>
          <w:szCs w:val="24"/>
          <w:highlight w:val="none"/>
        </w:rPr>
      </w:pPr>
    </w:p>
    <w:p>
      <w:pPr>
        <w:snapToGrid w:val="0"/>
        <w:spacing w:beforeLines="50" w:after="50" w:line="480" w:lineRule="auto"/>
        <w:ind w:firstLine="0" w:firstLineChars="0"/>
        <w:rPr>
          <w:rFonts w:hint="eastAsia" w:ascii="黑体" w:hAnsi="黑体" w:eastAsia="黑体" w:cs="黑体"/>
          <w:bCs/>
          <w:color w:val="auto"/>
          <w:szCs w:val="24"/>
          <w:highlight w:val="none"/>
        </w:rPr>
      </w:pPr>
    </w:p>
    <w:p>
      <w:pPr>
        <w:snapToGrid w:val="0"/>
        <w:spacing w:beforeLines="50" w:after="50" w:line="480" w:lineRule="auto"/>
        <w:ind w:firstLine="0" w:firstLineChars="0"/>
        <w:rPr>
          <w:rFonts w:hint="eastAsia" w:ascii="黑体" w:hAnsi="黑体" w:eastAsia="黑体" w:cs="黑体"/>
          <w:bCs/>
          <w:color w:val="auto"/>
          <w:szCs w:val="24"/>
          <w:highlight w:val="none"/>
        </w:rPr>
      </w:pPr>
    </w:p>
    <w:p>
      <w:pPr>
        <w:snapToGrid w:val="0"/>
        <w:spacing w:beforeLines="50" w:after="50" w:line="480" w:lineRule="auto"/>
        <w:ind w:firstLine="0" w:firstLineChars="0"/>
        <w:rPr>
          <w:rFonts w:hint="eastAsia" w:ascii="黑体" w:hAnsi="黑体" w:eastAsia="黑体" w:cs="黑体"/>
          <w:bCs/>
          <w:color w:val="auto"/>
          <w:spacing w:val="20"/>
          <w:highlight w:val="none"/>
        </w:rPr>
      </w:pPr>
      <w:r>
        <w:rPr>
          <w:rFonts w:hint="eastAsia" w:ascii="黑体" w:hAnsi="黑体" w:eastAsia="黑体" w:cs="黑体"/>
          <w:bCs/>
          <w:color w:val="auto"/>
          <w:szCs w:val="24"/>
          <w:highlight w:val="none"/>
        </w:rPr>
        <w:t>附件7</w:t>
      </w:r>
    </w:p>
    <w:p>
      <w:pPr>
        <w:spacing w:line="360" w:lineRule="auto"/>
        <w:ind w:firstLine="640"/>
        <w:jc w:val="center"/>
        <w:rPr>
          <w:rFonts w:hint="eastAsia" w:ascii="黑体" w:hAnsi="黑体" w:eastAsia="黑体" w:cs="黑体"/>
          <w:bCs/>
          <w:color w:val="auto"/>
          <w:sz w:val="28"/>
          <w:highlight w:val="none"/>
        </w:rPr>
      </w:pPr>
      <w:r>
        <w:rPr>
          <w:rFonts w:hint="eastAsia" w:ascii="黑体" w:hAnsi="黑体" w:eastAsia="黑体" w:cs="黑体"/>
          <w:bCs/>
          <w:color w:val="auto"/>
          <w:sz w:val="32"/>
          <w:szCs w:val="32"/>
          <w:highlight w:val="none"/>
        </w:rPr>
        <w:t>投标人基本情况表</w:t>
      </w:r>
    </w:p>
    <w:tbl>
      <w:tblPr>
        <w:tblStyle w:val="34"/>
        <w:tblW w:w="5000" w:type="pct"/>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656"/>
        <w:gridCol w:w="155"/>
        <w:gridCol w:w="2333"/>
        <w:gridCol w:w="2255"/>
        <w:gridCol w:w="2788"/>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389" w:type="pct"/>
            <w:vMerge w:val="restart"/>
            <w:tcBorders>
              <w:top w:val="thinThickSmallGap" w:color="auto" w:sz="12" w:space="0"/>
            </w:tcBorders>
            <w:vAlign w:val="center"/>
          </w:tcPr>
          <w:p>
            <w:pPr>
              <w:ind w:firstLine="0" w:firstLineChars="0"/>
              <w:jc w:val="center"/>
              <w:rPr>
                <w:rFonts w:hint="eastAsia" w:ascii="黑体" w:hAnsi="黑体" w:eastAsia="黑体" w:cs="黑体"/>
                <w:color w:val="auto"/>
                <w:szCs w:val="24"/>
                <w:highlight w:val="none"/>
              </w:rPr>
            </w:pPr>
          </w:p>
          <w:p>
            <w:pPr>
              <w:ind w:firstLine="0" w:firstLineChars="0"/>
              <w:jc w:val="center"/>
              <w:rPr>
                <w:rFonts w:hint="eastAsia" w:ascii="黑体" w:hAnsi="黑体" w:eastAsia="黑体" w:cs="黑体"/>
                <w:color w:val="auto"/>
                <w:szCs w:val="24"/>
                <w:highlight w:val="none"/>
              </w:rPr>
            </w:pPr>
          </w:p>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投</w:t>
            </w:r>
          </w:p>
          <w:p>
            <w:pPr>
              <w:ind w:firstLine="0" w:firstLineChars="0"/>
              <w:jc w:val="center"/>
              <w:rPr>
                <w:rFonts w:hint="eastAsia" w:ascii="黑体" w:hAnsi="黑体" w:eastAsia="黑体" w:cs="黑体"/>
                <w:color w:val="auto"/>
                <w:szCs w:val="24"/>
                <w:highlight w:val="none"/>
              </w:rPr>
            </w:pPr>
          </w:p>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标</w:t>
            </w:r>
          </w:p>
          <w:p>
            <w:pPr>
              <w:ind w:firstLine="0" w:firstLineChars="0"/>
              <w:jc w:val="center"/>
              <w:rPr>
                <w:rFonts w:hint="eastAsia" w:ascii="黑体" w:hAnsi="黑体" w:eastAsia="黑体" w:cs="黑体"/>
                <w:color w:val="auto"/>
                <w:szCs w:val="24"/>
                <w:highlight w:val="none"/>
              </w:rPr>
            </w:pPr>
          </w:p>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人</w:t>
            </w:r>
          </w:p>
          <w:p>
            <w:pPr>
              <w:ind w:firstLine="0" w:firstLineChars="0"/>
              <w:jc w:val="center"/>
              <w:rPr>
                <w:rFonts w:hint="eastAsia" w:ascii="黑体" w:hAnsi="黑体" w:eastAsia="黑体" w:cs="黑体"/>
                <w:color w:val="auto"/>
                <w:szCs w:val="24"/>
                <w:highlight w:val="none"/>
              </w:rPr>
            </w:pPr>
          </w:p>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概</w:t>
            </w:r>
          </w:p>
          <w:p>
            <w:pPr>
              <w:ind w:firstLine="0" w:firstLineChars="0"/>
              <w:jc w:val="center"/>
              <w:rPr>
                <w:rFonts w:hint="eastAsia" w:ascii="黑体" w:hAnsi="黑体" w:eastAsia="黑体" w:cs="黑体"/>
                <w:color w:val="auto"/>
                <w:szCs w:val="24"/>
                <w:highlight w:val="none"/>
              </w:rPr>
            </w:pPr>
          </w:p>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况</w:t>
            </w:r>
          </w:p>
        </w:tc>
        <w:tc>
          <w:tcPr>
            <w:tcW w:w="909" w:type="pct"/>
            <w:gridSpan w:val="2"/>
            <w:tcBorders>
              <w:top w:val="thinThickSmallGap" w:color="auto" w:sz="12" w:space="0"/>
            </w:tcBorders>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公司名称</w:t>
            </w:r>
          </w:p>
        </w:tc>
        <w:tc>
          <w:tcPr>
            <w:tcW w:w="3702" w:type="pct"/>
            <w:gridSpan w:val="3"/>
            <w:tcBorders>
              <w:top w:val="thinThickSmallGap" w:color="auto" w:sz="12" w:space="0"/>
            </w:tcBorders>
            <w:vAlign w:val="center"/>
          </w:tcPr>
          <w:p>
            <w:pPr>
              <w:ind w:firstLine="0" w:firstLineChars="0"/>
              <w:jc w:val="center"/>
              <w:rPr>
                <w:rFonts w:hint="eastAsia" w:ascii="黑体" w:hAnsi="黑体" w:eastAsia="黑体" w:cs="黑体"/>
                <w:color w:val="auto"/>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389" w:type="pct"/>
            <w:vMerge w:val="continue"/>
            <w:vAlign w:val="center"/>
          </w:tcPr>
          <w:p>
            <w:pPr>
              <w:ind w:firstLine="0" w:firstLineChars="0"/>
              <w:jc w:val="center"/>
              <w:rPr>
                <w:rFonts w:hint="eastAsia" w:ascii="黑体" w:hAnsi="黑体" w:eastAsia="黑体" w:cs="黑体"/>
                <w:color w:val="auto"/>
                <w:szCs w:val="24"/>
                <w:highlight w:val="none"/>
              </w:rPr>
            </w:pPr>
          </w:p>
        </w:tc>
        <w:tc>
          <w:tcPr>
            <w:tcW w:w="909" w:type="pct"/>
            <w:gridSpan w:val="2"/>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地址</w:t>
            </w:r>
          </w:p>
        </w:tc>
        <w:tc>
          <w:tcPr>
            <w:tcW w:w="3702" w:type="pct"/>
            <w:gridSpan w:val="3"/>
            <w:vAlign w:val="center"/>
          </w:tcPr>
          <w:p>
            <w:pPr>
              <w:ind w:firstLine="0" w:firstLineChars="0"/>
              <w:jc w:val="center"/>
              <w:rPr>
                <w:rFonts w:hint="eastAsia" w:ascii="黑体" w:hAnsi="黑体" w:eastAsia="黑体" w:cs="黑体"/>
                <w:color w:val="auto"/>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89" w:type="pct"/>
            <w:vMerge w:val="continue"/>
            <w:vAlign w:val="center"/>
          </w:tcPr>
          <w:p>
            <w:pPr>
              <w:ind w:firstLine="0" w:firstLineChars="0"/>
              <w:jc w:val="center"/>
              <w:rPr>
                <w:rFonts w:hint="eastAsia" w:ascii="黑体" w:hAnsi="黑体" w:eastAsia="黑体" w:cs="黑体"/>
                <w:color w:val="auto"/>
                <w:szCs w:val="24"/>
                <w:highlight w:val="none"/>
              </w:rPr>
            </w:pPr>
          </w:p>
        </w:tc>
        <w:tc>
          <w:tcPr>
            <w:tcW w:w="909" w:type="pct"/>
            <w:gridSpan w:val="2"/>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经营范围</w:t>
            </w:r>
          </w:p>
        </w:tc>
        <w:tc>
          <w:tcPr>
            <w:tcW w:w="3702" w:type="pct"/>
            <w:gridSpan w:val="3"/>
            <w:vAlign w:val="center"/>
          </w:tcPr>
          <w:p>
            <w:pPr>
              <w:ind w:firstLine="0" w:firstLineChars="0"/>
              <w:jc w:val="center"/>
              <w:rPr>
                <w:rFonts w:hint="eastAsia" w:ascii="黑体" w:hAnsi="黑体" w:eastAsia="黑体" w:cs="黑体"/>
                <w:color w:val="auto"/>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89" w:type="pct"/>
            <w:vMerge w:val="continue"/>
            <w:vAlign w:val="center"/>
          </w:tcPr>
          <w:p>
            <w:pPr>
              <w:ind w:firstLine="0" w:firstLineChars="0"/>
              <w:jc w:val="center"/>
              <w:rPr>
                <w:rFonts w:hint="eastAsia" w:ascii="黑体" w:hAnsi="黑体" w:eastAsia="黑体" w:cs="黑体"/>
                <w:color w:val="auto"/>
                <w:szCs w:val="24"/>
                <w:highlight w:val="none"/>
              </w:rPr>
            </w:pPr>
          </w:p>
        </w:tc>
        <w:tc>
          <w:tcPr>
            <w:tcW w:w="909" w:type="pct"/>
            <w:gridSpan w:val="2"/>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成立时间</w:t>
            </w:r>
          </w:p>
        </w:tc>
        <w:tc>
          <w:tcPr>
            <w:tcW w:w="1171" w:type="pct"/>
            <w:vAlign w:val="center"/>
          </w:tcPr>
          <w:p>
            <w:pPr>
              <w:ind w:firstLine="0" w:firstLineChars="0"/>
              <w:jc w:val="center"/>
              <w:rPr>
                <w:rFonts w:hint="eastAsia" w:ascii="黑体" w:hAnsi="黑体" w:eastAsia="黑体" w:cs="黑体"/>
                <w:color w:val="auto"/>
                <w:szCs w:val="24"/>
                <w:highlight w:val="none"/>
              </w:rPr>
            </w:pPr>
          </w:p>
        </w:tc>
        <w:tc>
          <w:tcPr>
            <w:tcW w:w="1132" w:type="pct"/>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经济性质</w:t>
            </w:r>
          </w:p>
        </w:tc>
        <w:tc>
          <w:tcPr>
            <w:tcW w:w="1399" w:type="pct"/>
            <w:vAlign w:val="center"/>
          </w:tcPr>
          <w:p>
            <w:pPr>
              <w:ind w:firstLine="0" w:firstLineChars="0"/>
              <w:jc w:val="center"/>
              <w:rPr>
                <w:rFonts w:hint="eastAsia" w:ascii="黑体" w:hAnsi="黑体" w:eastAsia="黑体" w:cs="黑体"/>
                <w:color w:val="auto"/>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389" w:type="pct"/>
            <w:vMerge w:val="continue"/>
            <w:vAlign w:val="center"/>
          </w:tcPr>
          <w:p>
            <w:pPr>
              <w:ind w:firstLine="0" w:firstLineChars="0"/>
              <w:jc w:val="center"/>
              <w:rPr>
                <w:rFonts w:hint="eastAsia" w:ascii="黑体" w:hAnsi="黑体" w:eastAsia="黑体" w:cs="黑体"/>
                <w:color w:val="auto"/>
                <w:szCs w:val="24"/>
                <w:highlight w:val="none"/>
              </w:rPr>
            </w:pPr>
          </w:p>
        </w:tc>
        <w:tc>
          <w:tcPr>
            <w:tcW w:w="909" w:type="pct"/>
            <w:gridSpan w:val="2"/>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法定代表人</w:t>
            </w:r>
          </w:p>
        </w:tc>
        <w:tc>
          <w:tcPr>
            <w:tcW w:w="1171" w:type="pct"/>
            <w:vAlign w:val="center"/>
          </w:tcPr>
          <w:p>
            <w:pPr>
              <w:ind w:firstLine="0" w:firstLineChars="0"/>
              <w:jc w:val="center"/>
              <w:rPr>
                <w:rFonts w:hint="eastAsia" w:ascii="黑体" w:hAnsi="黑体" w:eastAsia="黑体" w:cs="黑体"/>
                <w:color w:val="auto"/>
                <w:szCs w:val="24"/>
                <w:highlight w:val="none"/>
              </w:rPr>
            </w:pPr>
          </w:p>
        </w:tc>
        <w:tc>
          <w:tcPr>
            <w:tcW w:w="1132" w:type="pct"/>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联系电话</w:t>
            </w:r>
          </w:p>
        </w:tc>
        <w:tc>
          <w:tcPr>
            <w:tcW w:w="1399" w:type="pct"/>
            <w:vAlign w:val="center"/>
          </w:tcPr>
          <w:p>
            <w:pPr>
              <w:ind w:firstLine="0" w:firstLineChars="0"/>
              <w:jc w:val="center"/>
              <w:rPr>
                <w:rFonts w:hint="eastAsia" w:ascii="黑体" w:hAnsi="黑体" w:eastAsia="黑体" w:cs="黑体"/>
                <w:color w:val="auto"/>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89" w:type="pct"/>
            <w:vMerge w:val="continue"/>
            <w:vAlign w:val="center"/>
          </w:tcPr>
          <w:p>
            <w:pPr>
              <w:ind w:firstLine="0" w:firstLineChars="0"/>
              <w:jc w:val="center"/>
              <w:rPr>
                <w:rFonts w:hint="eastAsia" w:ascii="黑体" w:hAnsi="黑体" w:eastAsia="黑体" w:cs="黑体"/>
                <w:color w:val="auto"/>
                <w:szCs w:val="24"/>
                <w:highlight w:val="none"/>
              </w:rPr>
            </w:pPr>
          </w:p>
        </w:tc>
        <w:tc>
          <w:tcPr>
            <w:tcW w:w="909" w:type="pct"/>
            <w:gridSpan w:val="2"/>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注册资金</w:t>
            </w:r>
          </w:p>
        </w:tc>
        <w:tc>
          <w:tcPr>
            <w:tcW w:w="1171" w:type="pct"/>
            <w:vAlign w:val="center"/>
          </w:tcPr>
          <w:p>
            <w:pPr>
              <w:ind w:firstLine="0" w:firstLineChars="0"/>
              <w:jc w:val="center"/>
              <w:rPr>
                <w:rFonts w:hint="eastAsia" w:ascii="黑体" w:hAnsi="黑体" w:eastAsia="黑体" w:cs="黑体"/>
                <w:color w:val="auto"/>
                <w:szCs w:val="24"/>
                <w:highlight w:val="none"/>
              </w:rPr>
            </w:pPr>
          </w:p>
        </w:tc>
        <w:tc>
          <w:tcPr>
            <w:tcW w:w="1132" w:type="pct"/>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技术人员数</w:t>
            </w:r>
          </w:p>
        </w:tc>
        <w:tc>
          <w:tcPr>
            <w:tcW w:w="1399" w:type="pct"/>
            <w:vAlign w:val="center"/>
          </w:tcPr>
          <w:p>
            <w:pPr>
              <w:ind w:firstLine="0" w:firstLineChars="0"/>
              <w:jc w:val="center"/>
              <w:rPr>
                <w:rFonts w:hint="eastAsia" w:ascii="黑体" w:hAnsi="黑体" w:eastAsia="黑体" w:cs="黑体"/>
                <w:color w:val="auto"/>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389" w:type="pct"/>
            <w:vMerge w:val="continue"/>
            <w:vAlign w:val="center"/>
          </w:tcPr>
          <w:p>
            <w:pPr>
              <w:ind w:firstLine="0" w:firstLineChars="0"/>
              <w:jc w:val="center"/>
              <w:rPr>
                <w:rFonts w:hint="eastAsia" w:ascii="黑体" w:hAnsi="黑体" w:eastAsia="黑体" w:cs="黑体"/>
                <w:color w:val="auto"/>
                <w:szCs w:val="24"/>
                <w:highlight w:val="none"/>
              </w:rPr>
            </w:pPr>
          </w:p>
        </w:tc>
        <w:tc>
          <w:tcPr>
            <w:tcW w:w="909" w:type="pct"/>
            <w:gridSpan w:val="2"/>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资产总额</w:t>
            </w:r>
          </w:p>
        </w:tc>
        <w:tc>
          <w:tcPr>
            <w:tcW w:w="1171" w:type="pct"/>
            <w:vAlign w:val="center"/>
          </w:tcPr>
          <w:p>
            <w:pPr>
              <w:ind w:firstLine="0" w:firstLineChars="0"/>
              <w:jc w:val="center"/>
              <w:rPr>
                <w:rFonts w:hint="eastAsia" w:ascii="黑体" w:hAnsi="黑体" w:eastAsia="黑体" w:cs="黑体"/>
                <w:color w:val="auto"/>
                <w:szCs w:val="24"/>
                <w:highlight w:val="none"/>
              </w:rPr>
            </w:pPr>
          </w:p>
        </w:tc>
        <w:tc>
          <w:tcPr>
            <w:tcW w:w="1132" w:type="pct"/>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净资产</w:t>
            </w:r>
          </w:p>
        </w:tc>
        <w:tc>
          <w:tcPr>
            <w:tcW w:w="1399" w:type="pct"/>
            <w:vAlign w:val="center"/>
          </w:tcPr>
          <w:p>
            <w:pPr>
              <w:ind w:firstLine="0" w:firstLineChars="0"/>
              <w:jc w:val="center"/>
              <w:rPr>
                <w:rFonts w:hint="eastAsia" w:ascii="黑体" w:hAnsi="黑体" w:eastAsia="黑体" w:cs="黑体"/>
                <w:color w:val="auto"/>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389" w:type="pct"/>
            <w:vMerge w:val="continue"/>
            <w:vAlign w:val="center"/>
          </w:tcPr>
          <w:p>
            <w:pPr>
              <w:ind w:firstLine="0" w:firstLineChars="0"/>
              <w:jc w:val="center"/>
              <w:rPr>
                <w:rFonts w:hint="eastAsia" w:ascii="黑体" w:hAnsi="黑体" w:eastAsia="黑体" w:cs="黑体"/>
                <w:color w:val="auto"/>
                <w:szCs w:val="24"/>
                <w:highlight w:val="none"/>
              </w:rPr>
            </w:pPr>
          </w:p>
        </w:tc>
        <w:tc>
          <w:tcPr>
            <w:tcW w:w="909" w:type="pct"/>
            <w:gridSpan w:val="2"/>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工商登记号</w:t>
            </w:r>
          </w:p>
        </w:tc>
        <w:tc>
          <w:tcPr>
            <w:tcW w:w="1171" w:type="pct"/>
            <w:vAlign w:val="center"/>
          </w:tcPr>
          <w:p>
            <w:pPr>
              <w:ind w:firstLine="0" w:firstLineChars="0"/>
              <w:jc w:val="center"/>
              <w:rPr>
                <w:rFonts w:hint="eastAsia" w:ascii="黑体" w:hAnsi="黑体" w:eastAsia="黑体" w:cs="黑体"/>
                <w:color w:val="auto"/>
                <w:szCs w:val="24"/>
                <w:highlight w:val="none"/>
              </w:rPr>
            </w:pPr>
          </w:p>
        </w:tc>
        <w:tc>
          <w:tcPr>
            <w:tcW w:w="1132" w:type="pct"/>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税务登记号</w:t>
            </w:r>
          </w:p>
        </w:tc>
        <w:tc>
          <w:tcPr>
            <w:tcW w:w="1399" w:type="pct"/>
            <w:vAlign w:val="center"/>
          </w:tcPr>
          <w:p>
            <w:pPr>
              <w:ind w:firstLine="0" w:firstLineChars="0"/>
              <w:jc w:val="center"/>
              <w:rPr>
                <w:rFonts w:hint="eastAsia" w:ascii="黑体" w:hAnsi="黑体" w:eastAsia="黑体" w:cs="黑体"/>
                <w:color w:val="auto"/>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389" w:type="pct"/>
            <w:vMerge w:val="continue"/>
            <w:vAlign w:val="center"/>
          </w:tcPr>
          <w:p>
            <w:pPr>
              <w:ind w:firstLine="0" w:firstLineChars="0"/>
              <w:jc w:val="center"/>
              <w:rPr>
                <w:rFonts w:hint="eastAsia" w:ascii="黑体" w:hAnsi="黑体" w:eastAsia="黑体" w:cs="黑体"/>
                <w:color w:val="auto"/>
                <w:szCs w:val="24"/>
                <w:highlight w:val="none"/>
              </w:rPr>
            </w:pPr>
          </w:p>
        </w:tc>
        <w:tc>
          <w:tcPr>
            <w:tcW w:w="909" w:type="pct"/>
            <w:gridSpan w:val="2"/>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是否依法纳税</w:t>
            </w:r>
          </w:p>
        </w:tc>
        <w:tc>
          <w:tcPr>
            <w:tcW w:w="1171" w:type="pct"/>
            <w:vAlign w:val="center"/>
          </w:tcPr>
          <w:p>
            <w:pPr>
              <w:ind w:firstLine="0" w:firstLineChars="0"/>
              <w:jc w:val="center"/>
              <w:rPr>
                <w:rFonts w:hint="eastAsia" w:ascii="黑体" w:hAnsi="黑体" w:eastAsia="黑体" w:cs="黑体"/>
                <w:color w:val="auto"/>
                <w:szCs w:val="24"/>
                <w:highlight w:val="none"/>
              </w:rPr>
            </w:pPr>
          </w:p>
        </w:tc>
        <w:tc>
          <w:tcPr>
            <w:tcW w:w="1132" w:type="pct"/>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是否参加社保</w:t>
            </w:r>
          </w:p>
        </w:tc>
        <w:tc>
          <w:tcPr>
            <w:tcW w:w="1399" w:type="pct"/>
            <w:vAlign w:val="center"/>
          </w:tcPr>
          <w:p>
            <w:pPr>
              <w:ind w:firstLine="0" w:firstLineChars="0"/>
              <w:jc w:val="center"/>
              <w:rPr>
                <w:rFonts w:hint="eastAsia" w:ascii="黑体" w:hAnsi="黑体" w:eastAsia="黑体" w:cs="黑体"/>
                <w:color w:val="auto"/>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389" w:type="pct"/>
            <w:vMerge w:val="continue"/>
            <w:vAlign w:val="center"/>
          </w:tcPr>
          <w:p>
            <w:pPr>
              <w:ind w:firstLine="0" w:firstLineChars="0"/>
              <w:jc w:val="center"/>
              <w:rPr>
                <w:rFonts w:hint="eastAsia" w:ascii="黑体" w:hAnsi="黑体" w:eastAsia="黑体" w:cs="黑体"/>
                <w:color w:val="auto"/>
                <w:szCs w:val="24"/>
                <w:highlight w:val="none"/>
              </w:rPr>
            </w:pPr>
          </w:p>
        </w:tc>
        <w:tc>
          <w:tcPr>
            <w:tcW w:w="909" w:type="pct"/>
            <w:gridSpan w:val="2"/>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近三年业绩、</w:t>
            </w:r>
          </w:p>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信誉</w:t>
            </w:r>
          </w:p>
        </w:tc>
        <w:tc>
          <w:tcPr>
            <w:tcW w:w="3702" w:type="pct"/>
            <w:gridSpan w:val="3"/>
            <w:vAlign w:val="center"/>
          </w:tcPr>
          <w:p>
            <w:pPr>
              <w:ind w:firstLine="0" w:firstLineChars="0"/>
              <w:rPr>
                <w:rFonts w:hint="eastAsia" w:ascii="黑体" w:hAnsi="黑体" w:eastAsia="黑体" w:cs="黑体"/>
                <w:color w:val="auto"/>
                <w:szCs w:val="24"/>
                <w:highlight w:val="none"/>
              </w:rPr>
            </w:pPr>
            <w:r>
              <w:rPr>
                <w:rFonts w:hint="eastAsia" w:ascii="黑体" w:hAnsi="黑体" w:eastAsia="黑体" w:cs="黑体"/>
                <w:color w:val="auto"/>
                <w:szCs w:val="24"/>
                <w:highlight w:val="none"/>
              </w:rPr>
              <w:t>合同总额：     万元，合同履行情况：</w:t>
            </w:r>
          </w:p>
          <w:p>
            <w:pPr>
              <w:ind w:firstLine="0" w:firstLineChars="0"/>
              <w:rPr>
                <w:rFonts w:hint="eastAsia" w:ascii="黑体" w:hAnsi="黑体" w:eastAsia="黑体" w:cs="黑体"/>
                <w:color w:val="auto"/>
                <w:szCs w:val="24"/>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389" w:type="pct"/>
            <w:vMerge w:val="continue"/>
            <w:vAlign w:val="center"/>
          </w:tcPr>
          <w:p>
            <w:pPr>
              <w:ind w:firstLine="0" w:firstLineChars="0"/>
              <w:jc w:val="center"/>
              <w:rPr>
                <w:rFonts w:hint="eastAsia" w:ascii="黑体" w:hAnsi="黑体" w:eastAsia="黑体" w:cs="黑体"/>
                <w:color w:val="auto"/>
                <w:szCs w:val="24"/>
                <w:highlight w:val="none"/>
              </w:rPr>
            </w:pPr>
          </w:p>
        </w:tc>
        <w:tc>
          <w:tcPr>
            <w:tcW w:w="4611" w:type="pct"/>
            <w:gridSpan w:val="5"/>
          </w:tcPr>
          <w:p>
            <w:pPr>
              <w:ind w:firstLine="0" w:firstLineChars="0"/>
              <w:rPr>
                <w:rFonts w:hint="eastAsia" w:ascii="黑体" w:hAnsi="黑体" w:eastAsia="黑体" w:cs="黑体"/>
                <w:color w:val="auto"/>
                <w:szCs w:val="24"/>
                <w:highlight w:val="none"/>
              </w:rPr>
            </w:pPr>
            <w:r>
              <w:rPr>
                <w:rFonts w:hint="eastAsia" w:ascii="黑体" w:hAnsi="黑体" w:eastAsia="黑体" w:cs="黑体"/>
                <w:color w:val="auto"/>
                <w:szCs w:val="24"/>
                <w:highlight w:val="none"/>
              </w:rPr>
              <w:t>单位优势及特点：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20" w:type="pct"/>
            <w:gridSpan w:val="2"/>
            <w:tcBorders>
              <w:bottom w:val="thinThickSmallGap" w:color="auto" w:sz="12" w:space="0"/>
            </w:tcBorders>
            <w:vAlign w:val="center"/>
          </w:tcPr>
          <w:p>
            <w:pPr>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法定代表人签字</w:t>
            </w:r>
          </w:p>
        </w:tc>
        <w:tc>
          <w:tcPr>
            <w:tcW w:w="3780" w:type="pct"/>
            <w:gridSpan w:val="4"/>
            <w:tcBorders>
              <w:bottom w:val="thinThickSmallGap" w:color="auto" w:sz="12" w:space="0"/>
            </w:tcBorders>
            <w:vAlign w:val="center"/>
          </w:tcPr>
          <w:p>
            <w:pPr>
              <w:spacing w:line="360" w:lineRule="auto"/>
              <w:ind w:firstLine="0" w:firstLineChars="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（单位公章）</w:t>
            </w:r>
          </w:p>
          <w:p>
            <w:pPr>
              <w:spacing w:line="360" w:lineRule="auto"/>
              <w:ind w:firstLine="0" w:firstLineChars="0"/>
              <w:jc w:val="right"/>
              <w:rPr>
                <w:rFonts w:hint="eastAsia" w:ascii="黑体" w:hAnsi="黑体" w:eastAsia="黑体" w:cs="黑体"/>
                <w:color w:val="auto"/>
                <w:szCs w:val="24"/>
                <w:highlight w:val="none"/>
              </w:rPr>
            </w:pPr>
            <w:r>
              <w:rPr>
                <w:rFonts w:hint="eastAsia" w:ascii="黑体" w:hAnsi="黑体" w:eastAsia="黑体" w:cs="黑体"/>
                <w:color w:val="auto"/>
                <w:szCs w:val="24"/>
                <w:highlight w:val="none"/>
              </w:rPr>
              <w:t>年   月   日</w:t>
            </w:r>
          </w:p>
        </w:tc>
      </w:tr>
    </w:tbl>
    <w:p>
      <w:pPr>
        <w:snapToGrid w:val="0"/>
        <w:spacing w:line="312" w:lineRule="auto"/>
        <w:ind w:firstLine="480"/>
        <w:rPr>
          <w:rFonts w:hint="eastAsia" w:ascii="黑体" w:hAnsi="黑体" w:eastAsia="黑体" w:cs="黑体"/>
          <w:color w:val="auto"/>
          <w:highlight w:val="none"/>
          <w:lang w:val="zh-CN"/>
        </w:rPr>
      </w:pPr>
    </w:p>
    <w:p>
      <w:pPr>
        <w:snapToGrid w:val="0"/>
        <w:spacing w:line="312" w:lineRule="auto"/>
        <w:ind w:firstLine="480"/>
        <w:rPr>
          <w:rFonts w:hint="eastAsia" w:ascii="黑体" w:hAnsi="黑体" w:eastAsia="黑体" w:cs="黑体"/>
          <w:color w:val="auto"/>
          <w:highlight w:val="none"/>
          <w:lang w:val="zh-CN"/>
        </w:rPr>
      </w:pP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供应商：</w:t>
      </w:r>
      <w:r>
        <w:rPr>
          <w:rFonts w:hint="eastAsia" w:ascii="黑体" w:hAnsi="黑体" w:eastAsia="黑体" w:cs="黑体"/>
          <w:color w:val="auto"/>
          <w:highlight w:val="none"/>
          <w:u w:val="single"/>
        </w:rPr>
        <w:t xml:space="preserve">                               （盖章）</w:t>
      </w: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法定代表人或授权委托人：</w:t>
      </w:r>
      <w:r>
        <w:rPr>
          <w:rFonts w:hint="eastAsia" w:ascii="黑体" w:hAnsi="黑体" w:eastAsia="黑体" w:cs="黑体"/>
          <w:color w:val="auto"/>
          <w:highlight w:val="none"/>
          <w:u w:val="single"/>
        </w:rPr>
        <w:t xml:space="preserve">         （签字或盖章）</w:t>
      </w:r>
    </w:p>
    <w:p>
      <w:pPr>
        <w:snapToGrid w:val="0"/>
        <w:ind w:firstLine="3360" w:firstLineChars="1400"/>
        <w:jc w:val="left"/>
        <w:rPr>
          <w:rFonts w:hint="eastAsia" w:ascii="黑体" w:hAnsi="黑体" w:eastAsia="黑体" w:cs="黑体"/>
          <w:color w:val="auto"/>
          <w:highlight w:val="none"/>
        </w:rPr>
      </w:pPr>
      <w:r>
        <w:rPr>
          <w:rFonts w:hint="eastAsia" w:ascii="黑体" w:hAnsi="黑体" w:eastAsia="黑体" w:cs="黑体"/>
          <w:color w:val="auto"/>
          <w:highlight w:val="none"/>
        </w:rPr>
        <w:t>日期：    年   月   日</w:t>
      </w:r>
    </w:p>
    <w:p>
      <w:pPr>
        <w:snapToGrid w:val="0"/>
        <w:spacing w:beforeLines="50" w:after="50" w:line="480" w:lineRule="auto"/>
        <w:ind w:firstLine="0" w:firstLineChars="0"/>
        <w:rPr>
          <w:rFonts w:hint="eastAsia" w:ascii="黑体" w:hAnsi="黑体" w:eastAsia="黑体" w:cs="黑体"/>
          <w:bCs/>
          <w:color w:val="auto"/>
          <w:szCs w:val="24"/>
          <w:highlight w:val="none"/>
        </w:rPr>
      </w:pPr>
    </w:p>
    <w:p>
      <w:pPr>
        <w:snapToGrid w:val="0"/>
        <w:spacing w:beforeLines="50" w:after="50" w:line="480" w:lineRule="auto"/>
        <w:ind w:firstLine="0" w:firstLineChars="0"/>
        <w:rPr>
          <w:rFonts w:hint="eastAsia" w:ascii="黑体" w:hAnsi="黑体" w:eastAsia="黑体" w:cs="黑体"/>
          <w:bCs/>
          <w:color w:val="auto"/>
          <w:szCs w:val="24"/>
          <w:highlight w:val="none"/>
        </w:rPr>
      </w:pPr>
    </w:p>
    <w:p>
      <w:pPr>
        <w:snapToGrid w:val="0"/>
        <w:spacing w:beforeLines="50" w:after="50" w:line="480" w:lineRule="auto"/>
        <w:ind w:firstLine="0" w:firstLineChars="0"/>
        <w:rPr>
          <w:rFonts w:hint="eastAsia" w:ascii="黑体" w:hAnsi="黑体" w:eastAsia="黑体" w:cs="黑体"/>
          <w:bCs/>
          <w:color w:val="auto"/>
          <w:spacing w:val="20"/>
          <w:highlight w:val="none"/>
        </w:rPr>
      </w:pPr>
      <w:r>
        <w:rPr>
          <w:rFonts w:hint="eastAsia" w:ascii="黑体" w:hAnsi="黑体" w:eastAsia="黑体" w:cs="黑体"/>
          <w:bCs/>
          <w:color w:val="auto"/>
          <w:szCs w:val="24"/>
          <w:highlight w:val="none"/>
        </w:rPr>
        <w:t>附件8</w:t>
      </w:r>
    </w:p>
    <w:p>
      <w:pPr>
        <w:snapToGrid w:val="0"/>
        <w:ind w:firstLine="720"/>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项目团队人员情况表</w:t>
      </w:r>
    </w:p>
    <w:p>
      <w:pPr>
        <w:snapToGrid w:val="0"/>
        <w:ind w:firstLine="480"/>
        <w:rPr>
          <w:rFonts w:hint="eastAsia" w:ascii="黑体" w:hAnsi="黑体" w:eastAsia="黑体" w:cs="黑体"/>
          <w:color w:val="auto"/>
          <w:highlight w:val="none"/>
        </w:rPr>
      </w:pPr>
    </w:p>
    <w:p>
      <w:pPr>
        <w:snapToGrid w:val="0"/>
        <w:ind w:firstLine="0" w:firstLineChars="0"/>
        <w:rPr>
          <w:rFonts w:hint="eastAsia" w:ascii="黑体" w:hAnsi="黑体" w:eastAsia="黑体" w:cs="黑体"/>
          <w:color w:val="auto"/>
          <w:highlight w:val="none"/>
          <w:lang w:eastAsia="zh-CN"/>
        </w:rPr>
      </w:pPr>
      <w:r>
        <w:rPr>
          <w:rFonts w:hint="eastAsia" w:ascii="黑体" w:hAnsi="黑体" w:eastAsia="黑体" w:cs="黑体"/>
          <w:color w:val="auto"/>
          <w:highlight w:val="none"/>
        </w:rPr>
        <w:t>项目名称：</w:t>
      </w:r>
      <w:r>
        <w:rPr>
          <w:rFonts w:hint="eastAsia" w:ascii="黑体" w:hAnsi="黑体" w:eastAsia="黑体" w:cs="黑体"/>
          <w:bCs/>
          <w:color w:val="auto"/>
          <w:highlight w:val="none"/>
          <w:lang w:eastAsia="zh-CN"/>
        </w:rPr>
        <w:t>龙游县市场监督管理局2022年-2023年食品安全监督抽检项目</w:t>
      </w:r>
    </w:p>
    <w:p>
      <w:pPr>
        <w:snapToGrid w:val="0"/>
        <w:ind w:firstLine="0" w:firstLineChars="0"/>
        <w:rPr>
          <w:rFonts w:hint="eastAsia" w:ascii="黑体" w:hAnsi="黑体" w:eastAsia="黑体" w:cs="黑体"/>
          <w:color w:val="auto"/>
          <w:highlight w:val="none"/>
          <w:lang w:eastAsia="zh-CN"/>
        </w:rPr>
      </w:pPr>
      <w:r>
        <w:rPr>
          <w:rFonts w:hint="eastAsia" w:ascii="黑体" w:hAnsi="黑体" w:eastAsia="黑体" w:cs="黑体"/>
          <w:color w:val="auto"/>
          <w:highlight w:val="none"/>
        </w:rPr>
        <w:t>项目编号：</w:t>
      </w:r>
      <w:r>
        <w:rPr>
          <w:rFonts w:hint="eastAsia" w:ascii="黑体" w:hAnsi="黑体" w:eastAsia="黑体" w:cs="黑体"/>
          <w:color w:val="auto"/>
          <w:highlight w:val="none"/>
          <w:lang w:eastAsia="zh-CN"/>
        </w:rPr>
        <w:t>OBZFCG2021-033</w:t>
      </w:r>
    </w:p>
    <w:tbl>
      <w:tblPr>
        <w:tblStyle w:val="34"/>
        <w:tblW w:w="5000" w:type="pct"/>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993"/>
        <w:gridCol w:w="1285"/>
        <w:gridCol w:w="1125"/>
        <w:gridCol w:w="1293"/>
        <w:gridCol w:w="1843"/>
        <w:gridCol w:w="1847"/>
        <w:gridCol w:w="1474"/>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1011" w:hRule="atLeast"/>
          <w:jc w:val="center"/>
        </w:trPr>
        <w:tc>
          <w:tcPr>
            <w:tcW w:w="503" w:type="pct"/>
            <w:tcBorders>
              <w:top w:val="thinThickSmallGap" w:color="auto" w:sz="12" w:space="0"/>
            </w:tcBorders>
            <w:vAlign w:val="center"/>
          </w:tcPr>
          <w:p>
            <w:pPr>
              <w:spacing w:line="40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序号</w:t>
            </w:r>
          </w:p>
        </w:tc>
        <w:tc>
          <w:tcPr>
            <w:tcW w:w="651" w:type="pct"/>
            <w:tcBorders>
              <w:top w:val="thinThickSmallGap" w:color="auto" w:sz="12" w:space="0"/>
            </w:tcBorders>
            <w:vAlign w:val="center"/>
          </w:tcPr>
          <w:p>
            <w:pPr>
              <w:spacing w:line="40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职务</w:t>
            </w:r>
          </w:p>
        </w:tc>
        <w:tc>
          <w:tcPr>
            <w:tcW w:w="570" w:type="pct"/>
            <w:tcBorders>
              <w:top w:val="thinThickSmallGap" w:color="auto" w:sz="12" w:space="0"/>
            </w:tcBorders>
            <w:vAlign w:val="center"/>
          </w:tcPr>
          <w:p>
            <w:pPr>
              <w:spacing w:line="40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证书</w:t>
            </w:r>
          </w:p>
        </w:tc>
        <w:tc>
          <w:tcPr>
            <w:tcW w:w="655" w:type="pct"/>
            <w:tcBorders>
              <w:top w:val="thinThickSmallGap" w:color="auto" w:sz="12" w:space="0"/>
            </w:tcBorders>
            <w:vAlign w:val="center"/>
          </w:tcPr>
          <w:p>
            <w:pPr>
              <w:spacing w:line="40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证书编号</w:t>
            </w:r>
          </w:p>
        </w:tc>
        <w:tc>
          <w:tcPr>
            <w:tcW w:w="934" w:type="pct"/>
            <w:tcBorders>
              <w:top w:val="thinThickSmallGap" w:color="auto" w:sz="12" w:space="0"/>
            </w:tcBorders>
            <w:vAlign w:val="center"/>
          </w:tcPr>
          <w:p>
            <w:pPr>
              <w:spacing w:line="40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参加本单位工作时间</w:t>
            </w:r>
          </w:p>
        </w:tc>
        <w:tc>
          <w:tcPr>
            <w:tcW w:w="936" w:type="pct"/>
            <w:tcBorders>
              <w:top w:val="thinThickSmallGap" w:color="auto" w:sz="12" w:space="0"/>
            </w:tcBorders>
            <w:vAlign w:val="center"/>
          </w:tcPr>
          <w:p>
            <w:pPr>
              <w:spacing w:line="40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主要职责范围</w:t>
            </w:r>
          </w:p>
        </w:tc>
        <w:tc>
          <w:tcPr>
            <w:tcW w:w="747" w:type="pct"/>
            <w:tcBorders>
              <w:top w:val="thinThickSmallGap" w:color="auto" w:sz="12" w:space="0"/>
            </w:tcBorders>
            <w:vAlign w:val="center"/>
          </w:tcPr>
          <w:p>
            <w:pPr>
              <w:spacing w:line="40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备注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924" w:hRule="atLeast"/>
          <w:jc w:val="center"/>
        </w:trPr>
        <w:tc>
          <w:tcPr>
            <w:tcW w:w="503" w:type="pct"/>
            <w:vAlign w:val="center"/>
          </w:tcPr>
          <w:p>
            <w:pPr>
              <w:spacing w:line="40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651" w:type="pct"/>
            <w:vAlign w:val="center"/>
          </w:tcPr>
          <w:p>
            <w:pPr>
              <w:spacing w:line="40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项目负责人</w:t>
            </w:r>
          </w:p>
        </w:tc>
        <w:tc>
          <w:tcPr>
            <w:tcW w:w="570" w:type="pct"/>
            <w:vAlign w:val="center"/>
          </w:tcPr>
          <w:p>
            <w:pPr>
              <w:spacing w:line="600" w:lineRule="auto"/>
              <w:ind w:firstLine="420"/>
              <w:jc w:val="center"/>
              <w:rPr>
                <w:rFonts w:hint="eastAsia" w:ascii="黑体" w:hAnsi="黑体" w:eastAsia="黑体" w:cs="黑体"/>
                <w:color w:val="auto"/>
                <w:sz w:val="21"/>
                <w:szCs w:val="21"/>
                <w:highlight w:val="none"/>
              </w:rPr>
            </w:pPr>
          </w:p>
        </w:tc>
        <w:tc>
          <w:tcPr>
            <w:tcW w:w="655" w:type="pct"/>
            <w:vAlign w:val="center"/>
          </w:tcPr>
          <w:p>
            <w:pPr>
              <w:spacing w:line="600" w:lineRule="auto"/>
              <w:ind w:firstLine="420"/>
              <w:jc w:val="center"/>
              <w:rPr>
                <w:rFonts w:hint="eastAsia" w:ascii="黑体" w:hAnsi="黑体" w:eastAsia="黑体" w:cs="黑体"/>
                <w:color w:val="auto"/>
                <w:sz w:val="21"/>
                <w:szCs w:val="21"/>
                <w:highlight w:val="none"/>
              </w:rPr>
            </w:pPr>
          </w:p>
        </w:tc>
        <w:tc>
          <w:tcPr>
            <w:tcW w:w="934" w:type="pct"/>
          </w:tcPr>
          <w:p>
            <w:pPr>
              <w:spacing w:line="600" w:lineRule="auto"/>
              <w:ind w:firstLine="420"/>
              <w:jc w:val="center"/>
              <w:rPr>
                <w:rFonts w:hint="eastAsia" w:ascii="黑体" w:hAnsi="黑体" w:eastAsia="黑体" w:cs="黑体"/>
                <w:color w:val="auto"/>
                <w:sz w:val="21"/>
                <w:szCs w:val="21"/>
                <w:highlight w:val="none"/>
              </w:rPr>
            </w:pPr>
          </w:p>
        </w:tc>
        <w:tc>
          <w:tcPr>
            <w:tcW w:w="936" w:type="pct"/>
            <w:vAlign w:val="center"/>
          </w:tcPr>
          <w:p>
            <w:pPr>
              <w:spacing w:line="600" w:lineRule="auto"/>
              <w:ind w:firstLine="420"/>
              <w:jc w:val="center"/>
              <w:rPr>
                <w:rFonts w:hint="eastAsia" w:ascii="黑体" w:hAnsi="黑体" w:eastAsia="黑体" w:cs="黑体"/>
                <w:color w:val="auto"/>
                <w:sz w:val="21"/>
                <w:szCs w:val="21"/>
                <w:highlight w:val="none"/>
              </w:rPr>
            </w:pPr>
          </w:p>
        </w:tc>
        <w:tc>
          <w:tcPr>
            <w:tcW w:w="747" w:type="pct"/>
            <w:vAlign w:val="center"/>
          </w:tcPr>
          <w:p>
            <w:pPr>
              <w:ind w:firstLine="0" w:firstLineChars="0"/>
              <w:jc w:val="center"/>
              <w:rPr>
                <w:rFonts w:hint="eastAsia" w:ascii="黑体" w:hAnsi="黑体" w:eastAsia="黑体" w:cs="黑体"/>
                <w:color w:val="auto"/>
                <w:sz w:val="21"/>
                <w:szCs w:val="21"/>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924" w:hRule="atLeast"/>
          <w:jc w:val="center"/>
        </w:trPr>
        <w:tc>
          <w:tcPr>
            <w:tcW w:w="503" w:type="pct"/>
            <w:vAlign w:val="center"/>
          </w:tcPr>
          <w:p>
            <w:pPr>
              <w:spacing w:line="40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w:t>
            </w:r>
          </w:p>
        </w:tc>
        <w:tc>
          <w:tcPr>
            <w:tcW w:w="651" w:type="pct"/>
            <w:vAlign w:val="center"/>
          </w:tcPr>
          <w:p>
            <w:pPr>
              <w:spacing w:line="400" w:lineRule="exact"/>
              <w:ind w:firstLine="0" w:firstLineChars="0"/>
              <w:jc w:val="center"/>
              <w:rPr>
                <w:rFonts w:hint="eastAsia" w:ascii="黑体" w:hAnsi="黑体" w:eastAsia="黑体" w:cs="黑体"/>
                <w:color w:val="auto"/>
                <w:sz w:val="21"/>
                <w:szCs w:val="21"/>
                <w:highlight w:val="none"/>
              </w:rPr>
            </w:pPr>
          </w:p>
        </w:tc>
        <w:tc>
          <w:tcPr>
            <w:tcW w:w="570" w:type="pct"/>
            <w:vAlign w:val="center"/>
          </w:tcPr>
          <w:p>
            <w:pPr>
              <w:spacing w:line="600" w:lineRule="auto"/>
              <w:ind w:firstLine="420"/>
              <w:jc w:val="center"/>
              <w:rPr>
                <w:rFonts w:hint="eastAsia" w:ascii="黑体" w:hAnsi="黑体" w:eastAsia="黑体" w:cs="黑体"/>
                <w:color w:val="auto"/>
                <w:sz w:val="21"/>
                <w:szCs w:val="21"/>
                <w:highlight w:val="none"/>
              </w:rPr>
            </w:pPr>
          </w:p>
        </w:tc>
        <w:tc>
          <w:tcPr>
            <w:tcW w:w="655" w:type="pct"/>
            <w:vAlign w:val="center"/>
          </w:tcPr>
          <w:p>
            <w:pPr>
              <w:spacing w:line="600" w:lineRule="auto"/>
              <w:ind w:firstLine="420"/>
              <w:jc w:val="center"/>
              <w:rPr>
                <w:rFonts w:hint="eastAsia" w:ascii="黑体" w:hAnsi="黑体" w:eastAsia="黑体" w:cs="黑体"/>
                <w:color w:val="auto"/>
                <w:sz w:val="21"/>
                <w:szCs w:val="21"/>
                <w:highlight w:val="none"/>
              </w:rPr>
            </w:pPr>
          </w:p>
        </w:tc>
        <w:tc>
          <w:tcPr>
            <w:tcW w:w="934" w:type="pct"/>
          </w:tcPr>
          <w:p>
            <w:pPr>
              <w:spacing w:line="600" w:lineRule="auto"/>
              <w:ind w:firstLine="420"/>
              <w:jc w:val="center"/>
              <w:rPr>
                <w:rFonts w:hint="eastAsia" w:ascii="黑体" w:hAnsi="黑体" w:eastAsia="黑体" w:cs="黑体"/>
                <w:color w:val="auto"/>
                <w:sz w:val="21"/>
                <w:szCs w:val="21"/>
                <w:highlight w:val="none"/>
              </w:rPr>
            </w:pPr>
          </w:p>
        </w:tc>
        <w:tc>
          <w:tcPr>
            <w:tcW w:w="936" w:type="pct"/>
            <w:vAlign w:val="center"/>
          </w:tcPr>
          <w:p>
            <w:pPr>
              <w:spacing w:line="600" w:lineRule="auto"/>
              <w:ind w:firstLine="420"/>
              <w:jc w:val="center"/>
              <w:rPr>
                <w:rFonts w:hint="eastAsia" w:ascii="黑体" w:hAnsi="黑体" w:eastAsia="黑体" w:cs="黑体"/>
                <w:color w:val="auto"/>
                <w:sz w:val="21"/>
                <w:szCs w:val="21"/>
                <w:highlight w:val="none"/>
              </w:rPr>
            </w:pPr>
          </w:p>
        </w:tc>
        <w:tc>
          <w:tcPr>
            <w:tcW w:w="747" w:type="pct"/>
            <w:vAlign w:val="center"/>
          </w:tcPr>
          <w:p>
            <w:pPr>
              <w:ind w:firstLine="0" w:firstLineChars="0"/>
              <w:jc w:val="center"/>
              <w:rPr>
                <w:rFonts w:hint="eastAsia" w:ascii="黑体" w:hAnsi="黑体" w:eastAsia="黑体" w:cs="黑体"/>
                <w:color w:val="auto"/>
                <w:sz w:val="21"/>
                <w:szCs w:val="21"/>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924" w:hRule="atLeast"/>
          <w:jc w:val="center"/>
        </w:trPr>
        <w:tc>
          <w:tcPr>
            <w:tcW w:w="503" w:type="pct"/>
            <w:vAlign w:val="center"/>
          </w:tcPr>
          <w:p>
            <w:pPr>
              <w:spacing w:line="40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3</w:t>
            </w:r>
          </w:p>
        </w:tc>
        <w:tc>
          <w:tcPr>
            <w:tcW w:w="651" w:type="pct"/>
            <w:vAlign w:val="center"/>
          </w:tcPr>
          <w:p>
            <w:pPr>
              <w:spacing w:line="400" w:lineRule="exact"/>
              <w:ind w:firstLine="0" w:firstLineChars="0"/>
              <w:jc w:val="center"/>
              <w:rPr>
                <w:rFonts w:hint="eastAsia" w:ascii="黑体" w:hAnsi="黑体" w:eastAsia="黑体" w:cs="黑体"/>
                <w:color w:val="auto"/>
                <w:sz w:val="21"/>
                <w:szCs w:val="21"/>
                <w:highlight w:val="none"/>
              </w:rPr>
            </w:pPr>
          </w:p>
        </w:tc>
        <w:tc>
          <w:tcPr>
            <w:tcW w:w="570" w:type="pct"/>
            <w:vAlign w:val="center"/>
          </w:tcPr>
          <w:p>
            <w:pPr>
              <w:spacing w:line="600" w:lineRule="auto"/>
              <w:ind w:firstLine="420"/>
              <w:jc w:val="center"/>
              <w:rPr>
                <w:rFonts w:hint="eastAsia" w:ascii="黑体" w:hAnsi="黑体" w:eastAsia="黑体" w:cs="黑体"/>
                <w:color w:val="auto"/>
                <w:sz w:val="21"/>
                <w:szCs w:val="21"/>
                <w:highlight w:val="none"/>
              </w:rPr>
            </w:pPr>
          </w:p>
        </w:tc>
        <w:tc>
          <w:tcPr>
            <w:tcW w:w="655" w:type="pct"/>
            <w:vAlign w:val="center"/>
          </w:tcPr>
          <w:p>
            <w:pPr>
              <w:spacing w:line="600" w:lineRule="auto"/>
              <w:ind w:firstLine="420"/>
              <w:jc w:val="center"/>
              <w:rPr>
                <w:rFonts w:hint="eastAsia" w:ascii="黑体" w:hAnsi="黑体" w:eastAsia="黑体" w:cs="黑体"/>
                <w:color w:val="auto"/>
                <w:sz w:val="21"/>
                <w:szCs w:val="21"/>
                <w:highlight w:val="none"/>
              </w:rPr>
            </w:pPr>
          </w:p>
        </w:tc>
        <w:tc>
          <w:tcPr>
            <w:tcW w:w="934" w:type="pct"/>
          </w:tcPr>
          <w:p>
            <w:pPr>
              <w:spacing w:line="600" w:lineRule="auto"/>
              <w:ind w:firstLine="420"/>
              <w:jc w:val="center"/>
              <w:rPr>
                <w:rFonts w:hint="eastAsia" w:ascii="黑体" w:hAnsi="黑体" w:eastAsia="黑体" w:cs="黑体"/>
                <w:color w:val="auto"/>
                <w:sz w:val="21"/>
                <w:szCs w:val="21"/>
                <w:highlight w:val="none"/>
              </w:rPr>
            </w:pPr>
          </w:p>
        </w:tc>
        <w:tc>
          <w:tcPr>
            <w:tcW w:w="936" w:type="pct"/>
            <w:vAlign w:val="center"/>
          </w:tcPr>
          <w:p>
            <w:pPr>
              <w:spacing w:line="600" w:lineRule="auto"/>
              <w:ind w:firstLine="420"/>
              <w:jc w:val="center"/>
              <w:rPr>
                <w:rFonts w:hint="eastAsia" w:ascii="黑体" w:hAnsi="黑体" w:eastAsia="黑体" w:cs="黑体"/>
                <w:color w:val="auto"/>
                <w:sz w:val="21"/>
                <w:szCs w:val="21"/>
                <w:highlight w:val="none"/>
              </w:rPr>
            </w:pPr>
          </w:p>
        </w:tc>
        <w:tc>
          <w:tcPr>
            <w:tcW w:w="747" w:type="pct"/>
            <w:vAlign w:val="center"/>
          </w:tcPr>
          <w:p>
            <w:pPr>
              <w:ind w:firstLine="420"/>
              <w:jc w:val="center"/>
              <w:rPr>
                <w:rFonts w:hint="eastAsia" w:ascii="黑体" w:hAnsi="黑体" w:eastAsia="黑体" w:cs="黑体"/>
                <w:color w:val="auto"/>
                <w:sz w:val="21"/>
                <w:szCs w:val="21"/>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924" w:hRule="atLeast"/>
          <w:jc w:val="center"/>
        </w:trPr>
        <w:tc>
          <w:tcPr>
            <w:tcW w:w="503" w:type="pct"/>
            <w:vAlign w:val="center"/>
          </w:tcPr>
          <w:p>
            <w:pPr>
              <w:spacing w:line="40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4</w:t>
            </w:r>
          </w:p>
        </w:tc>
        <w:tc>
          <w:tcPr>
            <w:tcW w:w="651" w:type="pct"/>
            <w:vAlign w:val="center"/>
          </w:tcPr>
          <w:p>
            <w:pPr>
              <w:spacing w:line="400" w:lineRule="exact"/>
              <w:ind w:firstLine="0" w:firstLineChars="0"/>
              <w:jc w:val="center"/>
              <w:rPr>
                <w:rFonts w:hint="eastAsia" w:ascii="黑体" w:hAnsi="黑体" w:eastAsia="黑体" w:cs="黑体"/>
                <w:color w:val="auto"/>
                <w:sz w:val="21"/>
                <w:szCs w:val="21"/>
                <w:highlight w:val="none"/>
              </w:rPr>
            </w:pPr>
          </w:p>
        </w:tc>
        <w:tc>
          <w:tcPr>
            <w:tcW w:w="570" w:type="pct"/>
            <w:vAlign w:val="center"/>
          </w:tcPr>
          <w:p>
            <w:pPr>
              <w:spacing w:line="600" w:lineRule="auto"/>
              <w:ind w:firstLine="420"/>
              <w:jc w:val="center"/>
              <w:rPr>
                <w:rFonts w:hint="eastAsia" w:ascii="黑体" w:hAnsi="黑体" w:eastAsia="黑体" w:cs="黑体"/>
                <w:color w:val="auto"/>
                <w:sz w:val="21"/>
                <w:szCs w:val="21"/>
                <w:highlight w:val="none"/>
              </w:rPr>
            </w:pPr>
          </w:p>
        </w:tc>
        <w:tc>
          <w:tcPr>
            <w:tcW w:w="655" w:type="pct"/>
            <w:vAlign w:val="center"/>
          </w:tcPr>
          <w:p>
            <w:pPr>
              <w:spacing w:line="600" w:lineRule="auto"/>
              <w:ind w:firstLine="420"/>
              <w:jc w:val="center"/>
              <w:rPr>
                <w:rFonts w:hint="eastAsia" w:ascii="黑体" w:hAnsi="黑体" w:eastAsia="黑体" w:cs="黑体"/>
                <w:color w:val="auto"/>
                <w:sz w:val="21"/>
                <w:szCs w:val="21"/>
                <w:highlight w:val="none"/>
              </w:rPr>
            </w:pPr>
          </w:p>
        </w:tc>
        <w:tc>
          <w:tcPr>
            <w:tcW w:w="934" w:type="pct"/>
          </w:tcPr>
          <w:p>
            <w:pPr>
              <w:spacing w:line="600" w:lineRule="auto"/>
              <w:ind w:firstLine="420"/>
              <w:jc w:val="center"/>
              <w:rPr>
                <w:rFonts w:hint="eastAsia" w:ascii="黑体" w:hAnsi="黑体" w:eastAsia="黑体" w:cs="黑体"/>
                <w:color w:val="auto"/>
                <w:sz w:val="21"/>
                <w:szCs w:val="21"/>
                <w:highlight w:val="none"/>
              </w:rPr>
            </w:pPr>
          </w:p>
        </w:tc>
        <w:tc>
          <w:tcPr>
            <w:tcW w:w="936" w:type="pct"/>
            <w:vAlign w:val="center"/>
          </w:tcPr>
          <w:p>
            <w:pPr>
              <w:spacing w:line="600" w:lineRule="auto"/>
              <w:ind w:firstLine="420"/>
              <w:jc w:val="center"/>
              <w:rPr>
                <w:rFonts w:hint="eastAsia" w:ascii="黑体" w:hAnsi="黑体" w:eastAsia="黑体" w:cs="黑体"/>
                <w:color w:val="auto"/>
                <w:sz w:val="21"/>
                <w:szCs w:val="21"/>
                <w:highlight w:val="none"/>
              </w:rPr>
            </w:pPr>
          </w:p>
        </w:tc>
        <w:tc>
          <w:tcPr>
            <w:tcW w:w="747" w:type="pct"/>
            <w:vAlign w:val="center"/>
          </w:tcPr>
          <w:p>
            <w:pPr>
              <w:ind w:firstLine="420"/>
              <w:jc w:val="center"/>
              <w:rPr>
                <w:rFonts w:hint="eastAsia" w:ascii="黑体" w:hAnsi="黑体" w:eastAsia="黑体" w:cs="黑体"/>
                <w:color w:val="auto"/>
                <w:sz w:val="21"/>
                <w:szCs w:val="21"/>
                <w:highlight w:val="non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57" w:type="dxa"/>
            <w:left w:w="57" w:type="dxa"/>
            <w:bottom w:w="57" w:type="dxa"/>
            <w:right w:w="57" w:type="dxa"/>
          </w:tblCellMar>
        </w:tblPrEx>
        <w:trPr>
          <w:cantSplit/>
          <w:trHeight w:val="924" w:hRule="atLeast"/>
          <w:jc w:val="center"/>
        </w:trPr>
        <w:tc>
          <w:tcPr>
            <w:tcW w:w="503" w:type="pct"/>
            <w:tcBorders>
              <w:bottom w:val="thinThickSmallGap" w:color="auto" w:sz="12" w:space="0"/>
            </w:tcBorders>
            <w:vAlign w:val="center"/>
          </w:tcPr>
          <w:p>
            <w:pPr>
              <w:spacing w:line="400" w:lineRule="exact"/>
              <w:ind w:firstLine="0" w:firstLineChars="0"/>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w:t>
            </w:r>
          </w:p>
        </w:tc>
        <w:tc>
          <w:tcPr>
            <w:tcW w:w="651" w:type="pct"/>
            <w:tcBorders>
              <w:bottom w:val="thinThickSmallGap" w:color="auto" w:sz="12" w:space="0"/>
            </w:tcBorders>
            <w:vAlign w:val="center"/>
          </w:tcPr>
          <w:p>
            <w:pPr>
              <w:spacing w:line="400" w:lineRule="exact"/>
              <w:ind w:firstLine="0" w:firstLineChars="0"/>
              <w:jc w:val="center"/>
              <w:rPr>
                <w:rFonts w:hint="eastAsia" w:ascii="黑体" w:hAnsi="黑体" w:eastAsia="黑体" w:cs="黑体"/>
                <w:color w:val="auto"/>
                <w:sz w:val="21"/>
                <w:szCs w:val="21"/>
                <w:highlight w:val="none"/>
              </w:rPr>
            </w:pPr>
          </w:p>
        </w:tc>
        <w:tc>
          <w:tcPr>
            <w:tcW w:w="570" w:type="pct"/>
            <w:tcBorders>
              <w:bottom w:val="thinThickSmallGap" w:color="auto" w:sz="12" w:space="0"/>
            </w:tcBorders>
            <w:vAlign w:val="center"/>
          </w:tcPr>
          <w:p>
            <w:pPr>
              <w:spacing w:line="600" w:lineRule="auto"/>
              <w:ind w:firstLine="420"/>
              <w:jc w:val="center"/>
              <w:rPr>
                <w:rFonts w:hint="eastAsia" w:ascii="黑体" w:hAnsi="黑体" w:eastAsia="黑体" w:cs="黑体"/>
                <w:color w:val="auto"/>
                <w:sz w:val="21"/>
                <w:szCs w:val="21"/>
                <w:highlight w:val="none"/>
              </w:rPr>
            </w:pPr>
          </w:p>
        </w:tc>
        <w:tc>
          <w:tcPr>
            <w:tcW w:w="655" w:type="pct"/>
            <w:tcBorders>
              <w:bottom w:val="thinThickSmallGap" w:color="auto" w:sz="12" w:space="0"/>
            </w:tcBorders>
            <w:vAlign w:val="center"/>
          </w:tcPr>
          <w:p>
            <w:pPr>
              <w:spacing w:line="600" w:lineRule="auto"/>
              <w:ind w:firstLine="420"/>
              <w:jc w:val="center"/>
              <w:rPr>
                <w:rFonts w:hint="eastAsia" w:ascii="黑体" w:hAnsi="黑体" w:eastAsia="黑体" w:cs="黑体"/>
                <w:color w:val="auto"/>
                <w:sz w:val="21"/>
                <w:szCs w:val="21"/>
                <w:highlight w:val="none"/>
              </w:rPr>
            </w:pPr>
          </w:p>
        </w:tc>
        <w:tc>
          <w:tcPr>
            <w:tcW w:w="934" w:type="pct"/>
            <w:tcBorders>
              <w:bottom w:val="thinThickSmallGap" w:color="auto" w:sz="12" w:space="0"/>
            </w:tcBorders>
          </w:tcPr>
          <w:p>
            <w:pPr>
              <w:spacing w:line="600" w:lineRule="auto"/>
              <w:ind w:firstLine="420"/>
              <w:jc w:val="center"/>
              <w:rPr>
                <w:rFonts w:hint="eastAsia" w:ascii="黑体" w:hAnsi="黑体" w:eastAsia="黑体" w:cs="黑体"/>
                <w:color w:val="auto"/>
                <w:sz w:val="21"/>
                <w:szCs w:val="21"/>
                <w:highlight w:val="none"/>
              </w:rPr>
            </w:pPr>
          </w:p>
        </w:tc>
        <w:tc>
          <w:tcPr>
            <w:tcW w:w="936" w:type="pct"/>
            <w:tcBorders>
              <w:bottom w:val="thinThickSmallGap" w:color="auto" w:sz="12" w:space="0"/>
            </w:tcBorders>
            <w:vAlign w:val="center"/>
          </w:tcPr>
          <w:p>
            <w:pPr>
              <w:spacing w:line="600" w:lineRule="auto"/>
              <w:ind w:firstLine="420"/>
              <w:jc w:val="center"/>
              <w:rPr>
                <w:rFonts w:hint="eastAsia" w:ascii="黑体" w:hAnsi="黑体" w:eastAsia="黑体" w:cs="黑体"/>
                <w:color w:val="auto"/>
                <w:sz w:val="21"/>
                <w:szCs w:val="21"/>
                <w:highlight w:val="none"/>
              </w:rPr>
            </w:pPr>
          </w:p>
        </w:tc>
        <w:tc>
          <w:tcPr>
            <w:tcW w:w="747" w:type="pct"/>
            <w:tcBorders>
              <w:bottom w:val="thinThickSmallGap" w:color="auto" w:sz="12" w:space="0"/>
            </w:tcBorders>
            <w:vAlign w:val="center"/>
          </w:tcPr>
          <w:p>
            <w:pPr>
              <w:ind w:firstLine="420"/>
              <w:jc w:val="center"/>
              <w:rPr>
                <w:rFonts w:hint="eastAsia" w:ascii="黑体" w:hAnsi="黑体" w:eastAsia="黑体" w:cs="黑体"/>
                <w:color w:val="auto"/>
                <w:sz w:val="21"/>
                <w:szCs w:val="21"/>
                <w:highlight w:val="none"/>
              </w:rPr>
            </w:pPr>
          </w:p>
        </w:tc>
      </w:tr>
    </w:tbl>
    <w:p>
      <w:pPr>
        <w:adjustRightInd w:val="0"/>
        <w:snapToGrid w:val="0"/>
        <w:spacing w:line="360" w:lineRule="auto"/>
        <w:ind w:firstLine="480"/>
        <w:textAlignment w:val="baseline"/>
        <w:rPr>
          <w:rFonts w:hint="eastAsia" w:ascii="黑体" w:hAnsi="黑体" w:eastAsia="黑体" w:cs="黑体"/>
          <w:color w:val="auto"/>
          <w:highlight w:val="none"/>
        </w:rPr>
      </w:pPr>
      <w:r>
        <w:rPr>
          <w:rFonts w:hint="eastAsia" w:ascii="黑体" w:hAnsi="黑体" w:eastAsia="黑体" w:cs="黑体"/>
          <w:color w:val="auto"/>
          <w:highlight w:val="none"/>
        </w:rPr>
        <w:t>注：1、提供相关证书及证明材料详见评分标准表，否则不得分；</w:t>
      </w:r>
    </w:p>
    <w:p>
      <w:pPr>
        <w:adjustRightInd w:val="0"/>
        <w:snapToGrid w:val="0"/>
        <w:spacing w:line="360" w:lineRule="auto"/>
        <w:ind w:firstLine="480"/>
        <w:textAlignment w:val="baseline"/>
        <w:rPr>
          <w:rFonts w:hint="eastAsia" w:ascii="黑体" w:hAnsi="黑体" w:eastAsia="黑体" w:cs="黑体"/>
          <w:color w:val="auto"/>
          <w:highlight w:val="none"/>
        </w:rPr>
      </w:pPr>
      <w:r>
        <w:rPr>
          <w:rFonts w:hint="eastAsia" w:ascii="黑体" w:hAnsi="黑体" w:eastAsia="黑体" w:cs="黑体"/>
          <w:color w:val="auto"/>
          <w:highlight w:val="none"/>
        </w:rPr>
        <w:t>2、在填写时，如本表格不适合响应方的实际情况，可根据本表格式自行划表填写。</w:t>
      </w:r>
    </w:p>
    <w:p>
      <w:pPr>
        <w:adjustRightInd w:val="0"/>
        <w:snapToGrid w:val="0"/>
        <w:spacing w:line="360" w:lineRule="auto"/>
        <w:ind w:left="0" w:leftChars="0" w:firstLine="0" w:firstLineChars="0"/>
        <w:textAlignment w:val="baseline"/>
        <w:rPr>
          <w:rFonts w:hint="eastAsia" w:ascii="黑体" w:hAnsi="黑体" w:eastAsia="黑体" w:cs="黑体"/>
          <w:color w:val="auto"/>
          <w:highlight w:val="none"/>
        </w:rPr>
      </w:pP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供应商：</w:t>
      </w:r>
      <w:r>
        <w:rPr>
          <w:rFonts w:hint="eastAsia" w:ascii="黑体" w:hAnsi="黑体" w:eastAsia="黑体" w:cs="黑体"/>
          <w:color w:val="auto"/>
          <w:highlight w:val="none"/>
          <w:u w:val="single"/>
        </w:rPr>
        <w:t xml:space="preserve">                          （盖章）</w:t>
      </w: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法定代表人或授权委托人：</w:t>
      </w:r>
      <w:r>
        <w:rPr>
          <w:rFonts w:hint="eastAsia" w:ascii="黑体" w:hAnsi="黑体" w:eastAsia="黑体" w:cs="黑体"/>
          <w:color w:val="auto"/>
          <w:highlight w:val="none"/>
          <w:u w:val="single"/>
        </w:rPr>
        <w:t xml:space="preserve">     （签字或盖章）</w:t>
      </w:r>
    </w:p>
    <w:p>
      <w:pPr>
        <w:widowControl/>
        <w:adjustRightInd w:val="0"/>
        <w:snapToGrid w:val="0"/>
        <w:spacing w:line="360" w:lineRule="auto"/>
        <w:ind w:firstLine="3360" w:firstLineChars="1400"/>
        <w:rPr>
          <w:rFonts w:hint="eastAsia" w:ascii="黑体" w:hAnsi="黑体" w:eastAsia="黑体" w:cs="黑体"/>
          <w:color w:val="auto"/>
          <w:highlight w:val="none"/>
        </w:rPr>
      </w:pPr>
      <w:r>
        <w:rPr>
          <w:rFonts w:hint="eastAsia" w:ascii="黑体" w:hAnsi="黑体" w:eastAsia="黑体" w:cs="黑体"/>
          <w:color w:val="auto"/>
          <w:highlight w:val="none"/>
        </w:rPr>
        <w:t>日期：2021年   月   日</w:t>
      </w:r>
    </w:p>
    <w:p>
      <w:pPr>
        <w:snapToGrid w:val="0"/>
        <w:ind w:firstLine="0" w:firstLineChars="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sz w:val="36"/>
          <w:szCs w:val="36"/>
          <w:highlight w:val="none"/>
        </w:rPr>
      </w:pPr>
      <w:r>
        <w:rPr>
          <w:rFonts w:hint="eastAsia" w:ascii="黑体" w:hAnsi="黑体" w:eastAsia="黑体" w:cs="黑体"/>
          <w:color w:val="auto"/>
          <w:highlight w:val="none"/>
        </w:rPr>
        <w:t>附件9</w:t>
      </w:r>
    </w:p>
    <w:p>
      <w:pPr>
        <w:snapToGrid w:val="0"/>
        <w:ind w:firstLine="720"/>
        <w:jc w:val="center"/>
        <w:rPr>
          <w:rFonts w:hint="eastAsia" w:ascii="黑体" w:hAnsi="黑体" w:eastAsia="黑体" w:cs="黑体"/>
          <w:color w:val="auto"/>
          <w:sz w:val="36"/>
          <w:szCs w:val="36"/>
          <w:highlight w:val="none"/>
        </w:rPr>
      </w:pPr>
    </w:p>
    <w:p>
      <w:pPr>
        <w:snapToGrid w:val="0"/>
        <w:ind w:firstLine="720"/>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项目实施方案</w:t>
      </w:r>
    </w:p>
    <w:p>
      <w:pPr>
        <w:snapToGrid w:val="0"/>
        <w:ind w:firstLine="600"/>
        <w:jc w:val="center"/>
        <w:rPr>
          <w:rFonts w:hint="eastAsia" w:ascii="黑体" w:hAnsi="黑体" w:eastAsia="黑体" w:cs="黑体"/>
          <w:bCs/>
          <w:color w:val="auto"/>
          <w:sz w:val="30"/>
          <w:szCs w:val="30"/>
          <w:highlight w:val="none"/>
        </w:rPr>
      </w:pPr>
      <w:r>
        <w:rPr>
          <w:rFonts w:hint="eastAsia" w:ascii="黑体" w:hAnsi="黑体" w:eastAsia="黑体" w:cs="黑体"/>
          <w:bCs/>
          <w:color w:val="auto"/>
          <w:sz w:val="30"/>
          <w:szCs w:val="30"/>
          <w:highlight w:val="none"/>
        </w:rPr>
        <w:t>（格式自拟）</w:t>
      </w:r>
    </w:p>
    <w:p>
      <w:pPr>
        <w:snapToGrid w:val="0"/>
        <w:ind w:firstLine="480"/>
        <w:jc w:val="left"/>
        <w:rPr>
          <w:rFonts w:hint="eastAsia" w:ascii="黑体" w:hAnsi="黑体" w:eastAsia="黑体" w:cs="黑体"/>
          <w:color w:val="auto"/>
          <w:highlight w:val="none"/>
        </w:rPr>
      </w:pPr>
    </w:p>
    <w:p>
      <w:pPr>
        <w:spacing w:line="600" w:lineRule="exact"/>
        <w:ind w:firstLine="0" w:firstLineChars="0"/>
        <w:jc w:val="left"/>
        <w:rPr>
          <w:rFonts w:hint="eastAsia" w:ascii="黑体" w:hAnsi="黑体" w:eastAsia="黑体" w:cs="黑体"/>
          <w:color w:val="auto"/>
          <w:highlight w:val="none"/>
          <w:lang w:val="zh-CN"/>
        </w:rPr>
      </w:pPr>
    </w:p>
    <w:p>
      <w:pPr>
        <w:spacing w:line="600" w:lineRule="exact"/>
        <w:ind w:firstLine="0" w:firstLineChars="0"/>
        <w:jc w:val="left"/>
        <w:rPr>
          <w:rFonts w:hint="eastAsia" w:ascii="黑体" w:hAnsi="黑体" w:eastAsia="黑体" w:cs="黑体"/>
          <w:color w:val="auto"/>
          <w:highlight w:val="none"/>
          <w:lang w:val="zh-CN"/>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0" w:firstLineChars="0"/>
        <w:jc w:val="left"/>
        <w:rPr>
          <w:rFonts w:hint="eastAsia" w:ascii="黑体" w:hAnsi="黑体" w:eastAsia="黑体" w:cs="黑体"/>
          <w:color w:val="auto"/>
          <w:highlight w:val="none"/>
        </w:rPr>
      </w:pP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供应商：</w:t>
      </w:r>
      <w:r>
        <w:rPr>
          <w:rFonts w:hint="eastAsia" w:ascii="黑体" w:hAnsi="黑体" w:eastAsia="黑体" w:cs="黑体"/>
          <w:color w:val="auto"/>
          <w:highlight w:val="none"/>
          <w:u w:val="single"/>
        </w:rPr>
        <w:t xml:space="preserve">                          （盖章）</w:t>
      </w: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法定代表人或授权委托人：</w:t>
      </w:r>
      <w:r>
        <w:rPr>
          <w:rFonts w:hint="eastAsia" w:ascii="黑体" w:hAnsi="黑体" w:eastAsia="黑体" w:cs="黑体"/>
          <w:color w:val="auto"/>
          <w:highlight w:val="none"/>
          <w:u w:val="single"/>
        </w:rPr>
        <w:t xml:space="preserve">     （签字或盖章）</w:t>
      </w:r>
    </w:p>
    <w:p>
      <w:pPr>
        <w:widowControl/>
        <w:adjustRightInd w:val="0"/>
        <w:snapToGrid w:val="0"/>
        <w:spacing w:line="360" w:lineRule="auto"/>
        <w:ind w:firstLine="3360" w:firstLineChars="1400"/>
        <w:rPr>
          <w:rFonts w:hint="eastAsia" w:ascii="黑体" w:hAnsi="黑体" w:eastAsia="黑体" w:cs="黑体"/>
          <w:color w:val="auto"/>
          <w:highlight w:val="none"/>
        </w:rPr>
      </w:pPr>
      <w:r>
        <w:rPr>
          <w:rFonts w:hint="eastAsia" w:ascii="黑体" w:hAnsi="黑体" w:eastAsia="黑体" w:cs="黑体"/>
          <w:color w:val="auto"/>
          <w:highlight w:val="none"/>
        </w:rPr>
        <w:t>日期：2021年   月   日</w:t>
      </w:r>
    </w:p>
    <w:p>
      <w:pPr>
        <w:ind w:firstLine="480"/>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ind w:firstLine="0" w:firstLineChars="0"/>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firstLine="120" w:firstLineChars="50"/>
        <w:jc w:val="left"/>
        <w:rPr>
          <w:rFonts w:hint="eastAsia" w:ascii="黑体" w:hAnsi="黑体" w:eastAsia="黑体" w:cs="黑体"/>
          <w:color w:val="auto"/>
          <w:highlight w:val="none"/>
        </w:rPr>
      </w:pPr>
    </w:p>
    <w:p>
      <w:pPr>
        <w:snapToGrid w:val="0"/>
        <w:ind w:left="0" w:leftChars="0" w:firstLine="0" w:firstLineChars="0"/>
        <w:jc w:val="left"/>
        <w:rPr>
          <w:rFonts w:hint="eastAsia" w:ascii="黑体" w:hAnsi="黑体" w:eastAsia="黑体" w:cs="黑体"/>
          <w:color w:val="auto"/>
          <w:highlight w:val="none"/>
        </w:rPr>
      </w:pPr>
    </w:p>
    <w:p>
      <w:pPr>
        <w:snapToGrid w:val="0"/>
        <w:ind w:left="0" w:leftChars="0" w:firstLine="0" w:firstLineChars="0"/>
        <w:jc w:val="left"/>
        <w:rPr>
          <w:rFonts w:hint="eastAsia" w:ascii="黑体" w:hAnsi="黑体" w:eastAsia="黑体" w:cs="黑体"/>
          <w:color w:val="auto"/>
          <w:highlight w:val="none"/>
        </w:rPr>
      </w:pPr>
      <w:r>
        <w:rPr>
          <w:rFonts w:hint="eastAsia" w:ascii="黑体" w:hAnsi="黑体" w:eastAsia="黑体" w:cs="黑体"/>
          <w:color w:val="auto"/>
          <w:highlight w:val="none"/>
        </w:rPr>
        <w:t>附件10</w:t>
      </w:r>
    </w:p>
    <w:p>
      <w:pPr>
        <w:pStyle w:val="31"/>
        <w:rPr>
          <w:rFonts w:hint="eastAsia" w:ascii="黑体" w:hAnsi="黑体" w:eastAsia="黑体" w:cs="黑体"/>
          <w:color w:val="auto"/>
          <w:highlight w:val="none"/>
        </w:rPr>
      </w:pPr>
    </w:p>
    <w:p>
      <w:pPr>
        <w:snapToGrid w:val="0"/>
        <w:ind w:firstLine="720"/>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食品抽检过程中针对各种突发事件的应急措施</w:t>
      </w:r>
    </w:p>
    <w:p>
      <w:pPr>
        <w:pStyle w:val="31"/>
        <w:rPr>
          <w:rFonts w:hint="eastAsia" w:ascii="黑体" w:hAnsi="黑体" w:eastAsia="黑体" w:cs="黑体"/>
          <w:color w:val="auto"/>
          <w:sz w:val="28"/>
          <w:szCs w:val="28"/>
          <w:highlight w:val="none"/>
          <w:lang w:eastAsia="zh-CN"/>
        </w:rPr>
      </w:pPr>
      <w:r>
        <w:rPr>
          <w:rFonts w:hint="eastAsia" w:ascii="黑体" w:hAnsi="黑体" w:eastAsia="黑体" w:cs="黑体"/>
          <w:color w:val="auto"/>
          <w:sz w:val="32"/>
          <w:szCs w:val="32"/>
          <w:highlight w:val="none"/>
          <w:lang w:eastAsia="zh-CN"/>
        </w:rPr>
        <w:t>（格式自拟）</w:t>
      </w:r>
    </w:p>
    <w:p>
      <w:pPr>
        <w:spacing w:line="360" w:lineRule="auto"/>
        <w:ind w:firstLine="720"/>
        <w:jc w:val="center"/>
        <w:rPr>
          <w:rFonts w:hint="eastAsia" w:ascii="黑体" w:hAnsi="黑体" w:eastAsia="黑体" w:cs="黑体"/>
          <w:bCs/>
          <w:color w:val="auto"/>
          <w:sz w:val="36"/>
          <w:szCs w:val="36"/>
          <w:highlight w:val="none"/>
        </w:rPr>
      </w:pPr>
    </w:p>
    <w:p>
      <w:pPr>
        <w:spacing w:line="360" w:lineRule="auto"/>
        <w:ind w:firstLine="720"/>
        <w:jc w:val="center"/>
        <w:rPr>
          <w:rFonts w:hint="eastAsia" w:ascii="黑体" w:hAnsi="黑体" w:eastAsia="黑体" w:cs="黑体"/>
          <w:bCs/>
          <w:color w:val="auto"/>
          <w:sz w:val="36"/>
          <w:szCs w:val="36"/>
          <w:highlight w:val="none"/>
        </w:rPr>
      </w:pPr>
    </w:p>
    <w:p>
      <w:pPr>
        <w:spacing w:line="360" w:lineRule="auto"/>
        <w:ind w:firstLine="720"/>
        <w:jc w:val="center"/>
        <w:rPr>
          <w:rFonts w:hint="eastAsia" w:ascii="黑体" w:hAnsi="黑体" w:eastAsia="黑体" w:cs="黑体"/>
          <w:bCs/>
          <w:color w:val="auto"/>
          <w:sz w:val="36"/>
          <w:szCs w:val="36"/>
          <w:highlight w:val="none"/>
        </w:rPr>
      </w:pPr>
    </w:p>
    <w:p>
      <w:pPr>
        <w:spacing w:line="360" w:lineRule="auto"/>
        <w:ind w:firstLine="720"/>
        <w:jc w:val="center"/>
        <w:rPr>
          <w:rFonts w:hint="eastAsia" w:ascii="黑体" w:hAnsi="黑体" w:eastAsia="黑体" w:cs="黑体"/>
          <w:bCs/>
          <w:color w:val="auto"/>
          <w:sz w:val="36"/>
          <w:szCs w:val="36"/>
          <w:highlight w:val="none"/>
        </w:rPr>
      </w:pPr>
    </w:p>
    <w:p>
      <w:pPr>
        <w:spacing w:line="360" w:lineRule="auto"/>
        <w:ind w:firstLine="720"/>
        <w:jc w:val="center"/>
        <w:rPr>
          <w:rFonts w:hint="eastAsia" w:ascii="黑体" w:hAnsi="黑体" w:eastAsia="黑体" w:cs="黑体"/>
          <w:bCs/>
          <w:color w:val="auto"/>
          <w:sz w:val="36"/>
          <w:szCs w:val="36"/>
          <w:highlight w:val="none"/>
        </w:rPr>
      </w:pPr>
    </w:p>
    <w:p>
      <w:pPr>
        <w:spacing w:line="360" w:lineRule="auto"/>
        <w:ind w:firstLine="720"/>
        <w:jc w:val="center"/>
        <w:rPr>
          <w:rFonts w:hint="eastAsia" w:ascii="黑体" w:hAnsi="黑体" w:eastAsia="黑体" w:cs="黑体"/>
          <w:bCs/>
          <w:color w:val="auto"/>
          <w:sz w:val="36"/>
          <w:szCs w:val="36"/>
          <w:highlight w:val="none"/>
        </w:rPr>
      </w:pPr>
    </w:p>
    <w:p>
      <w:pPr>
        <w:spacing w:line="360" w:lineRule="auto"/>
        <w:ind w:firstLine="720"/>
        <w:jc w:val="center"/>
        <w:rPr>
          <w:rFonts w:hint="eastAsia" w:ascii="黑体" w:hAnsi="黑体" w:eastAsia="黑体" w:cs="黑体"/>
          <w:bCs/>
          <w:color w:val="auto"/>
          <w:sz w:val="36"/>
          <w:szCs w:val="36"/>
          <w:highlight w:val="none"/>
        </w:rPr>
      </w:pPr>
    </w:p>
    <w:p>
      <w:pPr>
        <w:spacing w:line="360" w:lineRule="auto"/>
        <w:ind w:firstLine="720"/>
        <w:jc w:val="center"/>
        <w:rPr>
          <w:rFonts w:hint="eastAsia" w:ascii="黑体" w:hAnsi="黑体" w:eastAsia="黑体" w:cs="黑体"/>
          <w:bCs/>
          <w:color w:val="auto"/>
          <w:sz w:val="36"/>
          <w:szCs w:val="36"/>
          <w:highlight w:val="none"/>
        </w:rPr>
      </w:pPr>
    </w:p>
    <w:p>
      <w:pPr>
        <w:spacing w:line="360" w:lineRule="auto"/>
        <w:ind w:firstLine="720"/>
        <w:jc w:val="center"/>
        <w:rPr>
          <w:rFonts w:hint="eastAsia" w:ascii="黑体" w:hAnsi="黑体" w:eastAsia="黑体" w:cs="黑体"/>
          <w:bCs/>
          <w:color w:val="auto"/>
          <w:sz w:val="36"/>
          <w:szCs w:val="36"/>
          <w:highlight w:val="none"/>
        </w:rPr>
      </w:pPr>
    </w:p>
    <w:p>
      <w:pPr>
        <w:spacing w:line="360" w:lineRule="auto"/>
        <w:ind w:firstLine="720"/>
        <w:jc w:val="center"/>
        <w:rPr>
          <w:rFonts w:hint="eastAsia" w:ascii="黑体" w:hAnsi="黑体" w:eastAsia="黑体" w:cs="黑体"/>
          <w:bCs/>
          <w:color w:val="auto"/>
          <w:sz w:val="36"/>
          <w:szCs w:val="36"/>
          <w:highlight w:val="none"/>
        </w:rPr>
      </w:pPr>
    </w:p>
    <w:p>
      <w:pPr>
        <w:spacing w:line="360" w:lineRule="auto"/>
        <w:ind w:firstLine="720"/>
        <w:jc w:val="center"/>
        <w:rPr>
          <w:rFonts w:hint="eastAsia" w:ascii="黑体" w:hAnsi="黑体" w:eastAsia="黑体" w:cs="黑体"/>
          <w:bCs/>
          <w:color w:val="auto"/>
          <w:sz w:val="36"/>
          <w:szCs w:val="36"/>
          <w:highlight w:val="none"/>
        </w:rPr>
      </w:pPr>
    </w:p>
    <w:p>
      <w:pPr>
        <w:spacing w:line="360" w:lineRule="auto"/>
        <w:ind w:firstLine="720"/>
        <w:jc w:val="center"/>
        <w:rPr>
          <w:rFonts w:hint="eastAsia" w:ascii="黑体" w:hAnsi="黑体" w:eastAsia="黑体" w:cs="黑体"/>
          <w:bCs/>
          <w:color w:val="auto"/>
          <w:sz w:val="36"/>
          <w:szCs w:val="36"/>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lang w:eastAsia="zh-CN"/>
        </w:rPr>
      </w:pPr>
    </w:p>
    <w:p>
      <w:pPr>
        <w:adjustRightInd w:val="0"/>
        <w:snapToGrid w:val="0"/>
        <w:spacing w:line="360" w:lineRule="auto"/>
        <w:ind w:firstLine="0" w:firstLineChars="0"/>
        <w:rPr>
          <w:rFonts w:hint="eastAsia" w:ascii="黑体" w:hAnsi="黑体" w:eastAsia="黑体" w:cs="黑体"/>
          <w:bCs/>
          <w:color w:val="auto"/>
          <w:szCs w:val="24"/>
          <w:highlight w:val="none"/>
          <w:lang w:eastAsia="zh-CN"/>
        </w:rPr>
      </w:pPr>
    </w:p>
    <w:p>
      <w:pPr>
        <w:adjustRightInd w:val="0"/>
        <w:snapToGrid w:val="0"/>
        <w:spacing w:line="360" w:lineRule="auto"/>
        <w:ind w:firstLine="0" w:firstLineChars="0"/>
        <w:rPr>
          <w:rFonts w:hint="eastAsia" w:ascii="黑体" w:hAnsi="黑体" w:eastAsia="黑体" w:cs="黑体"/>
          <w:bCs/>
          <w:color w:val="auto"/>
          <w:szCs w:val="24"/>
          <w:highlight w:val="none"/>
          <w:lang w:eastAsia="zh-CN"/>
        </w:rPr>
      </w:pPr>
    </w:p>
    <w:p>
      <w:pPr>
        <w:adjustRightInd w:val="0"/>
        <w:snapToGrid w:val="0"/>
        <w:spacing w:line="360" w:lineRule="auto"/>
        <w:ind w:firstLine="0" w:firstLineChars="0"/>
        <w:rPr>
          <w:rFonts w:hint="eastAsia" w:ascii="黑体" w:hAnsi="黑体" w:eastAsia="黑体" w:cs="黑体"/>
          <w:bCs/>
          <w:color w:val="auto"/>
          <w:szCs w:val="24"/>
          <w:highlight w:val="none"/>
          <w:lang w:eastAsia="zh-CN"/>
        </w:rPr>
      </w:pPr>
    </w:p>
    <w:p>
      <w:pPr>
        <w:adjustRightInd w:val="0"/>
        <w:snapToGrid w:val="0"/>
        <w:spacing w:line="360" w:lineRule="auto"/>
        <w:ind w:firstLine="0" w:firstLineChars="0"/>
        <w:rPr>
          <w:rFonts w:hint="eastAsia" w:ascii="黑体" w:hAnsi="黑体" w:eastAsia="黑体" w:cs="黑体"/>
          <w:bCs/>
          <w:color w:val="auto"/>
          <w:szCs w:val="24"/>
          <w:highlight w:val="none"/>
          <w:lang w:eastAsia="zh-CN"/>
        </w:rPr>
      </w:pPr>
    </w:p>
    <w:p>
      <w:pPr>
        <w:adjustRightInd w:val="0"/>
        <w:snapToGrid w:val="0"/>
        <w:spacing w:line="360" w:lineRule="auto"/>
        <w:ind w:firstLine="0" w:firstLineChars="0"/>
        <w:rPr>
          <w:rFonts w:hint="eastAsia" w:ascii="黑体" w:hAnsi="黑体" w:eastAsia="黑体" w:cs="黑体"/>
          <w:bCs/>
          <w:color w:val="auto"/>
          <w:szCs w:val="24"/>
          <w:highlight w:val="none"/>
          <w:lang w:eastAsia="zh-CN"/>
        </w:rPr>
      </w:pPr>
    </w:p>
    <w:p>
      <w:pPr>
        <w:adjustRightInd w:val="0"/>
        <w:snapToGrid w:val="0"/>
        <w:spacing w:line="360" w:lineRule="auto"/>
        <w:ind w:firstLine="0" w:firstLineChars="0"/>
        <w:rPr>
          <w:rFonts w:hint="eastAsia" w:ascii="黑体" w:hAnsi="黑体" w:eastAsia="黑体" w:cs="黑体"/>
          <w:bCs/>
          <w:color w:val="auto"/>
          <w:szCs w:val="24"/>
          <w:highlight w:val="none"/>
          <w:lang w:eastAsia="zh-CN"/>
        </w:rPr>
      </w:pPr>
    </w:p>
    <w:p>
      <w:pPr>
        <w:adjustRightInd w:val="0"/>
        <w:snapToGrid w:val="0"/>
        <w:spacing w:line="360" w:lineRule="auto"/>
        <w:ind w:firstLine="0" w:firstLineChars="0"/>
        <w:rPr>
          <w:rFonts w:hint="eastAsia" w:ascii="黑体" w:hAnsi="黑体" w:eastAsia="黑体" w:cs="黑体"/>
          <w:bCs/>
          <w:color w:val="auto"/>
          <w:szCs w:val="24"/>
          <w:highlight w:val="none"/>
          <w:lang w:eastAsia="zh-CN"/>
        </w:rPr>
      </w:pPr>
      <w:r>
        <w:rPr>
          <w:rFonts w:hint="eastAsia" w:ascii="黑体" w:hAnsi="黑体" w:eastAsia="黑体" w:cs="黑体"/>
          <w:bCs/>
          <w:color w:val="auto"/>
          <w:szCs w:val="24"/>
          <w:highlight w:val="none"/>
          <w:lang w:eastAsia="zh-CN"/>
        </w:rPr>
        <w:t>附件</w:t>
      </w:r>
      <w:r>
        <w:rPr>
          <w:rFonts w:hint="eastAsia" w:ascii="黑体" w:hAnsi="黑体" w:eastAsia="黑体" w:cs="黑体"/>
          <w:bCs/>
          <w:color w:val="auto"/>
          <w:szCs w:val="24"/>
          <w:highlight w:val="none"/>
          <w:lang w:val="en-US" w:eastAsia="zh-CN"/>
        </w:rPr>
        <w:t>11</w:t>
      </w:r>
      <w:r>
        <w:rPr>
          <w:rFonts w:hint="eastAsia" w:ascii="黑体" w:hAnsi="黑体" w:eastAsia="黑体" w:cs="黑体"/>
          <w:bCs/>
          <w:color w:val="auto"/>
          <w:szCs w:val="24"/>
          <w:highlight w:val="none"/>
          <w:lang w:eastAsia="zh-CN"/>
        </w:rPr>
        <w:t>：</w:t>
      </w:r>
    </w:p>
    <w:p>
      <w:pPr>
        <w:spacing w:line="360" w:lineRule="auto"/>
        <w:ind w:firstLine="720"/>
        <w:jc w:val="center"/>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rPr>
        <w:t>工作进度安排</w:t>
      </w:r>
    </w:p>
    <w:tbl>
      <w:tblPr>
        <w:tblStyle w:val="34"/>
        <w:tblW w:w="9962" w:type="dxa"/>
        <w:tblInd w:w="2" w:type="dxa"/>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Layout w:type="fixed"/>
        <w:tblCellMar>
          <w:top w:w="0" w:type="dxa"/>
          <w:left w:w="108" w:type="dxa"/>
          <w:bottom w:w="0" w:type="dxa"/>
          <w:right w:w="108" w:type="dxa"/>
        </w:tblCellMar>
      </w:tblPr>
      <w:tblGrid>
        <w:gridCol w:w="1740"/>
        <w:gridCol w:w="1739"/>
        <w:gridCol w:w="2943"/>
        <w:gridCol w:w="3540"/>
      </w:tblGrid>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17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序号</w:t>
            </w:r>
          </w:p>
        </w:tc>
        <w:tc>
          <w:tcPr>
            <w:tcW w:w="1739"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时间</w:t>
            </w:r>
          </w:p>
        </w:tc>
        <w:tc>
          <w:tcPr>
            <w:tcW w:w="2943"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工作内容</w:t>
            </w:r>
          </w:p>
        </w:tc>
        <w:tc>
          <w:tcPr>
            <w:tcW w:w="35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拟派项目组成员</w:t>
            </w: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1</w:t>
            </w:r>
          </w:p>
        </w:tc>
        <w:tc>
          <w:tcPr>
            <w:tcW w:w="1739"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2943"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35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2</w:t>
            </w:r>
          </w:p>
        </w:tc>
        <w:tc>
          <w:tcPr>
            <w:tcW w:w="1739"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2943"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35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tcBorders>
              <w:tl2br w:val="nil"/>
              <w:tr2bl w:val="nil"/>
            </w:tcBorders>
            <w:vAlign w:val="center"/>
          </w:tcPr>
          <w:p>
            <w:pPr>
              <w:adjustRightInd w:val="0"/>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3</w:t>
            </w:r>
          </w:p>
        </w:tc>
        <w:tc>
          <w:tcPr>
            <w:tcW w:w="1739"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2943"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35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tcBorders>
              <w:tl2br w:val="nil"/>
              <w:tr2bl w:val="nil"/>
            </w:tcBorders>
            <w:vAlign w:val="center"/>
          </w:tcPr>
          <w:p>
            <w:pPr>
              <w:adjustRightInd w:val="0"/>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4</w:t>
            </w:r>
          </w:p>
        </w:tc>
        <w:tc>
          <w:tcPr>
            <w:tcW w:w="1739"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2943"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35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tcBorders>
              <w:tl2br w:val="nil"/>
              <w:tr2bl w:val="nil"/>
            </w:tcBorders>
            <w:vAlign w:val="center"/>
          </w:tcPr>
          <w:p>
            <w:pPr>
              <w:adjustRightInd w:val="0"/>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5</w:t>
            </w:r>
          </w:p>
        </w:tc>
        <w:tc>
          <w:tcPr>
            <w:tcW w:w="1739"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2943"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35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tcBorders>
              <w:tl2br w:val="nil"/>
              <w:tr2bl w:val="nil"/>
            </w:tcBorders>
            <w:vAlign w:val="center"/>
          </w:tcPr>
          <w:p>
            <w:pPr>
              <w:adjustRightInd w:val="0"/>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6</w:t>
            </w:r>
          </w:p>
        </w:tc>
        <w:tc>
          <w:tcPr>
            <w:tcW w:w="1739"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2943"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35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7</w:t>
            </w:r>
          </w:p>
        </w:tc>
        <w:tc>
          <w:tcPr>
            <w:tcW w:w="1739"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2943"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35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tcBorders>
              <w:tl2br w:val="nil"/>
              <w:tr2bl w:val="nil"/>
            </w:tcBorders>
            <w:vAlign w:val="center"/>
          </w:tcPr>
          <w:p>
            <w:pPr>
              <w:adjustRightInd w:val="0"/>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8</w:t>
            </w:r>
          </w:p>
        </w:tc>
        <w:tc>
          <w:tcPr>
            <w:tcW w:w="1739"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2943"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35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tcBorders>
              <w:tl2br w:val="nil"/>
              <w:tr2bl w:val="nil"/>
            </w:tcBorders>
            <w:vAlign w:val="center"/>
          </w:tcPr>
          <w:p>
            <w:pPr>
              <w:adjustRightInd w:val="0"/>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9</w:t>
            </w:r>
          </w:p>
        </w:tc>
        <w:tc>
          <w:tcPr>
            <w:tcW w:w="1739"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2943"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35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tcBorders>
              <w:tl2br w:val="nil"/>
              <w:tr2bl w:val="nil"/>
            </w:tcBorders>
            <w:vAlign w:val="center"/>
          </w:tcPr>
          <w:p>
            <w:pPr>
              <w:adjustRightInd w:val="0"/>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10</w:t>
            </w:r>
          </w:p>
        </w:tc>
        <w:tc>
          <w:tcPr>
            <w:tcW w:w="1739"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2943"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35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740" w:type="dxa"/>
            <w:tcBorders>
              <w:tl2br w:val="nil"/>
              <w:tr2bl w:val="nil"/>
            </w:tcBorders>
            <w:vAlign w:val="center"/>
          </w:tcPr>
          <w:p>
            <w:pPr>
              <w:adjustRightInd w:val="0"/>
              <w:snapToGrid w:val="0"/>
              <w:spacing w:beforeLines="30" w:afterLines="30"/>
              <w:ind w:firstLine="480"/>
              <w:jc w:val="center"/>
              <w:rPr>
                <w:rFonts w:hint="eastAsia" w:ascii="黑体" w:hAnsi="黑体" w:eastAsia="黑体" w:cs="黑体"/>
                <w:color w:val="auto"/>
                <w:kern w:val="0"/>
                <w:highlight w:val="none"/>
              </w:rPr>
            </w:pPr>
            <w:r>
              <w:rPr>
                <w:rFonts w:hint="eastAsia" w:ascii="黑体" w:hAnsi="黑体" w:eastAsia="黑体" w:cs="黑体"/>
                <w:color w:val="auto"/>
                <w:kern w:val="0"/>
                <w:highlight w:val="none"/>
              </w:rPr>
              <w:t>……</w:t>
            </w:r>
          </w:p>
        </w:tc>
        <w:tc>
          <w:tcPr>
            <w:tcW w:w="1739"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2943"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c>
          <w:tcPr>
            <w:tcW w:w="3540" w:type="dxa"/>
            <w:tcBorders>
              <w:tl2br w:val="nil"/>
              <w:tr2bl w:val="nil"/>
            </w:tcBorders>
            <w:vAlign w:val="center"/>
          </w:tcPr>
          <w:p>
            <w:pPr>
              <w:snapToGrid w:val="0"/>
              <w:spacing w:beforeLines="30" w:afterLines="30"/>
              <w:ind w:firstLine="480"/>
              <w:jc w:val="center"/>
              <w:rPr>
                <w:rFonts w:hint="eastAsia" w:ascii="黑体" w:hAnsi="黑体" w:eastAsia="黑体" w:cs="黑体"/>
                <w:color w:val="auto"/>
                <w:kern w:val="0"/>
                <w:highlight w:val="none"/>
              </w:rPr>
            </w:pPr>
          </w:p>
        </w:tc>
      </w:tr>
    </w:tbl>
    <w:p>
      <w:pPr>
        <w:pStyle w:val="2"/>
        <w:ind w:firstLine="560"/>
        <w:rPr>
          <w:rFonts w:hint="eastAsia" w:ascii="黑体" w:hAnsi="黑体" w:eastAsia="黑体" w:cs="黑体"/>
          <w:color w:val="auto"/>
          <w:sz w:val="24"/>
          <w:highlight w:val="none"/>
        </w:rPr>
      </w:pPr>
      <w:r>
        <w:rPr>
          <w:rFonts w:hint="eastAsia" w:ascii="黑体" w:hAnsi="黑体" w:eastAsia="黑体" w:cs="黑体"/>
          <w:color w:val="auto"/>
          <w:sz w:val="24"/>
          <w:highlight w:val="none"/>
        </w:rPr>
        <w:t>注：投标人可按上述的格式自行编制。</w:t>
      </w:r>
    </w:p>
    <w:p>
      <w:pPr>
        <w:snapToGrid w:val="0"/>
        <w:ind w:firstLine="480"/>
        <w:jc w:val="left"/>
        <w:rPr>
          <w:rFonts w:hint="eastAsia" w:ascii="黑体" w:hAnsi="黑体" w:eastAsia="黑体" w:cs="黑体"/>
          <w:color w:val="auto"/>
          <w:highlight w:val="none"/>
        </w:rPr>
      </w:pPr>
    </w:p>
    <w:p>
      <w:pPr>
        <w:snapToGrid w:val="0"/>
        <w:ind w:firstLine="480"/>
        <w:jc w:val="left"/>
        <w:rPr>
          <w:rFonts w:hint="eastAsia" w:ascii="黑体" w:hAnsi="黑体" w:eastAsia="黑体" w:cs="黑体"/>
          <w:color w:val="auto"/>
          <w:highlight w:val="none"/>
        </w:rPr>
      </w:pP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供应商：</w:t>
      </w:r>
      <w:r>
        <w:rPr>
          <w:rFonts w:hint="eastAsia" w:ascii="黑体" w:hAnsi="黑体" w:eastAsia="黑体" w:cs="黑体"/>
          <w:color w:val="auto"/>
          <w:highlight w:val="none"/>
          <w:u w:val="single"/>
        </w:rPr>
        <w:t xml:space="preserve">                               （盖章）</w:t>
      </w:r>
    </w:p>
    <w:p>
      <w:pPr>
        <w:adjustRightInd w:val="0"/>
        <w:snapToGrid w:val="0"/>
        <w:spacing w:line="360" w:lineRule="auto"/>
        <w:ind w:firstLine="3360" w:firstLineChars="14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法定代表人或授权委托人：</w:t>
      </w:r>
      <w:r>
        <w:rPr>
          <w:rFonts w:hint="eastAsia" w:ascii="黑体" w:hAnsi="黑体" w:eastAsia="黑体" w:cs="黑体"/>
          <w:color w:val="auto"/>
          <w:highlight w:val="none"/>
          <w:u w:val="single"/>
        </w:rPr>
        <w:t xml:space="preserve">         （签字或盖章）</w:t>
      </w:r>
    </w:p>
    <w:p>
      <w:pPr>
        <w:widowControl/>
        <w:adjustRightInd w:val="0"/>
        <w:snapToGrid w:val="0"/>
        <w:spacing w:line="360" w:lineRule="auto"/>
        <w:ind w:firstLine="3360" w:firstLineChars="1400"/>
        <w:rPr>
          <w:rFonts w:hint="eastAsia" w:ascii="黑体" w:hAnsi="黑体" w:eastAsia="黑体" w:cs="黑体"/>
          <w:color w:val="auto"/>
          <w:highlight w:val="none"/>
        </w:rPr>
      </w:pPr>
      <w:r>
        <w:rPr>
          <w:rFonts w:hint="eastAsia" w:ascii="黑体" w:hAnsi="黑体" w:eastAsia="黑体" w:cs="黑体"/>
          <w:color w:val="auto"/>
          <w:highlight w:val="none"/>
        </w:rPr>
        <w:t>日期：    年   月   日</w:t>
      </w: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lang w:val="en-US" w:eastAsia="zh-CN"/>
        </w:rPr>
      </w:pPr>
      <w:r>
        <w:rPr>
          <w:rFonts w:hint="eastAsia" w:ascii="黑体" w:hAnsi="黑体" w:eastAsia="黑体" w:cs="黑体"/>
          <w:bCs/>
          <w:color w:val="auto"/>
          <w:szCs w:val="24"/>
          <w:highlight w:val="none"/>
        </w:rPr>
        <w:t>附件1</w:t>
      </w:r>
      <w:r>
        <w:rPr>
          <w:rFonts w:hint="eastAsia" w:ascii="黑体" w:hAnsi="黑体" w:eastAsia="黑体" w:cs="黑体"/>
          <w:bCs/>
          <w:color w:val="auto"/>
          <w:szCs w:val="24"/>
          <w:highlight w:val="none"/>
          <w:lang w:val="en-US" w:eastAsia="zh-CN"/>
        </w:rPr>
        <w:t>2</w:t>
      </w:r>
    </w:p>
    <w:p>
      <w:pPr>
        <w:adjustRightInd w:val="0"/>
        <w:snapToGrid w:val="0"/>
        <w:spacing w:line="480" w:lineRule="auto"/>
        <w:ind w:firstLine="640"/>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投标函</w:t>
      </w:r>
    </w:p>
    <w:p>
      <w:pPr>
        <w:ind w:firstLine="0" w:firstLineChars="0"/>
        <w:rPr>
          <w:rFonts w:hint="eastAsia" w:ascii="黑体" w:hAnsi="黑体" w:eastAsia="黑体" w:cs="黑体"/>
          <w:color w:val="auto"/>
          <w:szCs w:val="24"/>
          <w:highlight w:val="none"/>
          <w:u w:val="single"/>
        </w:rPr>
      </w:pPr>
      <w:r>
        <w:rPr>
          <w:rFonts w:hint="eastAsia" w:ascii="黑体" w:hAnsi="黑体" w:eastAsia="黑体" w:cs="黑体"/>
          <w:color w:val="auto"/>
          <w:szCs w:val="24"/>
          <w:highlight w:val="none"/>
          <w:u w:val="single"/>
        </w:rPr>
        <w:t>致：  （招标人名称）</w:t>
      </w:r>
    </w:p>
    <w:p>
      <w:pPr>
        <w:pStyle w:val="85"/>
        <w:spacing w:before="0" w:beforeAutospacing="0" w:after="0" w:afterAutospacing="0"/>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1、</w:t>
      </w:r>
      <w:r>
        <w:rPr>
          <w:rFonts w:hint="eastAsia" w:ascii="黑体" w:hAnsi="黑体" w:eastAsia="黑体" w:cs="黑体"/>
          <w:color w:val="auto"/>
          <w:highlight w:val="none"/>
        </w:rPr>
        <w:t>根据贵方</w:t>
      </w:r>
      <w:r>
        <w:rPr>
          <w:rFonts w:hint="eastAsia" w:ascii="黑体" w:hAnsi="黑体" w:eastAsia="黑体" w:cs="黑体"/>
          <w:color w:val="auto"/>
          <w:highlight w:val="none"/>
          <w:u w:val="single"/>
        </w:rPr>
        <w:t xml:space="preserve">              </w:t>
      </w:r>
      <w:r>
        <w:rPr>
          <w:rFonts w:hint="eastAsia" w:ascii="黑体" w:hAnsi="黑体" w:eastAsia="黑体" w:cs="黑体"/>
          <w:color w:val="auto"/>
          <w:highlight w:val="none"/>
        </w:rPr>
        <w:t>项目（XX标段）的采购公告（项目编号：），签字代表（全名）经正式授权并代表供应商（投标人名称）提交响应文件资信证明部分、技术商务部分、报价部分各正本一份。</w:t>
      </w: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2、我方已详细审核全部招标文件，包括修改文件（如有时）及有关附件。</w:t>
      </w: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3、我方承认投标书附录是我方投标书的组成部分。</w:t>
      </w: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4、如果我方中标，我方将派出以</w:t>
      </w:r>
      <w:r>
        <w:rPr>
          <w:rFonts w:hint="eastAsia" w:ascii="黑体" w:hAnsi="黑体" w:eastAsia="黑体" w:cs="黑体"/>
          <w:color w:val="auto"/>
          <w:szCs w:val="24"/>
          <w:highlight w:val="none"/>
          <w:u w:val="single"/>
        </w:rPr>
        <w:t xml:space="preserve">          </w:t>
      </w:r>
      <w:r>
        <w:rPr>
          <w:rFonts w:hint="eastAsia" w:ascii="黑体" w:hAnsi="黑体" w:eastAsia="黑体" w:cs="黑体"/>
          <w:color w:val="auto"/>
          <w:szCs w:val="24"/>
          <w:highlight w:val="none"/>
        </w:rPr>
        <w:t>为负责人的项目班组进行项目实施。</w:t>
      </w: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5、我方同意所提交的投标文件在招标文件的前附表中规定的投标有效期内有效，在此期间内如果中标，我方将受此约束。</w:t>
      </w: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6、除非另外达成协议并生效，你方的中标通知书和本投标文件将成为约束双方的合同文件的组成部分。</w:t>
      </w:r>
    </w:p>
    <w:p>
      <w:pPr>
        <w:ind w:firstLine="480"/>
        <w:rPr>
          <w:rFonts w:hint="eastAsia" w:ascii="黑体" w:hAnsi="黑体" w:eastAsia="黑体" w:cs="黑体"/>
          <w:color w:val="auto"/>
          <w:szCs w:val="24"/>
          <w:highlight w:val="none"/>
        </w:rPr>
      </w:pP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投标人：                                    （盖章）     </w:t>
      </w: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单位地址：                                                </w:t>
      </w: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法定代表人或其委托代理人：               （签字或盖章）  </w:t>
      </w: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邮政编码：                 电话：           传真：        </w:t>
      </w: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开户银行名称：                                            </w:t>
      </w: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开户银行帐号：                                              </w:t>
      </w: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开户银行地址：                                             </w:t>
      </w: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开户银行电话：                                             </w:t>
      </w:r>
    </w:p>
    <w:p>
      <w:pPr>
        <w:ind w:firstLine="480"/>
        <w:rPr>
          <w:rFonts w:hint="eastAsia" w:ascii="黑体" w:hAnsi="黑体" w:eastAsia="黑体" w:cs="黑体"/>
          <w:color w:val="auto"/>
          <w:szCs w:val="24"/>
          <w:highlight w:val="none"/>
        </w:rPr>
      </w:pPr>
      <w:r>
        <w:rPr>
          <w:rFonts w:hint="eastAsia" w:ascii="黑体" w:hAnsi="黑体" w:eastAsia="黑体" w:cs="黑体"/>
          <w:color w:val="auto"/>
          <w:szCs w:val="24"/>
          <w:highlight w:val="none"/>
        </w:rPr>
        <w:t xml:space="preserve">日期：     年     月     日 </w:t>
      </w:r>
    </w:p>
    <w:p>
      <w:pPr>
        <w:pStyle w:val="33"/>
        <w:ind w:left="0" w:leftChars="0" w:firstLine="0" w:firstLineChars="0"/>
        <w:rPr>
          <w:rFonts w:hint="eastAsia" w:ascii="黑体" w:hAnsi="黑体" w:eastAsia="黑体" w:cs="黑体"/>
          <w:color w:val="auto"/>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sectPr>
          <w:pgSz w:w="11906" w:h="16838"/>
          <w:pgMar w:top="1440" w:right="1080" w:bottom="1440" w:left="1080" w:header="851" w:footer="850" w:gutter="0"/>
          <w:pgBorders>
            <w:top w:val="none" w:sz="0" w:space="0"/>
            <w:left w:val="none" w:sz="0" w:space="0"/>
            <w:bottom w:val="none" w:sz="0" w:space="0"/>
            <w:right w:val="none" w:sz="0" w:space="0"/>
          </w:pgBorders>
          <w:cols w:space="0" w:num="1"/>
          <w:titlePg/>
          <w:docGrid w:linePitch="312" w:charSpace="0"/>
        </w:sectPr>
      </w:pPr>
    </w:p>
    <w:p>
      <w:pPr>
        <w:adjustRightInd w:val="0"/>
        <w:snapToGrid w:val="0"/>
        <w:spacing w:line="360" w:lineRule="auto"/>
        <w:ind w:firstLine="0" w:firstLineChars="0"/>
        <w:rPr>
          <w:rFonts w:hint="eastAsia" w:ascii="黑体" w:hAnsi="黑体" w:eastAsia="黑体" w:cs="黑体"/>
          <w:bCs/>
          <w:color w:val="auto"/>
          <w:szCs w:val="24"/>
          <w:highlight w:val="none"/>
          <w:lang w:eastAsia="zh-CN"/>
        </w:rPr>
      </w:pPr>
      <w:r>
        <w:rPr>
          <w:rFonts w:hint="eastAsia" w:ascii="黑体" w:hAnsi="黑体" w:eastAsia="黑体" w:cs="黑体"/>
          <w:bCs/>
          <w:color w:val="auto"/>
          <w:szCs w:val="24"/>
          <w:highlight w:val="none"/>
        </w:rPr>
        <w:t>附件1</w:t>
      </w:r>
      <w:r>
        <w:rPr>
          <w:rFonts w:hint="eastAsia" w:ascii="黑体" w:hAnsi="黑体" w:eastAsia="黑体" w:cs="黑体"/>
          <w:bCs/>
          <w:color w:val="auto"/>
          <w:szCs w:val="24"/>
          <w:highlight w:val="none"/>
          <w:lang w:val="en-US" w:eastAsia="zh-CN"/>
        </w:rPr>
        <w:t>3</w:t>
      </w:r>
    </w:p>
    <w:p>
      <w:pPr>
        <w:ind w:firstLine="640"/>
        <w:jc w:val="center"/>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报价一览表</w:t>
      </w:r>
    </w:p>
    <w:p>
      <w:pPr>
        <w:snapToGrid w:val="0"/>
        <w:spacing w:line="480" w:lineRule="exact"/>
        <w:ind w:left="240" w:leftChars="100" w:firstLine="120" w:firstLineChars="50"/>
        <w:jc w:val="left"/>
        <w:rPr>
          <w:rFonts w:hint="eastAsia" w:ascii="黑体" w:hAnsi="黑体" w:eastAsia="黑体" w:cs="黑体"/>
          <w:color w:val="auto"/>
          <w:highlight w:val="none"/>
        </w:rPr>
      </w:pPr>
      <w:r>
        <w:rPr>
          <w:rFonts w:hint="eastAsia" w:ascii="黑体" w:hAnsi="黑体" w:eastAsia="黑体" w:cs="黑体"/>
          <w:color w:val="auto"/>
          <w:highlight w:val="none"/>
        </w:rPr>
        <w:t xml:space="preserve">                                                                                </w:t>
      </w:r>
    </w:p>
    <w:p>
      <w:pPr>
        <w:snapToGrid w:val="0"/>
        <w:spacing w:line="480" w:lineRule="exact"/>
        <w:ind w:left="240" w:leftChars="100" w:right="480" w:firstLine="120" w:firstLineChars="50"/>
        <w:jc w:val="right"/>
        <w:rPr>
          <w:rFonts w:hint="eastAsia" w:ascii="黑体" w:hAnsi="黑体" w:eastAsia="黑体" w:cs="黑体"/>
          <w:color w:val="auto"/>
          <w:highlight w:val="none"/>
        </w:rPr>
      </w:pPr>
      <w:r>
        <w:rPr>
          <w:rFonts w:hint="eastAsia" w:ascii="黑体" w:hAnsi="黑体" w:eastAsia="黑体" w:cs="黑体"/>
          <w:color w:val="auto"/>
          <w:highlight w:val="none"/>
        </w:rPr>
        <w:t>金额单位：元</w:t>
      </w:r>
    </w:p>
    <w:tbl>
      <w:tblPr>
        <w:tblStyle w:val="34"/>
        <w:tblW w:w="5000" w:type="pct"/>
        <w:jc w:val="center"/>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Layout w:type="autofit"/>
        <w:tblCellMar>
          <w:top w:w="0" w:type="dxa"/>
          <w:left w:w="108" w:type="dxa"/>
          <w:bottom w:w="0" w:type="dxa"/>
          <w:right w:w="108" w:type="dxa"/>
        </w:tblCellMar>
      </w:tblPr>
      <w:tblGrid>
        <w:gridCol w:w="2493"/>
        <w:gridCol w:w="7469"/>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CellMar>
            <w:top w:w="0" w:type="dxa"/>
            <w:left w:w="108" w:type="dxa"/>
            <w:bottom w:w="0" w:type="dxa"/>
            <w:right w:w="108" w:type="dxa"/>
          </w:tblCellMar>
        </w:tblPrEx>
        <w:trPr>
          <w:trHeight w:val="808" w:hRule="atLeast"/>
          <w:jc w:val="center"/>
        </w:trPr>
        <w:tc>
          <w:tcPr>
            <w:tcW w:w="1251" w:type="pct"/>
            <w:tcBorders>
              <w:tl2br w:val="nil"/>
              <w:tr2bl w:val="nil"/>
            </w:tcBorders>
            <w:vAlign w:val="center"/>
          </w:tcPr>
          <w:p>
            <w:pPr>
              <w:pStyle w:val="20"/>
              <w:snapToGrid w:val="0"/>
              <w:ind w:firstLine="48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项目名称</w:t>
            </w:r>
          </w:p>
        </w:tc>
        <w:tc>
          <w:tcPr>
            <w:tcW w:w="3748" w:type="pct"/>
            <w:tcBorders>
              <w:tl2br w:val="nil"/>
              <w:tr2bl w:val="nil"/>
            </w:tcBorders>
            <w:vAlign w:val="center"/>
          </w:tcPr>
          <w:p>
            <w:pPr>
              <w:pStyle w:val="20"/>
              <w:snapToGrid w:val="0"/>
              <w:ind w:firstLine="0" w:firstLineChars="0"/>
              <w:rPr>
                <w:rFonts w:hint="eastAsia" w:ascii="黑体" w:hAnsi="黑体" w:eastAsia="黑体" w:cs="黑体"/>
                <w:color w:val="auto"/>
                <w:szCs w:val="24"/>
                <w:highlight w:val="none"/>
                <w:lang w:eastAsia="zh-CN"/>
              </w:rPr>
            </w:pPr>
            <w:r>
              <w:rPr>
                <w:rFonts w:hint="eastAsia" w:ascii="黑体" w:hAnsi="黑体" w:eastAsia="黑体" w:cs="黑体"/>
                <w:color w:val="auto"/>
                <w:szCs w:val="24"/>
                <w:highlight w:val="none"/>
                <w:lang w:eastAsia="zh-CN"/>
              </w:rPr>
              <w:t>龙游县市场监督管理局2022年-2023年食品安全监督抽检项目</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CellMar>
            <w:top w:w="0" w:type="dxa"/>
            <w:left w:w="108" w:type="dxa"/>
            <w:bottom w:w="0" w:type="dxa"/>
            <w:right w:w="108" w:type="dxa"/>
          </w:tblCellMar>
        </w:tblPrEx>
        <w:trPr>
          <w:trHeight w:val="820" w:hRule="atLeast"/>
          <w:jc w:val="center"/>
        </w:trPr>
        <w:tc>
          <w:tcPr>
            <w:tcW w:w="1251" w:type="pct"/>
            <w:tcBorders>
              <w:tl2br w:val="nil"/>
              <w:tr2bl w:val="nil"/>
            </w:tcBorders>
            <w:vAlign w:val="center"/>
          </w:tcPr>
          <w:p>
            <w:pPr>
              <w:pStyle w:val="20"/>
              <w:snapToGrid w:val="0"/>
              <w:ind w:firstLine="48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项目编号</w:t>
            </w:r>
          </w:p>
        </w:tc>
        <w:tc>
          <w:tcPr>
            <w:tcW w:w="3748" w:type="pct"/>
            <w:tcBorders>
              <w:tl2br w:val="nil"/>
              <w:tr2bl w:val="nil"/>
            </w:tcBorders>
            <w:vAlign w:val="center"/>
          </w:tcPr>
          <w:p>
            <w:pPr>
              <w:pStyle w:val="20"/>
              <w:snapToGrid w:val="0"/>
              <w:ind w:firstLine="0" w:firstLineChars="0"/>
              <w:rPr>
                <w:rFonts w:hint="eastAsia" w:ascii="黑体" w:hAnsi="黑体" w:eastAsia="黑体" w:cs="黑体"/>
                <w:color w:val="auto"/>
                <w:szCs w:val="24"/>
                <w:highlight w:val="none"/>
              </w:rPr>
            </w:pPr>
            <w:r>
              <w:rPr>
                <w:rFonts w:hint="eastAsia" w:ascii="黑体" w:hAnsi="黑体" w:eastAsia="黑体" w:cs="黑体"/>
                <w:color w:val="auto"/>
                <w:szCs w:val="24"/>
                <w:highlight w:val="none"/>
                <w:lang w:eastAsia="zh-CN"/>
              </w:rPr>
              <w:t>OBZFCG2021-033</w:t>
            </w:r>
            <w:r>
              <w:rPr>
                <w:rFonts w:hint="eastAsia" w:ascii="黑体" w:hAnsi="黑体" w:eastAsia="黑体" w:cs="黑体"/>
                <w:color w:val="auto"/>
                <w:szCs w:val="24"/>
                <w:highlight w:val="none"/>
              </w:rPr>
              <w:tab/>
            </w:r>
            <w:r>
              <w:rPr>
                <w:rFonts w:hint="eastAsia" w:ascii="黑体" w:hAnsi="黑体" w:eastAsia="黑体" w:cs="黑体"/>
                <w:color w:val="auto"/>
                <w:szCs w:val="24"/>
                <w:highlight w:val="none"/>
              </w:rPr>
              <w:tab/>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CellMar>
            <w:top w:w="0" w:type="dxa"/>
            <w:left w:w="108" w:type="dxa"/>
            <w:bottom w:w="0" w:type="dxa"/>
            <w:right w:w="108" w:type="dxa"/>
          </w:tblCellMar>
        </w:tblPrEx>
        <w:trPr>
          <w:trHeight w:val="973" w:hRule="atLeast"/>
          <w:jc w:val="center"/>
        </w:trPr>
        <w:tc>
          <w:tcPr>
            <w:tcW w:w="1251" w:type="pct"/>
            <w:tcBorders>
              <w:tl2br w:val="nil"/>
              <w:tr2bl w:val="nil"/>
            </w:tcBorders>
            <w:vAlign w:val="center"/>
          </w:tcPr>
          <w:p>
            <w:pPr>
              <w:pStyle w:val="20"/>
              <w:snapToGrid w:val="0"/>
              <w:ind w:firstLine="0" w:firstLineChars="0"/>
              <w:rPr>
                <w:rFonts w:hint="eastAsia" w:ascii="黑体" w:hAnsi="黑体" w:eastAsia="黑体" w:cs="黑体"/>
                <w:color w:val="auto"/>
                <w:szCs w:val="24"/>
                <w:highlight w:val="none"/>
              </w:rPr>
            </w:pPr>
            <w:r>
              <w:rPr>
                <w:rFonts w:hint="eastAsia" w:ascii="黑体" w:hAnsi="黑体" w:eastAsia="黑体" w:cs="黑体"/>
                <w:color w:val="auto"/>
                <w:szCs w:val="24"/>
                <w:highlight w:val="none"/>
              </w:rPr>
              <w:t>检测服务费最高单价报价金额</w:t>
            </w:r>
          </w:p>
        </w:tc>
        <w:tc>
          <w:tcPr>
            <w:tcW w:w="3748" w:type="pct"/>
            <w:tcBorders>
              <w:tl2br w:val="nil"/>
              <w:tr2bl w:val="nil"/>
            </w:tcBorders>
            <w:vAlign w:val="center"/>
          </w:tcPr>
          <w:p>
            <w:pPr>
              <w:pStyle w:val="20"/>
              <w:snapToGrid w:val="0"/>
              <w:ind w:firstLine="0" w:firstLineChars="0"/>
              <w:rPr>
                <w:rFonts w:hint="eastAsia" w:ascii="黑体" w:hAnsi="黑体" w:eastAsia="黑体" w:cs="黑体"/>
                <w:color w:val="auto"/>
                <w:szCs w:val="24"/>
                <w:highlight w:val="none"/>
              </w:rPr>
            </w:pPr>
            <w:r>
              <w:rPr>
                <w:rFonts w:hint="eastAsia" w:ascii="黑体" w:hAnsi="黑体" w:eastAsia="黑体" w:cs="黑体"/>
                <w:color w:val="auto"/>
                <w:szCs w:val="24"/>
                <w:highlight w:val="none"/>
              </w:rPr>
              <w:t>大写</w:t>
            </w:r>
            <w:r>
              <w:rPr>
                <w:rFonts w:hint="eastAsia" w:ascii="黑体" w:hAnsi="黑体" w:eastAsia="黑体" w:cs="黑体"/>
                <w:color w:val="auto"/>
                <w:szCs w:val="24"/>
                <w:highlight w:val="none"/>
                <w:u w:val="single"/>
              </w:rPr>
              <w:t xml:space="preserve">                          </w:t>
            </w:r>
            <w:r>
              <w:rPr>
                <w:rFonts w:hint="eastAsia" w:ascii="黑体" w:hAnsi="黑体" w:eastAsia="黑体" w:cs="黑体"/>
                <w:color w:val="auto"/>
                <w:szCs w:val="24"/>
                <w:highlight w:val="none"/>
              </w:rPr>
              <w:t xml:space="preserve">元/只（¥ </w:t>
            </w:r>
            <w:r>
              <w:rPr>
                <w:rFonts w:hint="eastAsia" w:ascii="黑体" w:hAnsi="黑体" w:eastAsia="黑体" w:cs="黑体"/>
                <w:color w:val="auto"/>
                <w:szCs w:val="24"/>
                <w:highlight w:val="none"/>
                <w:u w:val="single"/>
              </w:rPr>
              <w:t xml:space="preserve">                </w:t>
            </w:r>
            <w:r>
              <w:rPr>
                <w:rFonts w:hint="eastAsia" w:ascii="黑体" w:hAnsi="黑体" w:eastAsia="黑体" w:cs="黑体"/>
                <w:color w:val="auto"/>
                <w:szCs w:val="24"/>
                <w:highlight w:val="none"/>
              </w:rPr>
              <w:t>元/只）</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8" w:space="0"/>
            <w:insideV w:val="single" w:color="auto" w:sz="8" w:space="0"/>
          </w:tblBorders>
          <w:tblCellMar>
            <w:top w:w="0" w:type="dxa"/>
            <w:left w:w="108" w:type="dxa"/>
            <w:bottom w:w="0" w:type="dxa"/>
            <w:right w:w="108" w:type="dxa"/>
          </w:tblCellMar>
        </w:tblPrEx>
        <w:trPr>
          <w:trHeight w:val="792" w:hRule="atLeast"/>
          <w:jc w:val="center"/>
        </w:trPr>
        <w:tc>
          <w:tcPr>
            <w:tcW w:w="1251" w:type="pct"/>
            <w:tcBorders>
              <w:tl2br w:val="nil"/>
              <w:tr2bl w:val="nil"/>
            </w:tcBorders>
            <w:vAlign w:val="center"/>
          </w:tcPr>
          <w:p>
            <w:pPr>
              <w:pStyle w:val="20"/>
              <w:snapToGrid w:val="0"/>
              <w:ind w:firstLine="480"/>
              <w:jc w:val="center"/>
              <w:rPr>
                <w:rFonts w:hint="eastAsia" w:ascii="黑体" w:hAnsi="黑体" w:eastAsia="黑体" w:cs="黑体"/>
                <w:color w:val="auto"/>
                <w:szCs w:val="24"/>
                <w:highlight w:val="none"/>
              </w:rPr>
            </w:pPr>
            <w:r>
              <w:rPr>
                <w:rFonts w:hint="eastAsia" w:ascii="黑体" w:hAnsi="黑体" w:eastAsia="黑体" w:cs="黑体"/>
                <w:color w:val="auto"/>
                <w:szCs w:val="24"/>
                <w:highlight w:val="none"/>
              </w:rPr>
              <w:t>项目负责人</w:t>
            </w:r>
          </w:p>
        </w:tc>
        <w:tc>
          <w:tcPr>
            <w:tcW w:w="3748" w:type="pct"/>
            <w:tcBorders>
              <w:tl2br w:val="nil"/>
              <w:tr2bl w:val="nil"/>
            </w:tcBorders>
            <w:vAlign w:val="center"/>
          </w:tcPr>
          <w:p>
            <w:pPr>
              <w:pStyle w:val="20"/>
              <w:snapToGrid w:val="0"/>
              <w:ind w:firstLine="480"/>
              <w:jc w:val="center"/>
              <w:rPr>
                <w:rFonts w:hint="eastAsia" w:ascii="黑体" w:hAnsi="黑体" w:eastAsia="黑体" w:cs="黑体"/>
                <w:color w:val="auto"/>
                <w:szCs w:val="24"/>
                <w:highlight w:val="none"/>
              </w:rPr>
            </w:pPr>
          </w:p>
        </w:tc>
      </w:tr>
    </w:tbl>
    <w:p>
      <w:pPr>
        <w:pStyle w:val="14"/>
        <w:spacing w:line="500" w:lineRule="exact"/>
        <w:ind w:left="440" w:firstLine="480"/>
        <w:rPr>
          <w:rFonts w:hint="eastAsia" w:ascii="黑体" w:hAnsi="黑体" w:eastAsia="黑体" w:cs="黑体"/>
          <w:color w:val="auto"/>
          <w:highlight w:val="none"/>
          <w:shd w:val="pct10" w:color="auto" w:fill="FFFFFF"/>
        </w:rPr>
      </w:pPr>
      <w:r>
        <w:rPr>
          <w:rFonts w:hint="eastAsia" w:ascii="黑体" w:hAnsi="黑体" w:eastAsia="黑体" w:cs="黑体"/>
          <w:color w:val="auto"/>
          <w:highlight w:val="none"/>
          <w:shd w:val="pct10" w:color="auto" w:fill="FFFFFF"/>
        </w:rPr>
        <w:t>注：</w:t>
      </w:r>
      <w:r>
        <w:rPr>
          <w:rFonts w:hint="eastAsia" w:ascii="黑体" w:hAnsi="黑体" w:eastAsia="黑体" w:cs="黑体"/>
          <w:color w:val="auto"/>
          <w:highlight w:val="none"/>
        </w:rPr>
        <w:t>▲</w:t>
      </w:r>
      <w:r>
        <w:rPr>
          <w:rFonts w:hint="eastAsia" w:ascii="黑体" w:hAnsi="黑体" w:eastAsia="黑体" w:cs="黑体"/>
          <w:b/>
          <w:bCs/>
          <w:color w:val="auto"/>
          <w:highlight w:val="none"/>
          <w:shd w:val="pct10" w:color="auto" w:fill="FFFFFF"/>
        </w:rPr>
        <w:t>1.报价采用印刷体打印；其它方式作无效处理。</w:t>
      </w:r>
    </w:p>
    <w:p>
      <w:pPr>
        <w:ind w:firstLine="480"/>
        <w:rPr>
          <w:rFonts w:hint="eastAsia" w:ascii="黑体" w:hAnsi="黑体" w:eastAsia="黑体" w:cs="黑体"/>
          <w:color w:val="auto"/>
          <w:highlight w:val="none"/>
        </w:rPr>
      </w:pPr>
      <w:r>
        <w:rPr>
          <w:rFonts w:hint="eastAsia" w:ascii="黑体" w:hAnsi="黑体" w:eastAsia="黑体" w:cs="黑体"/>
          <w:color w:val="auto"/>
          <w:highlight w:val="none"/>
        </w:rPr>
        <w:t>2.投标报价为投标方所能承受的一次性最低报价，以人民币为结算币种，包括服务检测费、人员工资、仪器费、施工劳务费、管理费、误工费、材料运输费，远地施工费，民工工伤保险费，培训辅导、质保期售后服务、全额含税发票、雇员费用、维护、危险作业意外伤害保险费、合同实施过程中的应预见和不可预见费用等。</w:t>
      </w:r>
    </w:p>
    <w:p>
      <w:pPr>
        <w:pStyle w:val="2"/>
        <w:ind w:firstLine="1200"/>
        <w:rPr>
          <w:rFonts w:hint="eastAsia" w:ascii="黑体" w:hAnsi="黑体" w:eastAsia="黑体" w:cs="黑体"/>
          <w:color w:val="auto"/>
          <w:highlight w:val="none"/>
        </w:rPr>
      </w:pPr>
    </w:p>
    <w:p>
      <w:pPr>
        <w:spacing w:line="360" w:lineRule="auto"/>
        <w:ind w:firstLine="3600" w:firstLineChars="1500"/>
        <w:textAlignment w:val="baseline"/>
        <w:rPr>
          <w:rFonts w:hint="eastAsia" w:ascii="黑体" w:hAnsi="黑体" w:eastAsia="黑体" w:cs="黑体"/>
          <w:color w:val="auto"/>
          <w:highlight w:val="none"/>
        </w:rPr>
      </w:pPr>
    </w:p>
    <w:p>
      <w:pPr>
        <w:spacing w:line="360" w:lineRule="auto"/>
        <w:ind w:firstLine="5520" w:firstLineChars="23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供应商：</w:t>
      </w:r>
      <w:r>
        <w:rPr>
          <w:rFonts w:hint="eastAsia" w:ascii="黑体" w:hAnsi="黑体" w:eastAsia="黑体" w:cs="黑体"/>
          <w:color w:val="auto"/>
          <w:highlight w:val="none"/>
          <w:u w:val="single"/>
        </w:rPr>
        <w:t xml:space="preserve">                  （盖章）</w:t>
      </w:r>
    </w:p>
    <w:p>
      <w:pPr>
        <w:spacing w:line="360" w:lineRule="auto"/>
        <w:ind w:firstLine="3600" w:firstLineChars="15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法定代表人或授权委托人：</w:t>
      </w:r>
      <w:r>
        <w:rPr>
          <w:rFonts w:hint="eastAsia" w:ascii="黑体" w:hAnsi="黑体" w:eastAsia="黑体" w:cs="黑体"/>
          <w:color w:val="auto"/>
          <w:highlight w:val="none"/>
          <w:u w:val="single"/>
        </w:rPr>
        <w:t xml:space="preserve">               （签字或盖章）</w:t>
      </w:r>
    </w:p>
    <w:p>
      <w:pPr>
        <w:spacing w:line="360" w:lineRule="auto"/>
        <w:ind w:firstLine="5760" w:firstLineChars="2400"/>
        <w:rPr>
          <w:rFonts w:hint="eastAsia" w:ascii="黑体" w:hAnsi="黑体" w:eastAsia="黑体" w:cs="黑体"/>
          <w:color w:val="auto"/>
          <w:highlight w:val="none"/>
        </w:rPr>
      </w:pPr>
      <w:r>
        <w:rPr>
          <w:rFonts w:hint="eastAsia" w:ascii="黑体" w:hAnsi="黑体" w:eastAsia="黑体" w:cs="黑体"/>
          <w:color w:val="auto"/>
          <w:highlight w:val="none"/>
        </w:rPr>
        <w:t>日期：    年   月  日</w:t>
      </w:r>
    </w:p>
    <w:p>
      <w:pPr>
        <w:ind w:firstLine="480"/>
        <w:rPr>
          <w:rFonts w:hint="eastAsia" w:ascii="黑体" w:hAnsi="黑体" w:eastAsia="黑体" w:cs="黑体"/>
          <w:color w:val="auto"/>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lang w:eastAsia="zh-CN"/>
        </w:rPr>
      </w:pPr>
    </w:p>
    <w:p>
      <w:pPr>
        <w:adjustRightInd w:val="0"/>
        <w:snapToGrid w:val="0"/>
        <w:spacing w:line="360" w:lineRule="auto"/>
        <w:ind w:firstLine="0" w:firstLineChars="0"/>
        <w:rPr>
          <w:rFonts w:hint="eastAsia" w:ascii="黑体" w:hAnsi="黑体" w:eastAsia="黑体" w:cs="黑体"/>
          <w:bCs/>
          <w:color w:val="auto"/>
          <w:szCs w:val="24"/>
          <w:highlight w:val="none"/>
          <w:lang w:eastAsia="zh-CN"/>
        </w:rPr>
      </w:pPr>
    </w:p>
    <w:p>
      <w:pPr>
        <w:pStyle w:val="2"/>
        <w:rPr>
          <w:rFonts w:hint="eastAsia" w:ascii="黑体" w:hAnsi="黑体" w:eastAsia="黑体" w:cs="黑体"/>
          <w:bCs/>
          <w:color w:val="auto"/>
          <w:szCs w:val="24"/>
          <w:highlight w:val="none"/>
          <w:lang w:eastAsia="zh-CN"/>
        </w:rPr>
      </w:pPr>
    </w:p>
    <w:p>
      <w:pPr>
        <w:pStyle w:val="3"/>
        <w:rPr>
          <w:rFonts w:hint="eastAsia"/>
          <w:color w:val="auto"/>
          <w:highlight w:val="none"/>
          <w:lang w:eastAsia="zh-CN"/>
        </w:rPr>
      </w:pPr>
    </w:p>
    <w:p>
      <w:pPr>
        <w:adjustRightInd w:val="0"/>
        <w:snapToGrid w:val="0"/>
        <w:spacing w:line="360" w:lineRule="auto"/>
        <w:ind w:firstLine="0" w:firstLineChars="0"/>
        <w:rPr>
          <w:rFonts w:hint="eastAsia" w:ascii="黑体" w:hAnsi="黑体" w:eastAsia="黑体" w:cs="黑体"/>
          <w:bCs/>
          <w:color w:val="auto"/>
          <w:szCs w:val="24"/>
          <w:highlight w:val="none"/>
          <w:lang w:val="en-US" w:eastAsia="zh-CN"/>
        </w:rPr>
      </w:pPr>
      <w:r>
        <w:rPr>
          <w:rFonts w:hint="eastAsia" w:ascii="黑体" w:hAnsi="黑体" w:eastAsia="黑体" w:cs="黑体"/>
          <w:bCs/>
          <w:color w:val="auto"/>
          <w:szCs w:val="24"/>
          <w:highlight w:val="none"/>
          <w:lang w:eastAsia="zh-CN"/>
        </w:rPr>
        <w:t>附件</w:t>
      </w:r>
      <w:r>
        <w:rPr>
          <w:rFonts w:hint="eastAsia" w:ascii="黑体" w:hAnsi="黑体" w:eastAsia="黑体" w:cs="黑体"/>
          <w:bCs/>
          <w:color w:val="auto"/>
          <w:szCs w:val="24"/>
          <w:highlight w:val="none"/>
          <w:lang w:val="en-US" w:eastAsia="zh-CN"/>
        </w:rPr>
        <w:t>14</w:t>
      </w:r>
    </w:p>
    <w:p>
      <w:pPr>
        <w:snapToGrid w:val="0"/>
        <w:spacing w:before="50" w:after="156" w:afterLines="50" w:line="240" w:lineRule="auto"/>
        <w:jc w:val="center"/>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投标报价明细表</w:t>
      </w:r>
    </w:p>
    <w:p>
      <w:pPr>
        <w:snapToGrid w:val="0"/>
        <w:spacing w:before="50" w:after="156" w:afterLines="50" w:line="240" w:lineRule="auto"/>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（标项1）</w:t>
      </w:r>
    </w:p>
    <w:p>
      <w:pPr>
        <w:snapToGrid w:val="0"/>
        <w:spacing w:line="360" w:lineRule="auto"/>
        <w:jc w:val="left"/>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项目名称：</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 xml:space="preserve">                           项目编号：</w:t>
      </w:r>
      <w:r>
        <w:rPr>
          <w:rFonts w:hint="eastAsia" w:ascii="黑体" w:hAnsi="黑体" w:eastAsia="黑体" w:cs="黑体"/>
          <w:color w:val="auto"/>
          <w:sz w:val="24"/>
          <w:highlight w:val="none"/>
          <w:u w:val="single"/>
        </w:rPr>
        <w:t xml:space="preserve">              </w:t>
      </w:r>
    </w:p>
    <w:p>
      <w:pPr>
        <w:pStyle w:val="20"/>
        <w:snapToGrid w:val="0"/>
        <w:spacing w:before="0" w:beforeLines="0" w:after="0" w:afterLines="0" w:line="360" w:lineRule="auto"/>
        <w:rPr>
          <w:rFonts w:hint="eastAsia" w:ascii="黑体" w:hAnsi="黑体" w:eastAsia="黑体" w:cs="黑体"/>
          <w:color w:val="auto"/>
          <w:highlight w:val="none"/>
          <w:u w:val="single"/>
          <w:lang w:val="en-US" w:eastAsia="zh-CN"/>
        </w:rPr>
      </w:pPr>
      <w:r>
        <w:rPr>
          <w:rFonts w:hint="eastAsia" w:ascii="黑体" w:hAnsi="黑体" w:eastAsia="黑体" w:cs="黑体"/>
          <w:color w:val="auto"/>
          <w:highlight w:val="none"/>
        </w:rPr>
        <w:t>标项号：</w:t>
      </w:r>
    </w:p>
    <w:p>
      <w:pPr>
        <w:pStyle w:val="20"/>
        <w:snapToGrid w:val="0"/>
        <w:spacing w:before="0" w:beforeLines="0" w:after="0" w:afterLines="0" w:line="360" w:lineRule="auto"/>
        <w:jc w:val="right"/>
        <w:rPr>
          <w:rFonts w:hint="eastAsia" w:ascii="黑体" w:hAnsi="黑体" w:eastAsia="黑体" w:cs="黑体"/>
          <w:color w:val="auto"/>
          <w:szCs w:val="21"/>
          <w:highlight w:val="none"/>
        </w:rPr>
      </w:pPr>
      <w:r>
        <w:rPr>
          <w:rFonts w:hint="eastAsia" w:ascii="黑体" w:hAnsi="黑体" w:eastAsia="黑体" w:cs="黑体"/>
          <w:color w:val="auto"/>
          <w:szCs w:val="21"/>
          <w:highlight w:val="none"/>
        </w:rPr>
        <w:t>金额单位：元</w:t>
      </w:r>
    </w:p>
    <w:tbl>
      <w:tblPr>
        <w:tblStyle w:val="34"/>
        <w:tblW w:w="9300" w:type="dxa"/>
        <w:tblInd w:w="98" w:type="dxa"/>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Layout w:type="fixed"/>
        <w:tblCellMar>
          <w:top w:w="0" w:type="dxa"/>
          <w:left w:w="108" w:type="dxa"/>
          <w:bottom w:w="0" w:type="dxa"/>
          <w:right w:w="108" w:type="dxa"/>
        </w:tblCellMar>
      </w:tblPr>
      <w:tblGrid>
        <w:gridCol w:w="560"/>
        <w:gridCol w:w="2530"/>
        <w:gridCol w:w="960"/>
        <w:gridCol w:w="2193"/>
        <w:gridCol w:w="900"/>
        <w:gridCol w:w="960"/>
        <w:gridCol w:w="1197"/>
      </w:tblGrid>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序号</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检测项目</w:t>
            </w:r>
          </w:p>
        </w:tc>
        <w:tc>
          <w:tcPr>
            <w:tcW w:w="9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品种备注</w:t>
            </w: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检测方法</w:t>
            </w:r>
          </w:p>
        </w:tc>
        <w:tc>
          <w:tcPr>
            <w:tcW w:w="90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资质附表中页码</w:t>
            </w:r>
          </w:p>
        </w:tc>
        <w:tc>
          <w:tcPr>
            <w:tcW w:w="9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资质附表中序号</w:t>
            </w:r>
          </w:p>
        </w:tc>
        <w:tc>
          <w:tcPr>
            <w:tcW w:w="1197"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单项目价格</w:t>
            </w: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六六六</w:t>
            </w:r>
          </w:p>
        </w:tc>
        <w:tc>
          <w:tcPr>
            <w:tcW w:w="960"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种植业农产品</w:t>
            </w: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23200.113-2018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甲基对硫磷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对硫磷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甲胺磷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三氯杀螨醇</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甲拌磷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水胺硫磷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氟虫腈</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23200.121-2021</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甲基异柳磷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23200.113-2018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氧乐果</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克百威</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23200.121-2021</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涕灭威</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毒死蜱</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氰戊菊酯和S-氰戊菊酯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23200.113-2018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三唑磷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23200.121-2021</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灭多威</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乐果</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23200.113-2018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乙酰甲胺磷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敌敌畏</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20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丙溴磷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23200.121-2021</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21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杀螟硫磷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23200.113-2018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22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二嗪磷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23200.121-2021</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23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马拉硫磷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24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亚胺硫磷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23200.113-2018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25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伏杀硫磷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26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氯氰菊酯和高效氯氰菊酯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27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甲氰菊酯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28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氯氟氰菊酯和高效氯氟氰菊酯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29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溴氰菊酯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30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氟氰戊菊酯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31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氟氯氰菊酯和高效氟氯氰菊酯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32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联苯菊酯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33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氟胺氰菊酯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34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虫螨腈</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23200.8-2016</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35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氟啶脲</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23200.121-2021</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36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辛硫磷</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37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甲萘威</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38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吡虫啉</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39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啶虫脒</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40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甲氨基阿维菌素苯甲酸盐</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41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噻虫嗪</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42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灭幼脲</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43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哒螨灵</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44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阿维菌素</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45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除虫脲</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46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异菌脲</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23200.113-2018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47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乙烯菌核利</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48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腐霉利</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49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五氯硝基苯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50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苯醚甲环唑</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51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嘧菌酯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23200.121-2021</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52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烯酰吗啉</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53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嘧霉胺</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54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三唑酮</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55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咪鲜胺</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56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百菌清</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SN/T 2320-2009</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57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二甲戊灵</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23200.113-2018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58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多菌灵</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23200.121-2021</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59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甲基硫菌灵(以多菌灵计)</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60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甲霜灵和精甲霜灵</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61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丙环唑</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62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戊唑醇</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63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茚虫威</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64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霜霉威和霜霉威盐酸盐</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65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腈菌唑</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66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噁霜灵</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23200.113-2018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67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醚菌酯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68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氯菊酯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69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醚菊酯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23200.121-2021</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70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多效唑</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71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吡唑醚菌酯</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72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虫酰肼</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73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灭蝇胺</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NY/T 1725-2009</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74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氯吡脲</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23200.121-2021</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75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氯虫苯甲酰胺</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76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恩诺沙星</w:t>
            </w:r>
          </w:p>
        </w:tc>
        <w:tc>
          <w:tcPr>
            <w:tcW w:w="960" w:type="dxa"/>
            <w:vMerge w:val="restart"/>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猪肉</w:t>
            </w: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21312-2007</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77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洛美沙星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78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诺氟沙星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79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培氟沙星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80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氧氟沙星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81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四环素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21317-2007液相色谱-质谱/质谱法</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82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土霉素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83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金霉素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84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多西环素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85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非诺特罗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农业部1025号公告-18-2008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86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克伦特罗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87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莱克多巴胺</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88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氯丙那林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89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喷布特罗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90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沙丁胺醇</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91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特布他林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92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妥布特罗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93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西马特罗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94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磺胺类(总量)</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农业部1025号公告-23-2008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95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泰乐菌素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20762-2006</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96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林可霉素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97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替米考星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98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克伦特罗</w:t>
            </w:r>
          </w:p>
        </w:tc>
        <w:tc>
          <w:tcPr>
            <w:tcW w:w="960" w:type="dxa"/>
            <w:vMerge w:val="restart"/>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猪肝</w:t>
            </w: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农业部1025号公告-18-2008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99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莱克多巴胺</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100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沙丁胺醇</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101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特布他林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102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西马特罗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103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非诺特罗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104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氯丙那林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105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妥布特罗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106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喷布特罗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107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呋喃它酮代谢物</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农业部781号公告-4-2006</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108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呋喃妥因代谢物</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109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呋喃西林代谢物</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110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呋喃唑酮代谢物</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111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磺胺类(总量)</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农业部1025号公告-23-2008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112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恩诺沙星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21312-2007</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113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氧氟沙星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114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洛美沙星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115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诺氟沙星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116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培氟沙星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117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克伦特罗</w:t>
            </w:r>
          </w:p>
        </w:tc>
        <w:tc>
          <w:tcPr>
            <w:tcW w:w="960" w:type="dxa"/>
            <w:vMerge w:val="restart"/>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猪尿</w:t>
            </w: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农业部1063号公告-3-2008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118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沙丁胺醇</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119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莱克多巴胺</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120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齐帕特罗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121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氯丙那林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122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特布他林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123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西马特罗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124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西布特罗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125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马布特罗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126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溴布特罗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127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班布特罗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128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恩诺沙星</w:t>
            </w:r>
          </w:p>
        </w:tc>
        <w:tc>
          <w:tcPr>
            <w:tcW w:w="960" w:type="dxa"/>
            <w:vMerge w:val="restart"/>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禽肉</w:t>
            </w: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20366-2006</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129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沙拉沙星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130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达氟沙星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131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诺氟沙星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132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洛美沙星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133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培氟沙星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134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氧氟沙星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135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金刚烷胺</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31660.5-2019</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136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金霉素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21317-2007液相色谱-质谱/质谱法</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137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四环素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138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土霉素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139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多西环素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140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氯霉素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22338-2008 液相色谱-质谱/质谱法</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141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甲砜霉素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142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氟苯尼考</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143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氟苯尼考胺</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SN/T 1865-2016</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144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恩诺沙星</w:t>
            </w:r>
          </w:p>
        </w:tc>
        <w:tc>
          <w:tcPr>
            <w:tcW w:w="960" w:type="dxa"/>
            <w:vMerge w:val="restart"/>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禽蛋</w:t>
            </w: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21312-2007</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145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沙拉沙星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146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氧氟沙星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147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达氟沙星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148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洛美沙星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149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培氟沙星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150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诺氟沙星</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151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金刚烷胺</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31660.5-2019</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152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金霉素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21317-2007液相色谱-质谱/质谱法</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153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四环素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154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土霉素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155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多西环素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156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氯霉素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22338-2008 液相色谱-质谱/质谱法</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157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甲砜霉素</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158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氟苯尼考</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SN/T 1865-2016</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159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克伦特罗</w:t>
            </w:r>
          </w:p>
        </w:tc>
        <w:tc>
          <w:tcPr>
            <w:tcW w:w="960" w:type="dxa"/>
            <w:vMerge w:val="restart"/>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牛肉</w:t>
            </w: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农业部1025号公告-18-2008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160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莱克多巴胺</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161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沙丁胺醇</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162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特布他林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163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西马特罗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164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非诺特罗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165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氯丙那林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166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妥布特罗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167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喷布特罗</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168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磺胺类(总量)</w:t>
            </w:r>
          </w:p>
        </w:tc>
        <w:tc>
          <w:tcPr>
            <w:tcW w:w="960" w:type="dxa"/>
            <w:vMerge w:val="continue"/>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农业部1025号公告-23-2008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169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克伦特罗</w:t>
            </w:r>
          </w:p>
        </w:tc>
        <w:tc>
          <w:tcPr>
            <w:tcW w:w="960"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羊肉</w:t>
            </w: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农业部1025号公告-18-2008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170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莱克多巴胺</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171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沙丁胺醇</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172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特布他林</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173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西马特罗</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174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非诺特罗</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175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氯丙那林</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176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妥布特罗</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177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喷布特罗</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178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孔雀石绿</w:t>
            </w:r>
          </w:p>
        </w:tc>
        <w:tc>
          <w:tcPr>
            <w:tcW w:w="960"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鱼（除鲢鱼和鳙鱼以外，必抽鳜鱼、大菱鲆）、虾、蟹、龟鳖类、蛙类</w:t>
            </w: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19857-2005液相色谱-串联质谱法</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179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呋喃唑酮代谢物</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21311-2007</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180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呋喃它酮代谢物</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181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呋喃妥因代谢物</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182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呋喃西林代谢物</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183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恩诺沙星</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农业部1077号公告-1-2008</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184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诺氟沙星</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185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氧氟沙星</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186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培氟沙星</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187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洛美沙星</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188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磺胺类(总量)</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189</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土霉素</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21317-2007液相色谱-质谱/质谱法</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190</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四环素</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191</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金霉素</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192</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氯霉素</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restart"/>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20756-2006</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193</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甲砜霉素</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194</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氟苯尼考</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195</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氟苯尼考胺</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SN/T 1865-2016</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196</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氟苯尼考</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GB/T 20756-2006</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197</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氟苯尼考胺</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SN/T 1865-2016</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198</w:t>
            </w:r>
          </w:p>
        </w:tc>
        <w:tc>
          <w:tcPr>
            <w:tcW w:w="253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焦亚硫酸钠(以二氧化硫残留量计)</w:t>
            </w:r>
          </w:p>
        </w:tc>
        <w:tc>
          <w:tcPr>
            <w:tcW w:w="960" w:type="dxa"/>
            <w:vMerge w:val="continue"/>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2193"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GB 5009.34-2016</w:t>
            </w:r>
          </w:p>
        </w:tc>
        <w:tc>
          <w:tcPr>
            <w:tcW w:w="90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960"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c>
          <w:tcPr>
            <w:tcW w:w="1197" w:type="dxa"/>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r>
        <w:tblPrEx>
          <w:tblBorders>
            <w:top w:val="thickThinSmallGap" w:color="000000" w:sz="24" w:space="0"/>
            <w:left w:val="thickThinSmallGap" w:color="000000" w:sz="24" w:space="0"/>
            <w:bottom w:val="thickThinSmallGap" w:color="000000" w:sz="24" w:space="0"/>
            <w:right w:val="thickThinSmallGap" w:color="000000" w:sz="2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6243" w:type="dxa"/>
            <w:gridSpan w:val="4"/>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sz w:val="20"/>
                <w:szCs w:val="20"/>
                <w:highlight w:val="none"/>
                <w:lang w:val="en-US" w:eastAsia="zh-CN"/>
              </w:rPr>
              <w:t>检测项目单价合计值（元）</w:t>
            </w:r>
          </w:p>
        </w:tc>
        <w:tc>
          <w:tcPr>
            <w:tcW w:w="3057" w:type="dxa"/>
            <w:gridSpan w:val="3"/>
            <w:tcBorders>
              <w:tl2br w:val="nil"/>
              <w:tr2bl w:val="nil"/>
            </w:tcBorders>
            <w:noWrap/>
            <w:vAlign w:val="bottom"/>
          </w:tcPr>
          <w:p>
            <w:pPr>
              <w:spacing w:line="400" w:lineRule="exact"/>
              <w:ind w:firstLine="0" w:firstLineChars="0"/>
              <w:jc w:val="center"/>
              <w:rPr>
                <w:rFonts w:hint="eastAsia" w:ascii="黑体" w:hAnsi="黑体" w:eastAsia="黑体" w:cs="黑体"/>
                <w:b w:val="0"/>
                <w:bCs w:val="0"/>
                <w:color w:val="auto"/>
                <w:sz w:val="20"/>
                <w:szCs w:val="20"/>
                <w:highlight w:val="none"/>
              </w:rPr>
            </w:pPr>
          </w:p>
        </w:tc>
      </w:tr>
    </w:tbl>
    <w:p>
      <w:pPr>
        <w:pStyle w:val="20"/>
        <w:spacing w:before="0" w:beforeLines="0" w:after="0" w:afterLines="0" w:line="360" w:lineRule="auto"/>
        <w:rPr>
          <w:rFonts w:hint="eastAsia" w:ascii="黑体" w:hAnsi="黑体" w:eastAsia="黑体" w:cs="黑体"/>
          <w:b/>
          <w:bCs/>
          <w:color w:val="auto"/>
          <w:sz w:val="22"/>
          <w:szCs w:val="21"/>
          <w:highlight w:val="none"/>
        </w:rPr>
      </w:pPr>
      <w:r>
        <w:rPr>
          <w:rFonts w:hint="eastAsia" w:ascii="黑体" w:hAnsi="黑体" w:eastAsia="黑体" w:cs="黑体"/>
          <w:b/>
          <w:bCs/>
          <w:color w:val="auto"/>
          <w:sz w:val="22"/>
          <w:szCs w:val="21"/>
          <w:highlight w:val="none"/>
        </w:rPr>
        <w:t>注：如以上依据法律法规或标准条款与现行最新规定不符的，应以现行最新的依据法律法规或标准条款为准，并在此基础上对上述检测项目进行报价。</w:t>
      </w:r>
    </w:p>
    <w:p>
      <w:pPr>
        <w:pStyle w:val="20"/>
        <w:spacing w:before="0" w:beforeLines="0" w:after="0" w:afterLines="0" w:line="360" w:lineRule="auto"/>
        <w:rPr>
          <w:rFonts w:hint="eastAsia" w:ascii="黑体" w:hAnsi="黑体" w:eastAsia="黑体" w:cs="黑体"/>
          <w:b/>
          <w:bCs/>
          <w:color w:val="auto"/>
          <w:sz w:val="22"/>
          <w:szCs w:val="21"/>
          <w:highlight w:val="none"/>
        </w:rPr>
      </w:pPr>
    </w:p>
    <w:p>
      <w:pPr>
        <w:spacing w:line="360" w:lineRule="auto"/>
        <w:ind w:firstLine="5520" w:firstLineChars="23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供应商：</w:t>
      </w:r>
      <w:r>
        <w:rPr>
          <w:rFonts w:hint="eastAsia" w:ascii="黑体" w:hAnsi="黑体" w:eastAsia="黑体" w:cs="黑体"/>
          <w:color w:val="auto"/>
          <w:highlight w:val="none"/>
          <w:u w:val="single"/>
        </w:rPr>
        <w:t xml:space="preserve">                  （盖章）</w:t>
      </w:r>
    </w:p>
    <w:p>
      <w:pPr>
        <w:spacing w:line="360" w:lineRule="auto"/>
        <w:ind w:firstLine="3600" w:firstLineChars="15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法定代表人或授权委托人：</w:t>
      </w:r>
      <w:r>
        <w:rPr>
          <w:rFonts w:hint="eastAsia" w:ascii="黑体" w:hAnsi="黑体" w:eastAsia="黑体" w:cs="黑体"/>
          <w:color w:val="auto"/>
          <w:highlight w:val="none"/>
          <w:u w:val="single"/>
        </w:rPr>
        <w:t xml:space="preserve">               （签字或盖章）</w:t>
      </w:r>
    </w:p>
    <w:p>
      <w:pPr>
        <w:spacing w:line="360" w:lineRule="auto"/>
        <w:ind w:firstLine="5760" w:firstLineChars="2400"/>
        <w:rPr>
          <w:rFonts w:hint="eastAsia" w:ascii="黑体" w:hAnsi="黑体" w:eastAsia="黑体" w:cs="黑体"/>
          <w:b/>
          <w:color w:val="auto"/>
          <w:sz w:val="24"/>
          <w:highlight w:val="none"/>
        </w:rPr>
      </w:pPr>
      <w:r>
        <w:rPr>
          <w:rFonts w:hint="eastAsia" w:ascii="黑体" w:hAnsi="黑体" w:eastAsia="黑体" w:cs="黑体"/>
          <w:color w:val="auto"/>
          <w:highlight w:val="none"/>
        </w:rPr>
        <w:t>日期：    年   月  日</w:t>
      </w:r>
    </w:p>
    <w:p>
      <w:pPr>
        <w:snapToGrid w:val="0"/>
        <w:spacing w:before="50" w:after="156" w:afterLines="50" w:line="240" w:lineRule="auto"/>
        <w:jc w:val="center"/>
        <w:rPr>
          <w:rFonts w:hint="eastAsia" w:ascii="黑体" w:hAnsi="黑体" w:eastAsia="黑体" w:cs="黑体"/>
          <w:b/>
          <w:color w:val="auto"/>
          <w:sz w:val="30"/>
          <w:szCs w:val="30"/>
          <w:highlight w:val="none"/>
        </w:rPr>
      </w:pPr>
    </w:p>
    <w:p>
      <w:pPr>
        <w:snapToGrid w:val="0"/>
        <w:spacing w:before="50" w:after="156" w:afterLines="50" w:line="240" w:lineRule="auto"/>
        <w:jc w:val="center"/>
        <w:rPr>
          <w:rFonts w:hint="eastAsia" w:ascii="黑体" w:hAnsi="黑体" w:eastAsia="黑体" w:cs="黑体"/>
          <w:b/>
          <w:color w:val="auto"/>
          <w:sz w:val="30"/>
          <w:szCs w:val="30"/>
          <w:highlight w:val="none"/>
        </w:rPr>
      </w:pPr>
    </w:p>
    <w:p>
      <w:pPr>
        <w:snapToGrid w:val="0"/>
        <w:spacing w:before="50" w:after="156" w:afterLines="50" w:line="240" w:lineRule="auto"/>
        <w:jc w:val="center"/>
        <w:rPr>
          <w:rFonts w:hint="eastAsia" w:ascii="黑体" w:hAnsi="黑体" w:eastAsia="黑体" w:cs="黑体"/>
          <w:b/>
          <w:color w:val="auto"/>
          <w:sz w:val="30"/>
          <w:szCs w:val="30"/>
          <w:highlight w:val="none"/>
        </w:rPr>
      </w:pPr>
    </w:p>
    <w:p>
      <w:pPr>
        <w:snapToGrid w:val="0"/>
        <w:spacing w:before="50" w:after="156" w:afterLines="50" w:line="240" w:lineRule="auto"/>
        <w:jc w:val="center"/>
        <w:rPr>
          <w:rFonts w:hint="eastAsia" w:ascii="黑体" w:hAnsi="黑体" w:eastAsia="黑体" w:cs="黑体"/>
          <w:b/>
          <w:color w:val="auto"/>
          <w:sz w:val="30"/>
          <w:szCs w:val="30"/>
          <w:highlight w:val="none"/>
        </w:rPr>
      </w:pPr>
    </w:p>
    <w:p>
      <w:pPr>
        <w:snapToGrid w:val="0"/>
        <w:spacing w:before="50" w:after="156" w:afterLines="50" w:line="240" w:lineRule="auto"/>
        <w:jc w:val="center"/>
        <w:rPr>
          <w:rFonts w:hint="eastAsia" w:ascii="黑体" w:hAnsi="黑体" w:eastAsia="黑体" w:cs="黑体"/>
          <w:b/>
          <w:color w:val="auto"/>
          <w:sz w:val="30"/>
          <w:szCs w:val="30"/>
          <w:highlight w:val="none"/>
        </w:rPr>
      </w:pPr>
    </w:p>
    <w:p>
      <w:pPr>
        <w:snapToGrid w:val="0"/>
        <w:spacing w:before="50" w:after="156" w:afterLines="50" w:line="240" w:lineRule="auto"/>
        <w:jc w:val="center"/>
        <w:rPr>
          <w:rFonts w:hint="eastAsia" w:ascii="黑体" w:hAnsi="黑体" w:eastAsia="黑体" w:cs="黑体"/>
          <w:b/>
          <w:color w:val="auto"/>
          <w:sz w:val="30"/>
          <w:szCs w:val="30"/>
          <w:highlight w:val="none"/>
        </w:rPr>
      </w:pPr>
    </w:p>
    <w:p>
      <w:pPr>
        <w:snapToGrid w:val="0"/>
        <w:spacing w:before="50" w:after="156" w:afterLines="50" w:line="240" w:lineRule="auto"/>
        <w:jc w:val="center"/>
        <w:rPr>
          <w:rFonts w:hint="eastAsia" w:ascii="黑体" w:hAnsi="黑体" w:eastAsia="黑体" w:cs="黑体"/>
          <w:b/>
          <w:color w:val="auto"/>
          <w:sz w:val="30"/>
          <w:szCs w:val="30"/>
          <w:highlight w:val="none"/>
        </w:rPr>
      </w:pPr>
    </w:p>
    <w:p>
      <w:pPr>
        <w:snapToGrid w:val="0"/>
        <w:spacing w:before="50" w:after="156" w:afterLines="50" w:line="240" w:lineRule="auto"/>
        <w:jc w:val="center"/>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投标报价明细表</w:t>
      </w:r>
    </w:p>
    <w:p>
      <w:pPr>
        <w:snapToGrid w:val="0"/>
        <w:spacing w:before="50" w:after="156" w:afterLines="50" w:line="240" w:lineRule="auto"/>
        <w:jc w:val="center"/>
        <w:rPr>
          <w:rFonts w:hint="eastAsia" w:ascii="黑体" w:hAnsi="黑体" w:eastAsia="黑体" w:cs="黑体"/>
          <w:b/>
          <w:color w:val="auto"/>
          <w:sz w:val="24"/>
          <w:szCs w:val="24"/>
          <w:highlight w:val="none"/>
        </w:rPr>
      </w:pPr>
      <w:r>
        <w:rPr>
          <w:rFonts w:hint="eastAsia" w:ascii="黑体" w:hAnsi="黑体" w:eastAsia="黑体" w:cs="黑体"/>
          <w:b/>
          <w:color w:val="auto"/>
          <w:sz w:val="24"/>
          <w:szCs w:val="24"/>
          <w:highlight w:val="none"/>
        </w:rPr>
        <w:t>（标项2、3、4）</w:t>
      </w:r>
    </w:p>
    <w:p>
      <w:pPr>
        <w:snapToGrid w:val="0"/>
        <w:spacing w:line="360" w:lineRule="auto"/>
        <w:jc w:val="left"/>
        <w:rPr>
          <w:rFonts w:hint="eastAsia" w:ascii="黑体" w:hAnsi="黑体" w:eastAsia="黑体" w:cs="黑体"/>
          <w:color w:val="auto"/>
          <w:sz w:val="24"/>
          <w:highlight w:val="none"/>
          <w:u w:val="single"/>
        </w:rPr>
      </w:pPr>
      <w:r>
        <w:rPr>
          <w:rFonts w:hint="eastAsia" w:ascii="黑体" w:hAnsi="黑体" w:eastAsia="黑体" w:cs="黑体"/>
          <w:color w:val="auto"/>
          <w:sz w:val="24"/>
          <w:highlight w:val="none"/>
        </w:rPr>
        <w:t>项目名称：</w:t>
      </w:r>
      <w:r>
        <w:rPr>
          <w:rFonts w:hint="eastAsia" w:ascii="黑体" w:hAnsi="黑体" w:eastAsia="黑体" w:cs="黑体"/>
          <w:color w:val="auto"/>
          <w:sz w:val="24"/>
          <w:highlight w:val="none"/>
          <w:u w:val="single"/>
        </w:rPr>
        <w:t xml:space="preserve">              </w:t>
      </w:r>
      <w:r>
        <w:rPr>
          <w:rFonts w:hint="eastAsia" w:ascii="黑体" w:hAnsi="黑体" w:eastAsia="黑体" w:cs="黑体"/>
          <w:color w:val="auto"/>
          <w:sz w:val="24"/>
          <w:highlight w:val="none"/>
        </w:rPr>
        <w:t xml:space="preserve">                           项目编号：</w:t>
      </w:r>
      <w:r>
        <w:rPr>
          <w:rFonts w:hint="eastAsia" w:ascii="黑体" w:hAnsi="黑体" w:eastAsia="黑体" w:cs="黑体"/>
          <w:color w:val="auto"/>
          <w:sz w:val="24"/>
          <w:highlight w:val="none"/>
          <w:u w:val="single"/>
        </w:rPr>
        <w:t xml:space="preserve">              </w:t>
      </w:r>
    </w:p>
    <w:p>
      <w:pPr>
        <w:pStyle w:val="20"/>
        <w:snapToGrid w:val="0"/>
        <w:spacing w:before="0" w:beforeLines="0" w:after="0" w:afterLines="0" w:line="360" w:lineRule="auto"/>
        <w:rPr>
          <w:rFonts w:hint="eastAsia" w:ascii="黑体" w:hAnsi="黑体" w:eastAsia="黑体" w:cs="黑体"/>
          <w:color w:val="auto"/>
          <w:highlight w:val="none"/>
        </w:rPr>
      </w:pPr>
      <w:r>
        <w:rPr>
          <w:rFonts w:hint="eastAsia" w:ascii="黑体" w:hAnsi="黑体" w:eastAsia="黑体" w:cs="黑体"/>
          <w:color w:val="auto"/>
          <w:highlight w:val="none"/>
        </w:rPr>
        <w:t>标项号：</w:t>
      </w:r>
      <w:r>
        <w:rPr>
          <w:rFonts w:hint="eastAsia" w:ascii="黑体" w:hAnsi="黑体" w:eastAsia="黑体" w:cs="黑体"/>
          <w:color w:val="auto"/>
          <w:highlight w:val="none"/>
          <w:u w:val="single"/>
        </w:rPr>
        <w:t xml:space="preserve">              </w:t>
      </w:r>
    </w:p>
    <w:p>
      <w:pPr>
        <w:spacing w:line="400" w:lineRule="exact"/>
        <w:ind w:firstLine="0" w:firstLineChars="0"/>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金额单位：元</w:t>
      </w:r>
    </w:p>
    <w:tbl>
      <w:tblPr>
        <w:tblStyle w:val="34"/>
        <w:tblW w:w="0" w:type="auto"/>
        <w:jc w:val="center"/>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038"/>
        <w:gridCol w:w="1056"/>
        <w:gridCol w:w="2172"/>
        <w:gridCol w:w="1608"/>
        <w:gridCol w:w="840"/>
        <w:gridCol w:w="760"/>
        <w:gridCol w:w="740"/>
      </w:tblGrid>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序号</w:t>
            </w:r>
          </w:p>
        </w:tc>
        <w:tc>
          <w:tcPr>
            <w:tcW w:w="2038"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检测项目</w:t>
            </w:r>
          </w:p>
        </w:tc>
        <w:tc>
          <w:tcPr>
            <w:tcW w:w="105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备注限制</w:t>
            </w:r>
          </w:p>
        </w:tc>
        <w:tc>
          <w:tcPr>
            <w:tcW w:w="2172"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检测方法</w:t>
            </w:r>
          </w:p>
        </w:tc>
        <w:tc>
          <w:tcPr>
            <w:tcW w:w="1608"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判定依据</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资质附表中页码</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资质附表中序号</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单项目价格</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10-羟基-2-葵烯酸</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9697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9697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21523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2，4-滴</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5009.175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NY/T 1434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6-苄基腺嘌呤（ 6-BA）</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23381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国家食品药品监督管理总局农业部 国家卫生和计划生育委员会关于豆芽生产过程中禁止使用 6-苄基腺嘌呤等物质的公告（ 2015 年第 11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N-二甲基亚硝胺</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5009.26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α-亚麻酸</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α-亚麻酸供能比</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β-胡萝卜素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5009.83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5413.35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阿斯巴甜</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3538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22254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阿维菌素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1973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2114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艾氏剂</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5009.162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安赛蜜</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3538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5009.140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氨基酸态氮</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5009.40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5009.235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18186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5009.39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5009.235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2718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18186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10336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铵盐（以占氨基酸态氮的百分比计）</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5009.39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5009.234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18186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10336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百菌清</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5009.105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阪崎肠杆菌</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4789.40第一法</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钡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倍硫磷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苯并[a]芘</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5009.27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22509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苯丁锡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SN 0592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苯甲酸及其钠盐（以苯甲酸计）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23495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15037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苯醚甲环唑</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SN/T 1975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5009.218</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19649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苯霜灵</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苯酰菌胺</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苯线磷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5009.145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苯唑西林</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29682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吡虫啉</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23379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1275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丙草胺</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0712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丙二醛</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5009.181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5009.181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10146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丙森锌</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SN/T 0711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丙酸睾酮</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3235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丙酸及其钠盐、钙盐(以丙酸计）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5009.120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5009.120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丙溴磷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仅干辣椒检测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19648、NY/T</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761、SN/T 2234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不溶性膳食纤维</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不溶于水杂质</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2343.2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2343.1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4561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草甘膦</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23750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茶多酚</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21733 附</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录 A</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产气荚膜梭菌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长链不饱和脂肪酸中二十碳五烯酸（20:5 n-3）的量与二十二碳六烯酸的量的比</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呈味核苷酸二钠</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10371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10371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10415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虫螨腈</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1379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1986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虫酰肼</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除虫脲</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5009.147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1720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雌二醇</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21981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958 号公告-10-2007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哒螨灵</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达氟沙星</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20366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1077 号公告-1-2008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560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大肠埃希氏菌 O157:H7</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限牛肉预包装食品</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4789.36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29921</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大肠菌群</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4789.3-2003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4789.3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4789.17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4789.19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15196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2717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2719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2718</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SB/T 10371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SB/T 10415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10133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2726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19645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19302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19644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19646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5420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25192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13102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25191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11673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16321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16322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7101-2015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19296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19640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19295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17401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QB/T 2686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9678.1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17399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19299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14884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22474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19300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7099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14963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31636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30616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8537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19298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19297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2759.2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17400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7100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2759.1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2759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2714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2712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2713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19643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20705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20706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代森锰锌 e</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蘑菇类（ 鲜） 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SN/T 0711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SN/T 1541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单核细胞增生李斯特氏菌</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4789.30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29921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5420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25192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50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胆碱</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51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蛋白质</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9697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9697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21523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30359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31636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10767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10013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10015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31114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31119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7101-2003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25190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19645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25191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19302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19644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11674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13102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52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稻瘟灵</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5009.155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53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滴滴涕</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5009.162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5009.19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23204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23204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54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狄氏剂</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5009.162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55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敌百虫</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56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敌草快</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5009.221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57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敌敌畏</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5009.20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SN/T 2324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58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敌菌灵</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1722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59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敌瘟磷</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2324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60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地虫硫磷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61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地美硝唑</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1928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62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地塞米松</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限猪、牛的肌肉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1031 号公告-2-2008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21981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63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地西泮</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3235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64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帝巴因</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DB31/2010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食品整治办〔 2008 〕3号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65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碘</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66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淀粉</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9697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9697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21523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67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丁基羟基茴香醚（BHA）</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23373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68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丁硫克百威</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23205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69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啶虫脒</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23584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70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啶酰菌胺</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71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毒杀芬（ 樱桃）</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YC/T 180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72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毒死蜱</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2158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73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对硫磷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5009.20、 GB/T 5009.145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74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对羟基苯甲酸酯类及其钠盐（对羟基苯甲酸甲酯钠、对羟基苯甲酸乙酯及其钠盐）（以对羟基苯甲酸计）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5009.31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75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多菌灵</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1453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20770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NY/T 1680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76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多氯联苯（以 PCB28、 PCB52、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PCB101、 PCB118、 PCB138、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PCB153 和 PCB180 总和计）</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5009.190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2762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77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多西环素（ 强力霉素） a</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限肝、 肾</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78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噁喹酸</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23198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1077 号公告-1-2008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79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噁霜灵</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1379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80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噁唑菌酮</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81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恩诺沙星（以恩诺沙星</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与环丙沙星之和计）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20366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1077 号公告-1-2008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82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二丁基羟基甲苯（BHT）</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23373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83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二甲戊灵</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1379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84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二十二碳六烯酸</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85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二十二碳六烯酸（22:6 n-3）与二十碳四烯酸（20:4 n-6）的比</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86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二十二碳六烯酸与总脂肪酸比</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5009.168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87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二十碳四烯酸</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88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二十碳四烯酸与总脂肪酸比（在产品中选择添加或标签中标示含有一种或多种成分含量时，应检测该项目）</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89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二氧化硫</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6783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5009.34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5009.34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6783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2760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90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二氧化钛</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21912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5009.246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91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二氧化碳气容量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10792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产品明示标准及质量要求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92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反式脂肪酸</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（C18:2T+C18:3T）</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限橄榄油和油橄榄果渣油检测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22507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5009.257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23347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93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反式脂肪酸（C18:1T）</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限橄榄油和油橄榄果渣油检测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22507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5009.257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23347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94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反式脂肪酸与总脂肪酸的比值</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5413.36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95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泛酸</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5413.17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5009.210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5009.210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96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非脂乳固体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5413.39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19646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25190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19645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19464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19302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97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粪链球菌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98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呋喃它酮代谢物</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20752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781 号公告-4-2006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99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呋喃妥因代谢物</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20752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781 号公告-4-2006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560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100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呋喃西林代谢物</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20752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781 号公告-4-2006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560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101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呋喃唑酮代谢物</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20752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781 号公告-4-2006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102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氟（在产品中选择添加或标签中标示含有一种或多种成分含量时，应检测该项目）</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103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氟胺氰菊酯</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农业部781号公告-9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农业部公告第235号</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104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氟苯尼考</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22338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20756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105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氟苯脲</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1453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106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氟吡甲禾灵和高效氟吡甲禾灵</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107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氟虫腈</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1982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108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氟硅唑</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2236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109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氟化物（以 F-计）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110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氟甲喹</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限猪、牛、羊的肌肉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111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氟菌唑</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1379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112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氟铃脲</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1720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2152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113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氟氯氰菊酯和高效氟氯氰</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菊酯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5009.146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114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氟罗沙星</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1077 号公告-1-2008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560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115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氟氰戊菊酯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116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氟酰脲</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SN/T 2150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117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福美双</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SN/T 0711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118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腐霉利</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119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复原乳酸度 （不适用于调制乳粉）</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5413.34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5009.239-2016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19644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120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副溶血性弧菌（仅限预包装即食类食品检测）</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121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富马酸二甲酯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1723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食品整治办〔2009〕5号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122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钙</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5009.92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123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钙磷比值</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124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干物质含量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25192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25192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125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镉（以 Cd 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126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铬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5009.123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8537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6783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de-DE" w:eastAsia="zh-CN"/>
              </w:rPr>
              <w:t>GB 2762</w:t>
            </w:r>
            <w:r>
              <w:rPr>
                <w:rFonts w:hint="eastAsia" w:ascii="黑体" w:hAnsi="黑体" w:eastAsia="黑体" w:cs="黑体"/>
                <w:b w:val="0"/>
                <w:bCs w:val="0"/>
                <w:color w:val="auto"/>
                <w:sz w:val="20"/>
                <w:szCs w:val="20"/>
                <w:highlight w:val="none"/>
                <w:lang w:val="en-US" w:eastAsia="zh-CN"/>
              </w:rPr>
              <w:t>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127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谷氨酸钠</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SB/T 10371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5009.43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5009.43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8967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10371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10415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2720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8967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128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果糖和葡萄糖</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18932.22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14963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129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过氧化苯甲酰</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22325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卫生部公告〔2011〕4号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130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过氧化值</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6783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5009.227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19300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6783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19295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10379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17401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2686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17400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19300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7100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7099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10136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19295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10377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 2076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10138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10136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19300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2716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10146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15196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2730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131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耗氧量（以 O2 计）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5750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19298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132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合成着色剂</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5009.35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21916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5009.35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5009.141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SN/T 1743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133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红霉素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限猪、牛、羊的肌肉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29684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134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滑石粉</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21913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135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还原糖（以葡萄糖计）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13509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1886.234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317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QB/T 2343.2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1445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13509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1886.234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317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QB/T 4564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1445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QB/T 1173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QB/T 1174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QB/T 1214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QB/T 2685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QB/T 4092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QB/T 4093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QB/T 4095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QB/T 4566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136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黄曲霉毒素 B1</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限玉米制品。</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18979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137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黄曲霉毒素M1</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5413.37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138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磺胺类（ 总量）磺胺类（ 总量） 项目包括：磺胺嘧啶、磺胺二甲嘧啶、磺胺甲基嘧啶、磺胺甲恶唑、磺胺间二甲氧嘧啶、磺胺邻二甲氧嘧啶、磺胺间甲氧嘧啶、磺胺氯哒嗪、磺胺喹恶啉之和。</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检验结果以上述 9 种磺胺的测定结果之和表示并判定。</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1025 号公告-23-2008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139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灰分</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9697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9697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21523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11674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140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挥发酚（以苯酚计）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5750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19298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141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挥发性盐基氮</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5009.44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5009.228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2707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16869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2733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10136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142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浑浊度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5750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19298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143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肌醇（在产品中选择添加或标签中标示含有一种或多种成分含量时，应检测该项目）</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144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极性组分</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5009.202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5009.202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7102.1</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145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己烯雌酚</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21981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3235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1163 号公告-9-2009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146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己唑醇</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147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甲氨基阿维菌素苯甲酸盐</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148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甲胺磷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5009.103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149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甲拌磷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150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甲苯氟磺胺</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151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甲醇</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15038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2757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15037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152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甲砜霉素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限猪、牛、羊的肌肉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22338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20756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153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甲基毒死蜱</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154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甲基对硫磷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155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甲基睾丸酮</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21981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3235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156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甲基汞（以 Hg 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157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甲基立枯磷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158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甲基硫环磷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159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甲基硫菌灵</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1680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160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甲基异柳磷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5009.144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161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甲萘威</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5009.145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162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甲氰菊酯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163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甲醛</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5009.49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2758</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164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甲醛次硫酸氢钠（以甲醛计）</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21126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食品整治办〔2008〕3号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165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甲霜灵和精甲霜灵</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166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甲硝唑</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1928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167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钾</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5009.91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168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碱性橙Ⅱ、21、22</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23496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食品整治办〔2008〕3号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169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酵母</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4789.15-2010 GB 4789.15-2016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11673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16321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16322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19296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7101-2015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19299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19302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25192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5420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19297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2759.2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20705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20706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170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芥酸与总脂肪酸的比值</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171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金黄色葡萄球菌</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限熟制预包装食品检测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4789.10 第二法</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19645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19302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19644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11674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19646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5420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25192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13102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25191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172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金霉素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SC/T 3015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173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精噁唑禾草灵</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1379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174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警示语标注（限玻璃瓶装啤酒检测）</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检查是否标注</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“切勿撞击，防止</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爆瓶”</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4927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175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久效磷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176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酒精度</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11856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11857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11858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de-DE" w:eastAsia="zh-CN"/>
              </w:rPr>
              <w:t xml:space="preserve">GB/T 23546 </w:t>
            </w:r>
            <w:r>
              <w:rPr>
                <w:rFonts w:hint="eastAsia" w:ascii="黑体" w:hAnsi="黑体" w:eastAsia="黑体" w:cs="黑体"/>
                <w:b w:val="0"/>
                <w:bCs w:val="0"/>
                <w:color w:val="auto"/>
                <w:sz w:val="20"/>
                <w:szCs w:val="20"/>
                <w:highlight w:val="none"/>
                <w:lang w:val="en-US" w:eastAsia="zh-CN"/>
              </w:rPr>
              <w:t>等</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5009.225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15037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25504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27586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1982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11856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11857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11858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177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菌落总数</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限熟制食品检测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4789.2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4789.17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4789.24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4789.219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2717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2719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SB/T 10371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SB/T 10415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10133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2726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19645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25192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19644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19646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13102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25191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19296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19640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2759.1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2759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19295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17401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QB/T 2686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9678.1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17399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19299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14884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22474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7099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GB19295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14963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31636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30616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7101-2015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19297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2759.2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7101-2015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17400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7100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11673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16321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16322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2713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19643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20705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20706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2749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2749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10136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178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咖啡因</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5009.139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605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2760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179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可待因</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DB31/2010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食品整治办〔 2008 〕3号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180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可可脂(以干物质计）（可可粉、可可液块及可可饼块检测）</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20705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20706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5512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20705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20706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181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克百威</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182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克菌丹</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 0654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183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克伦特罗</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22286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整顿办函〔 2010〕 50号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184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孔雀石绿 a</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19857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20361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185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喹乙醇代谢物</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限猪的肌肉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20746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1077 号公告-5-2008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整顿办函〔 2011〕 1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186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莱克多巴胺</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22286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整顿办函〔 2010〕 50号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187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乐果</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5009.145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188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联苯肼酯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SN/T 2150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189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联苯菊酯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5009.146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190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邻苯基苯酚 （限橙汁）</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2763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191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林丹</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5009.162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192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林可霉素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限猪、牛、羊的肌肉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29685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193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磷</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5009.87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194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磷胺</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195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硫丹</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5009.162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196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硫环磷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197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六六六</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5009.19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23204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5009.162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198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铝的残留量（干样品，以 Al 计）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5009.182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23374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2760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199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5009.44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200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氯苯胺灵</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201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氯吡脲</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20770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202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氯丙嗪</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限猪的肌肉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3235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203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氯丹</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5009.162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204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氯氟氰菊酯和高效氯氟氰</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菊酯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5009.146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205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氯菊酯 de</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限花生仁、葵花籽检测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5009.146、 SN/T 2151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206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氯霉素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22338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20756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18932.19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207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氯氰菊酯和高效氯氰菊酯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5009.146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208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氯唑磷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209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罗丹明B</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仅辣椒油检测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2430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食品整治办〔2008〕3号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210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洛硝哒唑</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1928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211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马拉硫磷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5009.145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5009.20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 GB/T</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19649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212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吗啡</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DB31/2010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食品整治办〔 2008 〕3号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213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螨</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13104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13104</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214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没食子酸丙酯（ PG）（以油脂中</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的含量计）</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3849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5009.32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1050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2760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215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霉菌</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仅限人造奶油（人造黄油）和产品明示标准及质量要求有此规定的产品检测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4789.15-2010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4789.15-2016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4789.24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196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19302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19646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25192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5420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11673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16321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16322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19296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7101-2015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19299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14884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22474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19297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2759.2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7100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17399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19640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7099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19300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19643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20705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20706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8883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8885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8884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31637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14963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31636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11671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7098-2015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216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镁</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5009.90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217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锰</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5009.90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8537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218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咪鲜胺</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1456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219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醚菊酯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SN/T 2151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220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米酵菌酸 （限银耳罐头检测）</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5009.189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7098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7096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221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嘧菌环胺</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1379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222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嘧菌酯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1453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1976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223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嘧霉胺</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224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灭多威</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225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灭菌丹</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2320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226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灭线磷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227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灭幼脲</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5009.135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228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木糖醇含量（以干基计）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13509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1886.234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13509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1886.234</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229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内吸磷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230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那可丁</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DB31/2010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食品整治办〔 2008 〕3号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231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纳他霉素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21915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232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纳他霉素 （适用于干酪及其类似品）</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21915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2760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233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钠</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5009.91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234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能量</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235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尼卡巴嗪残留标志物</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限鸡的肌肉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29690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236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脲酶活性定性（仅适用于含有大豆成分的产品）</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5413.31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237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脲酶试验 （仅限于以大豆为原料的饮料）</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5009.183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16322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7101-2015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2712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238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镍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13509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1886.234</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239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镍（以Ni计）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仅限氢化植物油及氢化植物油为主的产品（例如，人造奶油、起酥油等）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240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凝冻强度（6.67%）</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6783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6783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241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牛磺酸（在产品中选择添加或标签中标示含有一种或多种成分含量时，应检测该项目）</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242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纽甜</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23378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5009.247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243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硼酸盐（以 B 计）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244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七氯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5009.162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245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铅</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5009.75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6783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26687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13736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1886.39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13509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1886.234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6782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1886.25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2757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2758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246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铅（以 Pb 计）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2762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247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羟基甲硝唑 c</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羟基甲硝唑为甲硝唑代谢物</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1928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248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羟基甲硝唑 d</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羟基甲硝唑为甲硝唑代谢物</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1928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249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羟基甲硝唑 d</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羟基甲硝唑为甲硝唑代谢物</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1928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250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羟基甲硝唑 e</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羟基甲硝唑为甲硝唑代谢物</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1928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251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羟甲基甲硝咪唑 d</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羟甲基甲硝咪唑为地美硝唑、洛硝哒唑代谢物</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1928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252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羟甲基甲硝咪唑 e</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羟甲基甲硝咪唑为地美硝唑、洛硝哒唑代谢物</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1928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253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羟甲基甲硝咪唑 e</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羟甲基甲硝咪唑为地美硝唑、洛硝哒唑代谢物</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1928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254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羟甲基甲硝咪唑 f</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羟甲基甲硝咪唑为地美硝唑、洛硝哒唑代谢物</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1928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255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嗪氨灵</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SN 0695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256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氢氰酸(仅木薯淀粉检测)</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5009.36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875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257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氰化物（以 CN-计）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5750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8537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16322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7101-2015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19298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258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氰霜唑</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23206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259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氰戊菊酯和 S-氰戊菊酯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260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氰戊菊酯和 S-氰戊菊酯 e</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蘑菇类（ 鲜） 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5009.110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261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庆大霉素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限猪、牛的肌肉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21323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262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炔螨特</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1652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263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群勃龙</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21981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264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溶剂残留量</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5009.37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2716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265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肉豆蔻酸占总脂肪酸的比值（仅适用于脂肪含量≥0.8g/100kJ的婴幼儿高蛋白谷物辅助食品）</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266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乳固体 （不适用于调制炼乳）</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13102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13102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267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乳酸菌数 （发酵后经热处理的发酵乳对乳酸菌数不作要求）</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4789.35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19302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268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乳糖 （不适用于乳清蛋白粉）</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11674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269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乳糖占碳水化合物含量(不适用于豆基配方食品)</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270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噻虫嗪</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271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噻节因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1379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272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噻菌灵 f</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仅香菇（ 鲜） 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1453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1680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273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噻螨酮</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274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三甲胺氮</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限火腿</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5009.179-2003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5009.179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2730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275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三聚氰胺</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22388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卫生部、工业和信息化部、</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农业部、工商总局质检总局</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公告 2011 年第 10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276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三氯甲烷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5750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19298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277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三氯蔗糖</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22255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278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三唑醇</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279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三唑磷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280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三唑酮</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281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色度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8538GB/T 5750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19298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282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色值</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317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4093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15108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1445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317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4564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1445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1173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1174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4092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4093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4095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4063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4565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4566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283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杀虫环</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5009.113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284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杀虫脒</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285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杀螟硫磷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5009.20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14553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GB/T 23204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286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杀扑磷（柑橘）</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14553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287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杀线威</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1453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0134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288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沙丁胺醇</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22286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整顿办函〔 2010〕 50号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289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沙拉沙星</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限鸡/火鸡的肌肉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20366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1077 号公告-1-2008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290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沙门氏菌</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限熟制预包装食品检测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19645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19302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19644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11674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19646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5420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25192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13102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25191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291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山梨酸及其钾盐（以山梨酸计）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23495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13736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1886.39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21703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13736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1886.39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292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商业无菌</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                         GB /T   5009.45            GB/T 5009.208      GB 4789.26  </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7098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11671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13100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14939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7101-2015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19297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16322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22474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11671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19296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23970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10369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2749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10377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23586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10381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25190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13102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19646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25191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293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砷（以As计）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5009.76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26687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1886.245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13736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1886.39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30616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6782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1886.25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294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生物苄呋菊酯</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2151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20770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295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生物素</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5413.19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5009.259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296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嗜渗酵母计数</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19643 附录A</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14963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297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双氟沙星</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20366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1077 号公告-1-2008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298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双甲脒</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农业部781号公告-8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5009.143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农业部公告第235号</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299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霜霉威</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1379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300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水胺硫磷（柑橘、苹果）</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5009.20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301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水分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5009.3-2010  GB 5009.3-2016 </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19644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11674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13102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19646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17401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30359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31636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17400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302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司帕沙星</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20366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 1077 号公告-1-2008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17401</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303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四环素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SC/T 3015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30359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304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四氯化碳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5750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31636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305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四氯硝基苯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306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四螨嗪</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17400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307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酸度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5413.34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5009.239-2016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9697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308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酸价（以脂肪计）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19300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5009.37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5009.229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19300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17401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2686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7100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7099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 2076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7102.1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10146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15196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2716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309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酸性橙II</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3536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食品整治办〔2008〕3号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310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碳水化合物</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311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糖精钠（以糖精计）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23495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312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绦虫裂头蚴（仅限生产日期在2016年11月13日（含）之后的即食生制动物性水产制品检测）</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10136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10136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313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特丁基对苯二酚（TBHQ）</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23373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314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特丁硫磷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1379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315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锑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316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涕灭威</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317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替米考星</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限猪、牛的肌肉</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318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甜蜜素（以环己基氨基磺酸计）</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1948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5009.97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319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铁</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5009.90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320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铜</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8537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321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铜绿假单胞菌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322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透光率</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6782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1886.25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6782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1886.25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323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土霉素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SC/T 3015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21317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324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脱氢乙酸及其钠盐（以脱氢乙酸</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计）</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23377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325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脱氧雪腐镰刀菌烯醇</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23503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2761</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326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维生素 E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2760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327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维生素A</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5009.82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328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维生素B1</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5413.11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5009.84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329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维生素B12</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5413.14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330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维生素B2</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5413.12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331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维生素B6</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5413.13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5009.154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332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维生素C</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5413.18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333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维生素D</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334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维生素E</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5009.82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335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维生素K1</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5413.10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5009.158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336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无机砷（以 As 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337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五氯酚酸钠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猪肉检测方法 GB 29708 ，其他畜肉检测方法 SN/T 2445</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29708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2445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农业部公告第 235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338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五氯硝基苯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5009.136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5009.162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339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戊菌唑</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340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戊唑醇</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341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吸虫囊蚴（仅限生产日期在2016年11月13日（含）之后的即食生制动物性水产制品检测）</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10136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10136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342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烯草酮</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19649 、 GB/T 20770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343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烯酰吗啉</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344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硒</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5009.93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 xml:space="preserve">GB 8537 </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345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锡（以 Sn 计） （限采用镀锡薄板容器包装的罐头检测）</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2762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346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线虫幼虫（仅限生产日期在2016年11月13日（含）之后的即食生制动物性水产制品检测）</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10136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10136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347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硝酸盐（以 NaNO3 计）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5009.33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2762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348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辛硫磷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5009.102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3769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349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锌</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 14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350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溴螨酯</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1379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351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溴氰菊酯</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5009.110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352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溴酸钾</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20188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食品整治办〔2009〕5号</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卫生部2005年第9号公告</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353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溴酸盐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5750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19298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354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亚胺硫磷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19648、 GB/T 20770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355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亚硫酸盐（以 SO2 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5009.34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5009.34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22556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356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亚硝酸盐（以 NaNO2 计）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5009.33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2762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卫生部、国家食品药品监督管理局2012年第10号公告</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357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亚油酸</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358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亚油酸供能比</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359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亚油酸与α-亚麻酸的比值</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360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烟酸（烟酰胺）</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5413.15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5009.89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361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胭脂红</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9695.6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362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氧乐果</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1379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363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叶黄素</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364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叶酸</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5413.16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5009.211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365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依维菌素</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GB/T 22968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366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乙二胺四乙酸二钠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SN/T 3855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2760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367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乙霉威</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368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乙烯菌核利</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369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乙烯利</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1016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370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乙酰甲胺磷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仅辣椒、花椒、辣椒粉、花椒粉检测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参照 SN/T 1950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5009.103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5009.145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23376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371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异丙威</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372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异菌脲</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1277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373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抑霉唑</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20769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374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阴离子合成洗涤剂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8538GB/T 5750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19298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375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银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8538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8537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376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罂粟碱</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DB31/2010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食品整治办〔 2008 〕3号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377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荧光增白物质 a</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仅金针菇、白灵菇、双孢蘑菇检测。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1257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整顿办函〔 2010〕 50 号</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378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蝇毒磷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379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游离矿酸</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5009.41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5009.233</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2719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380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游离棉酚</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限棉籽油检测</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5009.37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2716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381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余氯（游离氯）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5750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19298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382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玉米赤霉醇 （仅限牛乳产品）</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21982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整顿办函〔 2010〕 50 号 </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383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玉米赤霉烯酮</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5009.209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2761</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384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月桂酸占总脂肪酸的比值（仅适用于脂肪含量≥0.8g/100kJ的婴幼儿高蛋白谷物辅助食品）</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10769</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385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杂质度</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5413.30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19644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386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增效醚</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387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展青霉素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5009.185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2761</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388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赭曲霉毒素 A</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23502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2761</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389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蔗糖</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18932.22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5413.5</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14963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13102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390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蔗糖分</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317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317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4564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1173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1174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1214</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4092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4095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4565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4566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391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脂肪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25192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5009.6</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13102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19646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19645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25191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19302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25190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GB 19644 </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25192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10769</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392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治螟磷</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NY/T 761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19648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393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致病性微生物</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4789.4</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4789.5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4789.10</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4789.11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4789.38</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4789.40</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26687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394</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终产品脂肪中月桂酸和肉豆蔻酸（十四烷酸）总量与总脂肪酸的比值</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395</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重金属（以Pb计）</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1886.245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5009.74</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25591</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1886.245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13736</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1886.39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30616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396</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总汞（以 Hg 计）</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397</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总钠</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5413.21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10770</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398</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总砷</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22570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6783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2762</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399</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总酸（以乙酸计）</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5009.41</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18187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SB/T 10337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400</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总糖</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9697</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9697</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21523</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401</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总糖分</w:t>
            </w:r>
          </w:p>
        </w:tc>
        <w:tc>
          <w:tcPr>
            <w:tcW w:w="1056"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1445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2343.2</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1445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2343.1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4561</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2685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产品明示标准及质量要求</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4093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4062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4563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QB/T 4567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402</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xml:space="preserve">组胺 </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5009.45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5009.208</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14939</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7098-2015</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2733</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10138</w:t>
            </w:r>
          </w:p>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de-DE" w:eastAsia="zh-CN"/>
              </w:rPr>
              <w:t>GB 10136</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de-DE"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403</w:t>
            </w:r>
          </w:p>
        </w:tc>
        <w:tc>
          <w:tcPr>
            <w:tcW w:w="203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左旋肉碱（在产品中选择添加或标签中标示含有一种或多种成分含量时，应检测该项目）</w:t>
            </w:r>
          </w:p>
        </w:tc>
        <w:tc>
          <w:tcPr>
            <w:tcW w:w="1056" w:type="dxa"/>
            <w:tcBorders>
              <w:tl2br w:val="nil"/>
              <w:tr2bl w:val="nil"/>
            </w:tcBorders>
            <w:noWrap/>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2172"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29989</w:t>
            </w:r>
          </w:p>
        </w:tc>
        <w:tc>
          <w:tcPr>
            <w:tcW w:w="1608"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25596</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29922</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10765</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10767</w:t>
            </w:r>
          </w:p>
        </w:tc>
        <w:tc>
          <w:tcPr>
            <w:tcW w:w="8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404</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N,N-双去甲基西布曲明</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国家食品药品监督管理局药品检验补充检验方法和检验项目批准件2006004、2012005、食药监办许[2010]114</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405</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N-单去甲基西布曲明</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国家食品药品监督管理局药品检验补充检验方法和检验项目批准件2006004、2012005、食药监办许[2010]114</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406</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阿普唑仑</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407</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阿替洛尔</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国家食品药品监督管理局药品检验补充检验方法和检验项目批准件2009032、2014008</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408</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艾司唑仑</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409</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氨基他达拉非</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国家食品药品监督管理局药品检验补充检验方法和检验项目批准件2009030</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410</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氨氯地平</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国家食品药品监督管理局药品检验补充检验方法和检验项目批准件2009032、2014008</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411</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奥沙西泮</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412</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巴比妥</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413</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苯巴比妥</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414</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大肠菌群</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GB/T 4789.3-2003</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4789.3-2010MPN计数法</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16740</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415</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地西泮</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416</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伐地那非</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国家食品药品监督管理局药品检验补充检验方法和检验项目批准件2009030</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417</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非洛地平</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国家食品药品监督管理局药品检验补充检验方法和检验项目批准件2009032、2014008</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418</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芬氟拉明</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国家食品药品监督管理局药品检验补充检验方法和检验项目批准件2006004、2012005、食药监办许[2010]114</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419</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酚酞</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国家食品药品监督管理局药品检验补充检验方法和检验项目批准件2006004、2012005、食药监办许[2010]114</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420</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呋塞米</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国家食品药品监督管理局药品检验补充检验方法和检验项目批准件2006004、2012005、食药监办许[2010]114</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421</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格列本脲</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国家食品药品监督管理局药品检验补充检验方法和检验项目批准件2009029、211008、2013001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422</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格列吡嗪</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国家食品药品监督管理局药品检验补充检验方法和检验项目批准件2009029、211008、2013001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423</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格列波脲</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国家食品药品监督管理局药品检验补充检验方法和检验项目批准件2009029、211008、2013001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424</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格列喹酮</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国家食品药品监督管理局药品检验补充检验方法和检验项目批准件2009029、211008、2013001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425</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格列美脲</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国家食品药品监督管理局药品检验补充检验方法和检验项目批准件2009029、211008、2013001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426</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格列齐特</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国家食品药品监督管理局药品检验补充检验方法和检验项目批准件2009029、211008、2013001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427</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功效/标志性成分</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企业标准</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企业标准</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428</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红地那非</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国家食品药品监督管理局药品检验补充检验方法和检验项目批准件2009030</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429</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甲苯磺丁脲</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国家食品药品监督管理局药品检验补充检验方法和检验项目批准件2009029、211008、2013001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430</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胶囊壳中的铬（硬胶囊样品）（限明教空心胶囊检测）</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《中国药典》2015年版</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《中国药典》2015年版</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431</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金黄色葡萄球菌</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4789.10</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16740</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432</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菌落总数</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16740</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433</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卡托普利</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国家食品药品监督管理局药品检验补充检验方法和检验项目批准件2009032、2014008</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434</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可溶性固形物（口服液样品）</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企业标准</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企业标准</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435</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劳拉西泮</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436</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利血平</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国家食品药品监督管理局药品检验补充检验方法和检验项目批准件2009032、2014008</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437</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硫代艾地拉菲</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国家食品药品监督管理局药品检验补充检验方法和检验项目批准件2009030</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438</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罗通定</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439</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洛伐他丁</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食药监办许[2010]114</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440</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氯苯那敏</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441</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氯氮卓</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442</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氯美扎酮</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443</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氯硝西泮</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444</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麻黄碱</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国家食品药品监督管理局药品检验补充检验方法和检验项目批准件2006004、2012005、食药监办许[2010]114</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445</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马来酸罗格列酮</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国家食品药品监督管理局药品检验补充检验方法和检验项目批准件2009029、211008、2013001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446</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马来酸咪达唑仑</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447</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霉菌和酵母</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4789.15-2010</w:t>
            </w:r>
          </w:p>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4789.15-2016</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16740</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448</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那红地那非</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国家食品药品监督管理局药品检验补充检验方法和检验项目批准件2009030</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449</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那莫西地那非</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国家食品药品监督管理局药品检验补充检验方法和检验项目批准件2009030</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450</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尼莫地平</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国家食品药品监督管理局药品检验补充检验方法和检验项目批准件2009032、2014008</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451</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尼群地平</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国家食品药品监督管理局药品检验补充检验方法和检验项目批准件2009032、2014008</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452</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尼索地平</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国家食品药品监督管理局药品检验补充检验方法和检验项目批准件2009032、2014008</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453</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哌唑嗪</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国家食品药品监督管理局药品检验补充检验方法和检验项目批准件2009032、2014008</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454</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铅（Pb）</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16740</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455</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羟基豪莫西地那非</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国家食品药品监督管理局药品检验补充检验方法和检验项目批准件2009030</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456</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青藤碱</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457</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氢氯噻嗪</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国家食品药品监督管理局药品检验补充检验方法和检验项目批准件2009032、2014008</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458</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瑞格列奈</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国家食品药品监督管理局药品检验补充检验方法和检验项目批准件2009029、211008、2013001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459</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三唑仑</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460</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沙门氏菌</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4789.4</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16740</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461</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水分（硬胶囊剂和茶剂样品）</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企业标准</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企业标准</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462</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司可巴比妥</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463</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酸价、过氧化值（鱼油类软胶囊样品）</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企业标准</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企业标准</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464</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他达拉非</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国家食品药品监督管理局药品检验补充检验方法和检验项目批准件2009030</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465</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褪黑素</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466</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伪伐地那非</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国家食品药品监督管理局药品检验补充检验方法和检验项目批准件2009030</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467</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文拉法辛</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468</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西布曲明</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国家食品药品监督管理局药品检验补充检验方法和检验项目批准件2006004、2012005、食药监办许[2010]114</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469</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西地那非</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国家食品药品监督管理局药品检验补充检验方法和检验项目批准件2009030</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470</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硝苯地平</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国家食品药品监督管理局药品检验补充检验方法和检验项目批准件2009032、2014008</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471</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硝西泮</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472</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辛伐他丁</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食药监办许[2010]114</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473</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烟酸</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食药监办许[2010]114</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474</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盐酸苯乙双胍</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国家食品药品监督管理局药品检验补充检验方法和检验项目批准件2009029、211008、2013001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475</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盐酸吡格列酮</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国家食品药品监督管理局药品检验补充检验方法和检验项目批准件2009029、211008、2013001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476</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盐酸丁二胍</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国家食品药品监督管理局药品检验补充检验方法和检验项目批准件2009029、211008、2013001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477</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盐酸二甲双胍</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国家食品药品监督管理局药品检验补充检验方法和检验项目批准件2009029、211008、2013001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478</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盐酸可乐定</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国家食品药品监督管理局药品检验补充检验方法和检验项目批准件2009032、2014008</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479</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异戊巴比妥</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480</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扎来普隆</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481</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总汞（Hg）</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5009.17</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16740</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482</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总砷（As）</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5009.11</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GB 16740</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6"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483</w:t>
            </w:r>
          </w:p>
        </w:tc>
        <w:tc>
          <w:tcPr>
            <w:tcW w:w="203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佐匹克隆</w:t>
            </w:r>
          </w:p>
        </w:tc>
        <w:tc>
          <w:tcPr>
            <w:tcW w:w="1056"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保健食品</w:t>
            </w:r>
          </w:p>
        </w:tc>
        <w:tc>
          <w:tcPr>
            <w:tcW w:w="2172"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国家食品药品监督管理局药品检验补充检验方法和检验项目批准件2012004、2009024、2013002</w:t>
            </w:r>
          </w:p>
        </w:tc>
        <w:tc>
          <w:tcPr>
            <w:tcW w:w="1608" w:type="dxa"/>
            <w:tcBorders>
              <w:tl2br w:val="nil"/>
              <w:tr2bl w:val="nil"/>
            </w:tcBorders>
            <w:shd w:val="clear" w:color="auto" w:fill="auto"/>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同检测方法</w:t>
            </w:r>
          </w:p>
        </w:tc>
        <w:tc>
          <w:tcPr>
            <w:tcW w:w="8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6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c>
          <w:tcPr>
            <w:tcW w:w="740" w:type="dxa"/>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　</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500" w:type="dxa"/>
            <w:gridSpan w:val="5"/>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r>
              <w:rPr>
                <w:rFonts w:hint="eastAsia" w:ascii="黑体" w:hAnsi="黑体" w:eastAsia="黑体" w:cs="黑体"/>
                <w:b w:val="0"/>
                <w:bCs w:val="0"/>
                <w:color w:val="auto"/>
                <w:sz w:val="20"/>
                <w:szCs w:val="20"/>
                <w:highlight w:val="none"/>
                <w:lang w:val="en-US" w:eastAsia="zh-CN"/>
              </w:rPr>
              <w:t>检测项目单价合计值（元）</w:t>
            </w:r>
          </w:p>
        </w:tc>
        <w:tc>
          <w:tcPr>
            <w:tcW w:w="2340" w:type="dxa"/>
            <w:gridSpan w:val="3"/>
            <w:tcBorders>
              <w:tl2br w:val="nil"/>
              <w:tr2bl w:val="nil"/>
            </w:tcBorders>
            <w:shd w:val="clear" w:color="auto" w:fill="FFFFFF"/>
            <w:noWrap w:val="0"/>
            <w:vAlign w:val="center"/>
          </w:tcPr>
          <w:p>
            <w:pPr>
              <w:spacing w:line="400" w:lineRule="exact"/>
              <w:ind w:firstLine="0" w:firstLineChars="0"/>
              <w:jc w:val="center"/>
              <w:rPr>
                <w:rFonts w:hint="eastAsia" w:ascii="黑体" w:hAnsi="黑体" w:eastAsia="黑体" w:cs="黑体"/>
                <w:b w:val="0"/>
                <w:bCs w:val="0"/>
                <w:color w:val="auto"/>
                <w:sz w:val="20"/>
                <w:szCs w:val="20"/>
                <w:highlight w:val="none"/>
                <w:lang w:val="en-US" w:eastAsia="zh-CN"/>
              </w:rPr>
            </w:pPr>
          </w:p>
        </w:tc>
      </w:tr>
    </w:tbl>
    <w:p>
      <w:pPr>
        <w:pStyle w:val="20"/>
        <w:spacing w:before="0" w:beforeLines="0" w:after="0" w:afterLines="0" w:line="360" w:lineRule="auto"/>
        <w:rPr>
          <w:rFonts w:hint="eastAsia" w:ascii="黑体" w:hAnsi="黑体" w:eastAsia="黑体" w:cs="黑体"/>
          <w:b/>
          <w:bCs/>
          <w:color w:val="auto"/>
          <w:highlight w:val="none"/>
        </w:rPr>
      </w:pPr>
      <w:r>
        <w:rPr>
          <w:rFonts w:hint="eastAsia" w:ascii="黑体" w:hAnsi="黑体" w:eastAsia="黑体" w:cs="黑体"/>
          <w:b/>
          <w:bCs/>
          <w:color w:val="auto"/>
          <w:highlight w:val="none"/>
        </w:rPr>
        <w:t>注：如以上检测方法和判定依据（标准）与现行最新规定不符的，应以现行最新的检测方法和判定依据（标准）为准，并在此基础上对上述检测项目进行报价。</w:t>
      </w:r>
    </w:p>
    <w:p>
      <w:pPr>
        <w:pStyle w:val="20"/>
        <w:spacing w:before="0" w:beforeLines="0" w:after="0" w:afterLines="0" w:line="360" w:lineRule="auto"/>
        <w:rPr>
          <w:rFonts w:hint="eastAsia" w:ascii="黑体" w:hAnsi="黑体" w:eastAsia="黑体" w:cs="黑体"/>
          <w:b/>
          <w:bCs/>
          <w:color w:val="auto"/>
          <w:highlight w:val="none"/>
        </w:rPr>
      </w:pPr>
    </w:p>
    <w:p>
      <w:pPr>
        <w:spacing w:line="360" w:lineRule="auto"/>
        <w:ind w:firstLine="5520" w:firstLineChars="23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供应商：</w:t>
      </w:r>
      <w:r>
        <w:rPr>
          <w:rFonts w:hint="eastAsia" w:ascii="黑体" w:hAnsi="黑体" w:eastAsia="黑体" w:cs="黑体"/>
          <w:color w:val="auto"/>
          <w:highlight w:val="none"/>
          <w:u w:val="single"/>
        </w:rPr>
        <w:t xml:space="preserve">                  （盖章）</w:t>
      </w:r>
    </w:p>
    <w:p>
      <w:pPr>
        <w:spacing w:line="360" w:lineRule="auto"/>
        <w:ind w:firstLine="3600" w:firstLineChars="15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法定代表人或授权委托人：</w:t>
      </w:r>
      <w:r>
        <w:rPr>
          <w:rFonts w:hint="eastAsia" w:ascii="黑体" w:hAnsi="黑体" w:eastAsia="黑体" w:cs="黑体"/>
          <w:color w:val="auto"/>
          <w:highlight w:val="none"/>
          <w:u w:val="single"/>
        </w:rPr>
        <w:t xml:space="preserve">               （签字或盖章）</w:t>
      </w:r>
    </w:p>
    <w:p>
      <w:pPr>
        <w:spacing w:line="360" w:lineRule="auto"/>
        <w:ind w:firstLine="5760" w:firstLineChars="2400"/>
        <w:rPr>
          <w:rFonts w:hint="eastAsia" w:ascii="黑体" w:hAnsi="黑体" w:eastAsia="黑体" w:cs="黑体"/>
          <w:color w:val="auto"/>
          <w:highlight w:val="none"/>
        </w:rPr>
      </w:pPr>
      <w:r>
        <w:rPr>
          <w:rFonts w:hint="eastAsia" w:ascii="黑体" w:hAnsi="黑体" w:eastAsia="黑体" w:cs="黑体"/>
          <w:color w:val="auto"/>
          <w:highlight w:val="none"/>
        </w:rPr>
        <w:t>日期：    年   月  日</w:t>
      </w:r>
    </w:p>
    <w:p>
      <w:pPr>
        <w:snapToGrid w:val="0"/>
        <w:spacing w:line="360" w:lineRule="auto"/>
        <w:ind w:left="174" w:hanging="173" w:hangingChars="62"/>
        <w:rPr>
          <w:rFonts w:hint="eastAsia" w:ascii="黑体" w:hAnsi="黑体" w:eastAsia="黑体" w:cs="黑体"/>
          <w:color w:val="auto"/>
          <w:spacing w:val="20"/>
          <w:sz w:val="24"/>
          <w:highlight w:val="none"/>
          <w:u w:val="single"/>
        </w:rPr>
      </w:pPr>
      <w:r>
        <w:rPr>
          <w:rFonts w:hint="eastAsia" w:ascii="黑体" w:hAnsi="黑体" w:eastAsia="黑体" w:cs="黑体"/>
          <w:color w:val="auto"/>
          <w:spacing w:val="20"/>
          <w:sz w:val="24"/>
          <w:highlight w:val="none"/>
          <w:u w:val="single"/>
        </w:rPr>
        <w:t xml:space="preserve">     </w:t>
      </w: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rPr>
      </w:pPr>
    </w:p>
    <w:p>
      <w:pPr>
        <w:adjustRightInd w:val="0"/>
        <w:snapToGrid w:val="0"/>
        <w:spacing w:line="360" w:lineRule="auto"/>
        <w:ind w:firstLine="0" w:firstLineChars="0"/>
        <w:rPr>
          <w:rFonts w:hint="eastAsia" w:ascii="黑体" w:hAnsi="黑体" w:eastAsia="黑体" w:cs="黑体"/>
          <w:bCs/>
          <w:color w:val="auto"/>
          <w:szCs w:val="24"/>
          <w:highlight w:val="none"/>
          <w:lang w:eastAsia="zh-CN"/>
        </w:rPr>
      </w:pPr>
      <w:r>
        <w:rPr>
          <w:rFonts w:hint="eastAsia" w:ascii="黑体" w:hAnsi="黑体" w:eastAsia="黑体" w:cs="黑体"/>
          <w:bCs/>
          <w:color w:val="auto"/>
          <w:szCs w:val="24"/>
          <w:highlight w:val="none"/>
        </w:rPr>
        <w:t>附件1</w:t>
      </w:r>
      <w:r>
        <w:rPr>
          <w:rFonts w:hint="eastAsia" w:ascii="黑体" w:hAnsi="黑体" w:eastAsia="黑体" w:cs="黑体"/>
          <w:bCs/>
          <w:color w:val="auto"/>
          <w:szCs w:val="24"/>
          <w:highlight w:val="none"/>
          <w:lang w:val="en-US" w:eastAsia="zh-CN"/>
        </w:rPr>
        <w:t>5</w:t>
      </w:r>
    </w:p>
    <w:p>
      <w:pPr>
        <w:pStyle w:val="9"/>
        <w:spacing w:before="120" w:after="120"/>
        <w:rPr>
          <w:rFonts w:hint="eastAsia" w:ascii="黑体" w:hAnsi="黑体" w:eastAsia="黑体" w:cs="黑体"/>
          <w:color w:val="auto"/>
          <w:highlight w:val="none"/>
        </w:rPr>
      </w:pPr>
      <w:bookmarkStart w:id="202" w:name="_Toc69224260"/>
      <w:r>
        <w:rPr>
          <w:rFonts w:hint="eastAsia" w:ascii="黑体" w:hAnsi="黑体" w:eastAsia="黑体" w:cs="黑体"/>
          <w:color w:val="auto"/>
          <w:highlight w:val="none"/>
        </w:rPr>
        <w:t>小微企业声明函</w:t>
      </w:r>
      <w:bookmarkEnd w:id="202"/>
    </w:p>
    <w:p>
      <w:pPr>
        <w:spacing w:line="36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本公司郑重声明，根据《政府采购促进中小企业发展暂行办法》（财库〔2011〕181号）的规定，本公司为</w:t>
      </w:r>
      <w:r>
        <w:rPr>
          <w:rFonts w:hint="eastAsia" w:ascii="黑体" w:hAnsi="黑体" w:eastAsia="黑体" w:cs="黑体"/>
          <w:color w:val="auto"/>
          <w:highlight w:val="none"/>
          <w:u w:val="single"/>
        </w:rPr>
        <w:t>（请填写：小型、微型）</w:t>
      </w:r>
      <w:r>
        <w:rPr>
          <w:rFonts w:hint="eastAsia" w:ascii="黑体" w:hAnsi="黑体" w:eastAsia="黑体" w:cs="黑体"/>
          <w:color w:val="auto"/>
          <w:highlight w:val="none"/>
        </w:rPr>
        <w:t>企业。即，本公司同时满足以下条件：</w:t>
      </w:r>
    </w:p>
    <w:p>
      <w:pPr>
        <w:spacing w:line="360" w:lineRule="exact"/>
        <w:ind w:firstLine="360" w:firstLineChars="150"/>
        <w:rPr>
          <w:rFonts w:hint="eastAsia" w:ascii="黑体" w:hAnsi="黑体" w:eastAsia="黑体" w:cs="黑体"/>
          <w:color w:val="auto"/>
          <w:highlight w:val="none"/>
        </w:rPr>
      </w:pPr>
      <w:r>
        <w:rPr>
          <w:rFonts w:hint="eastAsia" w:ascii="黑体" w:hAnsi="黑体" w:eastAsia="黑体" w:cs="黑体"/>
          <w:color w:val="auto"/>
          <w:highlight w:val="none"/>
        </w:rPr>
        <w:t>1.根据《工业和信息化部、国家统计局、国家发展和改革委员会、财政部关于印发中小企业划型标准规定的通知》（工信部联企业〔2011〕300号）规定的划分标准，本公司为</w:t>
      </w:r>
      <w:r>
        <w:rPr>
          <w:rFonts w:hint="eastAsia" w:ascii="黑体" w:hAnsi="黑体" w:eastAsia="黑体" w:cs="黑体"/>
          <w:color w:val="auto"/>
          <w:highlight w:val="none"/>
          <w:u w:val="single"/>
        </w:rPr>
        <w:t>（请填写：小型、微型）</w:t>
      </w:r>
      <w:r>
        <w:rPr>
          <w:rFonts w:hint="eastAsia" w:ascii="黑体" w:hAnsi="黑体" w:eastAsia="黑体" w:cs="黑体"/>
          <w:color w:val="auto"/>
          <w:highlight w:val="none"/>
        </w:rPr>
        <w:t>企业。</w:t>
      </w:r>
    </w:p>
    <w:p>
      <w:pPr>
        <w:spacing w:line="360" w:lineRule="exact"/>
        <w:ind w:firstLine="360" w:firstLineChars="150"/>
        <w:rPr>
          <w:rFonts w:hint="eastAsia" w:ascii="黑体" w:hAnsi="黑体" w:eastAsia="黑体" w:cs="黑体"/>
          <w:color w:val="auto"/>
          <w:highlight w:val="none"/>
        </w:rPr>
      </w:pPr>
      <w:r>
        <w:rPr>
          <w:rFonts w:hint="eastAsia" w:ascii="黑体" w:hAnsi="黑体" w:eastAsia="黑体" w:cs="黑体"/>
          <w:color w:val="auto"/>
          <w:highlight w:val="none"/>
        </w:rPr>
        <w:t>2.本公司参加             单位的           项目采购活动提供本企业制造的货物，由本企业承担工程、提供服务，或者提供其他</w:t>
      </w:r>
      <w:r>
        <w:rPr>
          <w:rFonts w:hint="eastAsia" w:ascii="黑体" w:hAnsi="黑体" w:eastAsia="黑体" w:cs="黑体"/>
          <w:color w:val="auto"/>
          <w:highlight w:val="none"/>
          <w:u w:val="single"/>
        </w:rPr>
        <w:t>（请填写：小型、微型）</w:t>
      </w:r>
      <w:r>
        <w:rPr>
          <w:rFonts w:hint="eastAsia" w:ascii="黑体" w:hAnsi="黑体" w:eastAsia="黑体" w:cs="黑体"/>
          <w:color w:val="auto"/>
          <w:highlight w:val="none"/>
        </w:rPr>
        <w:t>企业制造的货物。本条所称货物不包括使用大型企业注册商标的货物。</w:t>
      </w:r>
    </w:p>
    <w:p>
      <w:pPr>
        <w:spacing w:line="360" w:lineRule="exact"/>
        <w:ind w:firstLine="360" w:firstLineChars="150"/>
        <w:rPr>
          <w:rFonts w:hint="eastAsia" w:ascii="黑体" w:hAnsi="黑体" w:eastAsia="黑体" w:cs="黑体"/>
          <w:color w:val="auto"/>
          <w:highlight w:val="none"/>
        </w:rPr>
      </w:pPr>
      <w:r>
        <w:rPr>
          <w:rFonts w:hint="eastAsia" w:ascii="黑体" w:hAnsi="黑体" w:eastAsia="黑体" w:cs="黑体"/>
          <w:color w:val="auto"/>
          <w:highlight w:val="none"/>
        </w:rPr>
        <w:t>本公司对上述声明的真实性负责。如有虚假，将依法承担相应责任。</w:t>
      </w:r>
    </w:p>
    <w:p>
      <w:pPr>
        <w:spacing w:line="360" w:lineRule="exact"/>
        <w:ind w:firstLine="480"/>
        <w:rPr>
          <w:rFonts w:hint="eastAsia" w:ascii="黑体" w:hAnsi="黑体" w:eastAsia="黑体" w:cs="黑体"/>
          <w:color w:val="auto"/>
          <w:highlight w:val="none"/>
          <w:lang w:val="zh-CN"/>
        </w:rPr>
      </w:pPr>
    </w:p>
    <w:p>
      <w:pPr>
        <w:spacing w:line="360" w:lineRule="exact"/>
        <w:ind w:firstLine="480"/>
        <w:rPr>
          <w:rFonts w:hint="eastAsia" w:ascii="黑体" w:hAnsi="黑体" w:eastAsia="黑体" w:cs="黑体"/>
          <w:color w:val="auto"/>
          <w:highlight w:val="none"/>
          <w:lang w:val="zh-CN"/>
        </w:rPr>
      </w:pPr>
    </w:p>
    <w:p>
      <w:pPr>
        <w:spacing w:line="36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 xml:space="preserve"> </w:t>
      </w:r>
    </w:p>
    <w:p>
      <w:pPr>
        <w:spacing w:line="360" w:lineRule="auto"/>
        <w:ind w:firstLine="5520" w:firstLineChars="23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供应商：</w:t>
      </w:r>
      <w:r>
        <w:rPr>
          <w:rFonts w:hint="eastAsia" w:ascii="黑体" w:hAnsi="黑体" w:eastAsia="黑体" w:cs="黑体"/>
          <w:color w:val="auto"/>
          <w:highlight w:val="none"/>
          <w:u w:val="single"/>
        </w:rPr>
        <w:t xml:space="preserve">                  （盖章）</w:t>
      </w:r>
    </w:p>
    <w:p>
      <w:pPr>
        <w:spacing w:line="360" w:lineRule="auto"/>
        <w:ind w:firstLine="3600" w:firstLineChars="1500"/>
        <w:textAlignment w:val="baseline"/>
        <w:rPr>
          <w:rFonts w:hint="eastAsia" w:ascii="黑体" w:hAnsi="黑体" w:eastAsia="黑体" w:cs="黑体"/>
          <w:color w:val="auto"/>
          <w:highlight w:val="none"/>
          <w:u w:val="single"/>
        </w:rPr>
      </w:pPr>
      <w:r>
        <w:rPr>
          <w:rFonts w:hint="eastAsia" w:ascii="黑体" w:hAnsi="黑体" w:eastAsia="黑体" w:cs="黑体"/>
          <w:color w:val="auto"/>
          <w:highlight w:val="none"/>
        </w:rPr>
        <w:t>法定代表人或授权委托人：</w:t>
      </w:r>
      <w:r>
        <w:rPr>
          <w:rFonts w:hint="eastAsia" w:ascii="黑体" w:hAnsi="黑体" w:eastAsia="黑体" w:cs="黑体"/>
          <w:color w:val="auto"/>
          <w:highlight w:val="none"/>
          <w:u w:val="single"/>
        </w:rPr>
        <w:t xml:space="preserve">               （签字或盖章）</w:t>
      </w:r>
    </w:p>
    <w:p>
      <w:pPr>
        <w:spacing w:line="360" w:lineRule="auto"/>
        <w:ind w:firstLine="5760" w:firstLineChars="2400"/>
        <w:rPr>
          <w:rFonts w:hint="eastAsia" w:ascii="黑体" w:hAnsi="黑体" w:eastAsia="黑体" w:cs="黑体"/>
          <w:color w:val="auto"/>
          <w:highlight w:val="none"/>
        </w:rPr>
      </w:pPr>
      <w:r>
        <w:rPr>
          <w:rFonts w:hint="eastAsia" w:ascii="黑体" w:hAnsi="黑体" w:eastAsia="黑体" w:cs="黑体"/>
          <w:color w:val="auto"/>
          <w:highlight w:val="none"/>
        </w:rPr>
        <w:t>日期：    年   月  日</w:t>
      </w:r>
    </w:p>
    <w:p>
      <w:pPr>
        <w:spacing w:line="360" w:lineRule="exact"/>
        <w:ind w:firstLine="480"/>
        <w:rPr>
          <w:rFonts w:hint="eastAsia" w:ascii="黑体" w:hAnsi="黑体" w:eastAsia="黑体" w:cs="黑体"/>
          <w:color w:val="auto"/>
          <w:highlight w:val="none"/>
          <w:lang w:val="zh-CN"/>
        </w:rPr>
      </w:pPr>
    </w:p>
    <w:p>
      <w:pPr>
        <w:spacing w:line="36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附：1、所投产品中有中、大型企业提供的不适用于本函。</w:t>
      </w:r>
    </w:p>
    <w:p>
      <w:pPr>
        <w:spacing w:line="36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2、本声明函只适用于投标人。</w:t>
      </w:r>
    </w:p>
    <w:p>
      <w:pPr>
        <w:spacing w:line="36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3、国家企业信用信息公示系统——小微企业名录”开标前一周内页面查询结果并加盖投标单位公章。</w:t>
      </w:r>
    </w:p>
    <w:p>
      <w:pPr>
        <w:spacing w:line="360" w:lineRule="exact"/>
        <w:ind w:firstLine="480"/>
        <w:rPr>
          <w:rFonts w:hint="eastAsia" w:ascii="黑体" w:hAnsi="黑体" w:eastAsia="黑体" w:cs="黑体"/>
          <w:b/>
          <w:bCs/>
          <w:color w:val="auto"/>
          <w:highlight w:val="none"/>
        </w:rPr>
      </w:pPr>
      <w:r>
        <w:rPr>
          <w:rFonts w:hint="eastAsia" w:ascii="黑体" w:hAnsi="黑体" w:eastAsia="黑体" w:cs="黑体"/>
          <w:color w:val="auto"/>
          <w:highlight w:val="none"/>
        </w:rPr>
        <w:t>4、说明：投标人属于小型和微型企业的，投标文件中必须同时提供《小微企业声明函》、“国家企业信用信息公示系统——小微企业名录”页面查询结果（查询时间为投标前一周内，并加盖投标单位公章）。以上材料不完整提供，不予得分。</w:t>
      </w:r>
    </w:p>
    <w:p>
      <w:pPr>
        <w:ind w:firstLine="640"/>
        <w:jc w:val="center"/>
        <w:rPr>
          <w:rFonts w:hint="eastAsia" w:ascii="黑体" w:hAnsi="黑体" w:eastAsia="黑体" w:cs="黑体"/>
          <w:bCs/>
          <w:color w:val="auto"/>
          <w:sz w:val="32"/>
          <w:szCs w:val="32"/>
          <w:highlight w:val="none"/>
        </w:rPr>
      </w:pPr>
    </w:p>
    <w:p>
      <w:pPr>
        <w:snapToGrid w:val="0"/>
        <w:ind w:firstLine="0" w:firstLineChars="0"/>
        <w:jc w:val="center"/>
        <w:rPr>
          <w:rFonts w:hint="eastAsia" w:ascii="黑体" w:hAnsi="黑体" w:eastAsia="黑体" w:cs="黑体"/>
          <w:color w:val="auto"/>
          <w:sz w:val="32"/>
          <w:szCs w:val="32"/>
          <w:highlight w:val="none"/>
        </w:rPr>
      </w:pPr>
    </w:p>
    <w:p>
      <w:pPr>
        <w:snapToGrid w:val="0"/>
        <w:ind w:firstLine="0" w:firstLineChars="0"/>
        <w:jc w:val="center"/>
        <w:rPr>
          <w:rFonts w:hint="eastAsia" w:ascii="黑体" w:hAnsi="黑体" w:eastAsia="黑体" w:cs="黑体"/>
          <w:color w:val="auto"/>
          <w:sz w:val="32"/>
          <w:szCs w:val="32"/>
          <w:highlight w:val="none"/>
        </w:rPr>
      </w:pPr>
    </w:p>
    <w:p>
      <w:pPr>
        <w:snapToGrid w:val="0"/>
        <w:ind w:firstLine="0" w:firstLineChars="0"/>
        <w:jc w:val="center"/>
        <w:rPr>
          <w:rFonts w:hint="eastAsia" w:ascii="黑体" w:hAnsi="黑体" w:eastAsia="黑体" w:cs="黑体"/>
          <w:color w:val="auto"/>
          <w:sz w:val="32"/>
          <w:szCs w:val="32"/>
          <w:highlight w:val="none"/>
        </w:rPr>
      </w:pPr>
    </w:p>
    <w:p>
      <w:pPr>
        <w:snapToGrid w:val="0"/>
        <w:ind w:firstLine="0" w:firstLineChars="0"/>
        <w:jc w:val="center"/>
        <w:rPr>
          <w:rFonts w:hint="eastAsia" w:ascii="黑体" w:hAnsi="黑体" w:eastAsia="黑体" w:cs="黑体"/>
          <w:color w:val="auto"/>
          <w:sz w:val="32"/>
          <w:szCs w:val="32"/>
          <w:highlight w:val="none"/>
        </w:rPr>
      </w:pPr>
    </w:p>
    <w:p>
      <w:pPr>
        <w:snapToGrid w:val="0"/>
        <w:ind w:firstLine="0" w:firstLineChars="0"/>
        <w:jc w:val="center"/>
        <w:rPr>
          <w:rFonts w:hint="eastAsia" w:ascii="黑体" w:hAnsi="黑体" w:eastAsia="黑体" w:cs="黑体"/>
          <w:color w:val="auto"/>
          <w:sz w:val="32"/>
          <w:szCs w:val="32"/>
          <w:highlight w:val="none"/>
        </w:rPr>
      </w:pPr>
    </w:p>
    <w:p>
      <w:pPr>
        <w:ind w:left="0" w:leftChars="0" w:firstLine="0" w:firstLineChars="0"/>
        <w:jc w:val="both"/>
        <w:rPr>
          <w:rFonts w:hint="eastAsia" w:ascii="黑体" w:hAnsi="黑体" w:eastAsia="黑体" w:cs="黑体"/>
          <w:color w:val="auto"/>
          <w:sz w:val="36"/>
          <w:szCs w:val="36"/>
          <w:highlight w:val="none"/>
          <w:lang w:eastAsia="zh-CN"/>
        </w:rPr>
      </w:pPr>
    </w:p>
    <w:p>
      <w:pPr>
        <w:ind w:firstLine="720"/>
        <w:jc w:val="center"/>
        <w:rPr>
          <w:rFonts w:hint="eastAsia" w:ascii="黑体" w:hAnsi="黑体" w:eastAsia="黑体" w:cs="黑体"/>
          <w:color w:val="auto"/>
          <w:sz w:val="36"/>
          <w:szCs w:val="36"/>
          <w:highlight w:val="none"/>
          <w:lang w:eastAsia="zh-CN"/>
        </w:rPr>
      </w:pPr>
    </w:p>
    <w:p>
      <w:pPr>
        <w:ind w:firstLine="720"/>
        <w:jc w:val="center"/>
        <w:rPr>
          <w:rFonts w:hint="eastAsia" w:ascii="黑体" w:hAnsi="黑体" w:eastAsia="黑体" w:cs="黑体"/>
          <w:color w:val="auto"/>
          <w:sz w:val="36"/>
          <w:szCs w:val="36"/>
          <w:highlight w:val="none"/>
          <w:lang w:eastAsia="zh-CN"/>
        </w:rPr>
      </w:pPr>
    </w:p>
    <w:p>
      <w:pPr>
        <w:ind w:firstLine="720"/>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lang w:eastAsia="zh-CN"/>
        </w:rPr>
        <w:t>监</w:t>
      </w:r>
      <w:r>
        <w:rPr>
          <w:rFonts w:hint="eastAsia" w:ascii="黑体" w:hAnsi="黑体" w:eastAsia="黑体" w:cs="黑体"/>
          <w:color w:val="auto"/>
          <w:sz w:val="36"/>
          <w:szCs w:val="36"/>
          <w:highlight w:val="none"/>
        </w:rPr>
        <w:t>狱企业声明函</w:t>
      </w:r>
    </w:p>
    <w:p>
      <w:pPr>
        <w:autoSpaceDE w:val="0"/>
        <w:autoSpaceDN w:val="0"/>
        <w:spacing w:afterLines="100" w:line="500" w:lineRule="exact"/>
        <w:ind w:firstLine="480"/>
        <w:jc w:val="center"/>
        <w:rPr>
          <w:rFonts w:hint="eastAsia" w:ascii="黑体" w:hAnsi="黑体" w:eastAsia="黑体" w:cs="黑体"/>
          <w:bCs/>
          <w:color w:val="auto"/>
          <w:highlight w:val="none"/>
          <w:lang w:val="zh-CN"/>
        </w:rPr>
      </w:pPr>
      <w:r>
        <w:rPr>
          <w:rFonts w:hint="eastAsia" w:ascii="黑体" w:hAnsi="黑体" w:eastAsia="黑体" w:cs="黑体"/>
          <w:bCs/>
          <w:color w:val="auto"/>
          <w:highlight w:val="none"/>
          <w:lang w:val="zh-CN"/>
        </w:rPr>
        <w:t>【非监狱企业不需提供】</w:t>
      </w:r>
    </w:p>
    <w:p>
      <w:pPr>
        <w:spacing w:line="50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本企业郑重声明，根据《关于政府采购支持监狱企业发展有关问题的通知》（财库[2014]68号）的规定，本企业为</w:t>
      </w:r>
      <w:r>
        <w:rPr>
          <w:rFonts w:hint="eastAsia" w:ascii="黑体" w:hAnsi="黑体" w:eastAsia="黑体" w:cs="黑体"/>
          <w:color w:val="auto"/>
          <w:highlight w:val="none"/>
          <w:u w:val="single"/>
        </w:rPr>
        <w:t>监狱企业</w:t>
      </w:r>
      <w:r>
        <w:rPr>
          <w:rFonts w:hint="eastAsia" w:ascii="黑体" w:hAnsi="黑体" w:eastAsia="黑体" w:cs="黑体"/>
          <w:color w:val="auto"/>
          <w:highlight w:val="none"/>
        </w:rPr>
        <w:t>。</w:t>
      </w:r>
    </w:p>
    <w:p>
      <w:pPr>
        <w:spacing w:line="50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根据上述标准，我企业属于</w:t>
      </w:r>
      <w:r>
        <w:rPr>
          <w:rFonts w:hint="eastAsia" w:ascii="黑体" w:hAnsi="黑体" w:eastAsia="黑体" w:cs="黑体"/>
          <w:color w:val="auto"/>
          <w:highlight w:val="none"/>
          <w:u w:val="single"/>
        </w:rPr>
        <w:t>监狱企业</w:t>
      </w:r>
      <w:r>
        <w:rPr>
          <w:rFonts w:hint="eastAsia" w:ascii="黑体" w:hAnsi="黑体" w:eastAsia="黑体" w:cs="黑体"/>
          <w:color w:val="auto"/>
          <w:highlight w:val="none"/>
        </w:rPr>
        <w:t>的理由为：</w:t>
      </w:r>
    </w:p>
    <w:p>
      <w:pPr>
        <w:spacing w:line="50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本企业为参加（项目名称：）（项目编号：）采购活动提供本企业的产品。</w:t>
      </w:r>
    </w:p>
    <w:p>
      <w:pPr>
        <w:spacing w:line="50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本企业对上述声明的真实性负责。如有虚假，将依法承担相应责任。</w:t>
      </w:r>
    </w:p>
    <w:p>
      <w:pPr>
        <w:spacing w:line="500" w:lineRule="exact"/>
        <w:ind w:firstLine="480"/>
        <w:jc w:val="center"/>
        <w:rPr>
          <w:rFonts w:hint="eastAsia" w:ascii="黑体" w:hAnsi="黑体" w:eastAsia="黑体" w:cs="黑体"/>
          <w:color w:val="auto"/>
          <w:highlight w:val="none"/>
        </w:rPr>
      </w:pPr>
    </w:p>
    <w:p>
      <w:pPr>
        <w:spacing w:line="500" w:lineRule="exact"/>
        <w:ind w:firstLine="480"/>
        <w:jc w:val="center"/>
        <w:rPr>
          <w:rFonts w:hint="eastAsia" w:ascii="黑体" w:hAnsi="黑体" w:eastAsia="黑体" w:cs="黑体"/>
          <w:color w:val="auto"/>
          <w:highlight w:val="none"/>
        </w:rPr>
      </w:pPr>
    </w:p>
    <w:p>
      <w:pPr>
        <w:spacing w:line="500" w:lineRule="exact"/>
        <w:ind w:firstLine="480"/>
        <w:rPr>
          <w:rFonts w:hint="eastAsia" w:ascii="黑体" w:hAnsi="黑体" w:eastAsia="黑体" w:cs="黑体"/>
          <w:color w:val="auto"/>
          <w:highlight w:val="none"/>
        </w:rPr>
      </w:pPr>
    </w:p>
    <w:p>
      <w:pPr>
        <w:spacing w:line="360" w:lineRule="auto"/>
        <w:ind w:firstLine="5760" w:firstLineChars="2400"/>
        <w:textAlignment w:val="baseline"/>
        <w:rPr>
          <w:rFonts w:hint="eastAsia" w:ascii="黑体" w:hAnsi="黑体" w:eastAsia="黑体" w:cs="黑体"/>
          <w:color w:val="auto"/>
          <w:szCs w:val="24"/>
          <w:highlight w:val="none"/>
          <w:u w:val="single"/>
        </w:rPr>
      </w:pPr>
      <w:r>
        <w:rPr>
          <w:rFonts w:hint="eastAsia" w:ascii="黑体" w:hAnsi="黑体" w:eastAsia="黑体" w:cs="黑体"/>
          <w:color w:val="auto"/>
          <w:highlight w:val="none"/>
        </w:rPr>
        <w:pict>
          <v:shape id="_x0000_s2055" o:spid="_x0000_s2055" o:spt="136" type="#_x0000_t136" style="position:absolute;left:0pt;margin-left:-99.7pt;margin-top:313.85pt;height:62.45pt;width:624.6pt;mso-position-horizontal-relative:margin;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欧邦工程管理有限公司" style="font-family:宋体;font-size:8pt;v-text-align:center;"/>
          </v:shape>
        </w:pict>
      </w:r>
      <w:r>
        <w:rPr>
          <w:rFonts w:hint="eastAsia" w:ascii="黑体" w:hAnsi="黑体" w:eastAsia="黑体" w:cs="黑体"/>
          <w:color w:val="auto"/>
          <w:szCs w:val="24"/>
          <w:highlight w:val="none"/>
        </w:rPr>
        <w:t>供应商：</w:t>
      </w:r>
      <w:r>
        <w:rPr>
          <w:rFonts w:hint="eastAsia" w:ascii="黑体" w:hAnsi="黑体" w:eastAsia="黑体" w:cs="黑体"/>
          <w:color w:val="auto"/>
          <w:szCs w:val="24"/>
          <w:highlight w:val="none"/>
          <w:u w:val="single"/>
        </w:rPr>
        <w:t xml:space="preserve">            （盖章）</w:t>
      </w:r>
    </w:p>
    <w:p>
      <w:pPr>
        <w:spacing w:line="360" w:lineRule="auto"/>
        <w:ind w:firstLine="3840" w:firstLineChars="1600"/>
        <w:textAlignment w:val="baseline"/>
        <w:rPr>
          <w:rFonts w:hint="eastAsia" w:ascii="黑体" w:hAnsi="黑体" w:eastAsia="黑体" w:cs="黑体"/>
          <w:color w:val="auto"/>
          <w:szCs w:val="24"/>
          <w:highlight w:val="none"/>
          <w:u w:val="single"/>
        </w:rPr>
      </w:pPr>
      <w:r>
        <w:rPr>
          <w:rFonts w:hint="eastAsia" w:ascii="黑体" w:hAnsi="黑体" w:eastAsia="黑体" w:cs="黑体"/>
          <w:color w:val="auto"/>
          <w:szCs w:val="24"/>
          <w:highlight w:val="none"/>
        </w:rPr>
        <w:t>法定代表人或授权委托人：</w:t>
      </w:r>
      <w:r>
        <w:rPr>
          <w:rFonts w:hint="eastAsia" w:ascii="黑体" w:hAnsi="黑体" w:eastAsia="黑体" w:cs="黑体"/>
          <w:color w:val="auto"/>
          <w:szCs w:val="24"/>
          <w:highlight w:val="none"/>
          <w:u w:val="single"/>
        </w:rPr>
        <w:t xml:space="preserve">      （签字或盖章）</w:t>
      </w:r>
    </w:p>
    <w:p>
      <w:pPr>
        <w:ind w:firstLine="6000" w:firstLineChars="2500"/>
        <w:rPr>
          <w:rFonts w:hint="eastAsia" w:ascii="黑体" w:hAnsi="黑体" w:eastAsia="黑体" w:cs="黑体"/>
          <w:color w:val="auto"/>
          <w:szCs w:val="24"/>
          <w:highlight w:val="none"/>
        </w:rPr>
      </w:pPr>
      <w:r>
        <w:rPr>
          <w:rFonts w:hint="eastAsia" w:ascii="黑体" w:hAnsi="黑体" w:eastAsia="黑体" w:cs="黑体"/>
          <w:color w:val="auto"/>
          <w:szCs w:val="24"/>
          <w:highlight w:val="none"/>
        </w:rPr>
        <w:t>日期：    年   月   日</w:t>
      </w:r>
    </w:p>
    <w:p>
      <w:pPr>
        <w:spacing w:line="500" w:lineRule="exact"/>
        <w:ind w:firstLine="480"/>
        <w:rPr>
          <w:rFonts w:hint="eastAsia" w:ascii="黑体" w:hAnsi="黑体" w:eastAsia="黑体" w:cs="黑体"/>
          <w:color w:val="auto"/>
          <w:highlight w:val="none"/>
        </w:rPr>
      </w:pPr>
    </w:p>
    <w:p>
      <w:pPr>
        <w:spacing w:line="500" w:lineRule="exact"/>
        <w:ind w:firstLine="480"/>
        <w:rPr>
          <w:rFonts w:hint="eastAsia" w:ascii="黑体" w:hAnsi="黑体" w:eastAsia="黑体" w:cs="黑体"/>
          <w:color w:val="auto"/>
          <w:highlight w:val="none"/>
        </w:rPr>
      </w:pPr>
    </w:p>
    <w:p>
      <w:pPr>
        <w:spacing w:line="50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供应商为监狱企业的提供此函。</w:t>
      </w:r>
    </w:p>
    <w:p>
      <w:pPr>
        <w:spacing w:line="500" w:lineRule="exact"/>
        <w:ind w:firstLine="480"/>
        <w:rPr>
          <w:rFonts w:hint="eastAsia" w:ascii="黑体" w:hAnsi="黑体" w:eastAsia="黑体" w:cs="黑体"/>
          <w:bCs/>
          <w:color w:val="auto"/>
          <w:szCs w:val="21"/>
          <w:highlight w:val="none"/>
          <w:lang w:val="zh-CN"/>
        </w:rPr>
      </w:pPr>
      <w:r>
        <w:rPr>
          <w:rFonts w:hint="eastAsia" w:ascii="黑体" w:hAnsi="黑体" w:eastAsia="黑体" w:cs="黑体"/>
          <w:color w:val="auto"/>
          <w:highlight w:val="none"/>
        </w:rPr>
        <w:t>监狱企业参加政府采购活动时，应当提供由省级以上监狱管理局、戒毒管理局（含新疆生产建设兵团）出具的属于监狱企业的证明文件。</w:t>
      </w:r>
    </w:p>
    <w:p>
      <w:pPr>
        <w:ind w:firstLine="720"/>
        <w:rPr>
          <w:rFonts w:hint="eastAsia" w:ascii="黑体" w:hAnsi="黑体" w:eastAsia="黑体" w:cs="黑体"/>
          <w:color w:val="auto"/>
          <w:sz w:val="36"/>
          <w:szCs w:val="36"/>
          <w:highlight w:val="none"/>
        </w:rPr>
      </w:pPr>
    </w:p>
    <w:p>
      <w:pPr>
        <w:snapToGrid w:val="0"/>
        <w:ind w:firstLine="0" w:firstLineChars="0"/>
        <w:rPr>
          <w:rFonts w:hint="eastAsia" w:ascii="黑体" w:hAnsi="黑体" w:eastAsia="黑体" w:cs="黑体"/>
          <w:color w:val="auto"/>
          <w:sz w:val="32"/>
          <w:szCs w:val="32"/>
          <w:highlight w:val="none"/>
        </w:rPr>
      </w:pPr>
    </w:p>
    <w:p>
      <w:pPr>
        <w:snapToGrid w:val="0"/>
        <w:ind w:firstLine="0" w:firstLineChars="0"/>
        <w:jc w:val="center"/>
        <w:rPr>
          <w:rFonts w:hint="eastAsia" w:ascii="黑体" w:hAnsi="黑体" w:eastAsia="黑体" w:cs="黑体"/>
          <w:color w:val="auto"/>
          <w:sz w:val="32"/>
          <w:szCs w:val="32"/>
          <w:highlight w:val="none"/>
        </w:rPr>
      </w:pPr>
    </w:p>
    <w:p>
      <w:pPr>
        <w:snapToGrid w:val="0"/>
        <w:ind w:firstLine="0" w:firstLineChars="0"/>
        <w:jc w:val="center"/>
        <w:rPr>
          <w:rFonts w:hint="eastAsia" w:ascii="黑体" w:hAnsi="黑体" w:eastAsia="黑体" w:cs="黑体"/>
          <w:color w:val="auto"/>
          <w:sz w:val="32"/>
          <w:szCs w:val="32"/>
          <w:highlight w:val="none"/>
        </w:rPr>
      </w:pPr>
    </w:p>
    <w:p>
      <w:pPr>
        <w:snapToGrid w:val="0"/>
        <w:ind w:firstLine="0" w:firstLineChars="0"/>
        <w:jc w:val="center"/>
        <w:rPr>
          <w:rFonts w:hint="eastAsia" w:ascii="黑体" w:hAnsi="黑体" w:eastAsia="黑体" w:cs="黑体"/>
          <w:color w:val="auto"/>
          <w:sz w:val="32"/>
          <w:szCs w:val="32"/>
          <w:highlight w:val="none"/>
        </w:rPr>
      </w:pPr>
    </w:p>
    <w:p>
      <w:pPr>
        <w:snapToGrid w:val="0"/>
        <w:ind w:firstLine="0" w:firstLineChars="0"/>
        <w:jc w:val="center"/>
        <w:rPr>
          <w:rFonts w:hint="eastAsia" w:ascii="黑体" w:hAnsi="黑体" w:eastAsia="黑体" w:cs="黑体"/>
          <w:color w:val="auto"/>
          <w:sz w:val="32"/>
          <w:szCs w:val="32"/>
          <w:highlight w:val="none"/>
        </w:rPr>
      </w:pPr>
    </w:p>
    <w:p>
      <w:pPr>
        <w:snapToGrid w:val="0"/>
        <w:ind w:firstLine="0" w:firstLineChars="0"/>
        <w:jc w:val="center"/>
        <w:rPr>
          <w:rFonts w:hint="eastAsia" w:ascii="黑体" w:hAnsi="黑体" w:eastAsia="黑体" w:cs="黑体"/>
          <w:color w:val="auto"/>
          <w:sz w:val="32"/>
          <w:szCs w:val="32"/>
          <w:highlight w:val="none"/>
        </w:rPr>
      </w:pPr>
    </w:p>
    <w:bookmarkEnd w:id="175"/>
    <w:bookmarkEnd w:id="176"/>
    <w:bookmarkEnd w:id="177"/>
    <w:bookmarkEnd w:id="178"/>
    <w:p>
      <w:pPr>
        <w:ind w:left="0" w:leftChars="0" w:firstLine="0" w:firstLineChars="0"/>
        <w:jc w:val="both"/>
        <w:rPr>
          <w:rFonts w:hint="eastAsia" w:ascii="黑体" w:hAnsi="黑体" w:eastAsia="黑体" w:cs="黑体"/>
          <w:color w:val="auto"/>
          <w:sz w:val="36"/>
          <w:szCs w:val="36"/>
          <w:highlight w:val="none"/>
        </w:rPr>
      </w:pPr>
    </w:p>
    <w:p>
      <w:pPr>
        <w:ind w:firstLine="720"/>
        <w:jc w:val="center"/>
        <w:rPr>
          <w:rFonts w:hint="eastAsia" w:ascii="黑体" w:hAnsi="黑体" w:eastAsia="黑体" w:cs="黑体"/>
          <w:color w:val="auto"/>
          <w:sz w:val="36"/>
          <w:szCs w:val="36"/>
          <w:highlight w:val="none"/>
        </w:rPr>
      </w:pPr>
    </w:p>
    <w:p>
      <w:pPr>
        <w:ind w:firstLine="720"/>
        <w:jc w:val="center"/>
        <w:rPr>
          <w:rFonts w:hint="eastAsia" w:ascii="黑体" w:hAnsi="黑体" w:eastAsia="黑体" w:cs="黑体"/>
          <w:color w:val="auto"/>
          <w:sz w:val="36"/>
          <w:szCs w:val="36"/>
          <w:highlight w:val="none"/>
        </w:rPr>
      </w:pPr>
    </w:p>
    <w:p>
      <w:pPr>
        <w:ind w:firstLine="720"/>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残疾人福利性单位声明函</w:t>
      </w:r>
    </w:p>
    <w:p>
      <w:pPr>
        <w:autoSpaceDE w:val="0"/>
        <w:autoSpaceDN w:val="0"/>
        <w:spacing w:afterLines="100" w:line="500" w:lineRule="exact"/>
        <w:ind w:firstLine="480"/>
        <w:jc w:val="center"/>
        <w:rPr>
          <w:rFonts w:hint="eastAsia" w:ascii="黑体" w:hAnsi="黑体" w:eastAsia="黑体" w:cs="黑体"/>
          <w:bCs/>
          <w:color w:val="auto"/>
          <w:highlight w:val="none"/>
          <w:lang w:val="zh-CN"/>
        </w:rPr>
      </w:pPr>
      <w:r>
        <w:rPr>
          <w:rFonts w:hint="eastAsia" w:ascii="黑体" w:hAnsi="黑体" w:eastAsia="黑体" w:cs="黑体"/>
          <w:bCs/>
          <w:color w:val="auto"/>
          <w:highlight w:val="none"/>
          <w:lang w:val="zh-CN"/>
        </w:rPr>
        <w:t>【非残疾人福利性单位不需提供】</w:t>
      </w:r>
    </w:p>
    <w:p>
      <w:pPr>
        <w:spacing w:line="50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黑体" w:hAnsi="黑体" w:eastAsia="黑体" w:cs="黑体"/>
          <w:color w:val="auto"/>
          <w:highlight w:val="none"/>
          <w:u w:val="single"/>
        </w:rPr>
        <w:t>（采购人名称）</w:t>
      </w:r>
      <w:r>
        <w:rPr>
          <w:rFonts w:hint="eastAsia" w:ascii="黑体" w:hAnsi="黑体" w:eastAsia="黑体" w:cs="黑体"/>
          <w:color w:val="auto"/>
          <w:highlight w:val="none"/>
        </w:rPr>
        <w:t>单位的</w:t>
      </w:r>
      <w:r>
        <w:rPr>
          <w:rFonts w:hint="eastAsia" w:ascii="黑体" w:hAnsi="黑体" w:eastAsia="黑体" w:cs="黑体"/>
          <w:color w:val="auto"/>
          <w:highlight w:val="none"/>
          <w:u w:val="single"/>
        </w:rPr>
        <w:t>（项目名称）</w:t>
      </w:r>
      <w:r>
        <w:rPr>
          <w:rFonts w:hint="eastAsia" w:ascii="黑体" w:hAnsi="黑体" w:eastAsia="黑体" w:cs="黑体"/>
          <w:color w:val="auto"/>
          <w:highlight w:val="none"/>
        </w:rPr>
        <w:t>项目采购活动提供本单位制造的货物（由本单位承担工程/提供服务），或者提供其他残疾人福利性单位制造的货物（不包括使用非残疾人福利性单位注册商标的货物）。</w:t>
      </w:r>
    </w:p>
    <w:p>
      <w:pPr>
        <w:spacing w:line="50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本单位对上述声明的真实性负责。如有虚假，将依法承担相应责任。</w:t>
      </w:r>
    </w:p>
    <w:p>
      <w:pPr>
        <w:spacing w:line="500" w:lineRule="exact"/>
        <w:ind w:firstLine="480"/>
        <w:rPr>
          <w:rFonts w:hint="eastAsia" w:ascii="黑体" w:hAnsi="黑体" w:eastAsia="黑体" w:cs="黑体"/>
          <w:color w:val="auto"/>
          <w:highlight w:val="none"/>
        </w:rPr>
      </w:pPr>
    </w:p>
    <w:p>
      <w:pPr>
        <w:pStyle w:val="20"/>
        <w:tabs>
          <w:tab w:val="left" w:pos="420"/>
        </w:tabs>
        <w:snapToGrid w:val="0"/>
        <w:spacing w:line="500" w:lineRule="exact"/>
        <w:ind w:firstLine="480"/>
        <w:rPr>
          <w:rFonts w:hint="eastAsia" w:ascii="黑体" w:hAnsi="黑体" w:eastAsia="黑体" w:cs="黑体"/>
          <w:color w:val="auto"/>
          <w:highlight w:val="none"/>
        </w:rPr>
      </w:pPr>
    </w:p>
    <w:p>
      <w:pPr>
        <w:spacing w:line="360" w:lineRule="auto"/>
        <w:ind w:firstLine="480"/>
        <w:textAlignment w:val="baseline"/>
        <w:rPr>
          <w:rFonts w:hint="eastAsia" w:ascii="黑体" w:hAnsi="黑体" w:eastAsia="黑体" w:cs="黑体"/>
          <w:color w:val="auto"/>
          <w:szCs w:val="24"/>
          <w:highlight w:val="none"/>
        </w:rPr>
      </w:pPr>
    </w:p>
    <w:p>
      <w:pPr>
        <w:spacing w:line="360" w:lineRule="auto"/>
        <w:ind w:firstLine="4080" w:firstLineChars="1700"/>
        <w:textAlignment w:val="baseline"/>
        <w:rPr>
          <w:rFonts w:hint="eastAsia" w:ascii="黑体" w:hAnsi="黑体" w:eastAsia="黑体" w:cs="黑体"/>
          <w:color w:val="auto"/>
          <w:szCs w:val="24"/>
          <w:highlight w:val="none"/>
        </w:rPr>
      </w:pPr>
    </w:p>
    <w:p>
      <w:pPr>
        <w:spacing w:line="360" w:lineRule="auto"/>
        <w:ind w:firstLine="4080" w:firstLineChars="1700"/>
        <w:textAlignment w:val="baseline"/>
        <w:rPr>
          <w:rFonts w:hint="eastAsia" w:ascii="黑体" w:hAnsi="黑体" w:eastAsia="黑体" w:cs="黑体"/>
          <w:color w:val="auto"/>
          <w:szCs w:val="24"/>
          <w:highlight w:val="none"/>
        </w:rPr>
      </w:pPr>
    </w:p>
    <w:p>
      <w:pPr>
        <w:spacing w:line="360" w:lineRule="auto"/>
        <w:ind w:firstLine="5760" w:firstLineChars="2400"/>
        <w:textAlignment w:val="baseline"/>
        <w:rPr>
          <w:rFonts w:hint="eastAsia" w:ascii="黑体" w:hAnsi="黑体" w:eastAsia="黑体" w:cs="黑体"/>
          <w:color w:val="auto"/>
          <w:szCs w:val="24"/>
          <w:highlight w:val="none"/>
          <w:u w:val="single"/>
        </w:rPr>
      </w:pPr>
      <w:r>
        <w:rPr>
          <w:rFonts w:hint="eastAsia" w:ascii="黑体" w:hAnsi="黑体" w:eastAsia="黑体" w:cs="黑体"/>
          <w:color w:val="auto"/>
          <w:szCs w:val="24"/>
          <w:highlight w:val="none"/>
        </w:rPr>
        <w:t>供应商：</w:t>
      </w:r>
      <w:r>
        <w:rPr>
          <w:rFonts w:hint="eastAsia" w:ascii="黑体" w:hAnsi="黑体" w:eastAsia="黑体" w:cs="黑体"/>
          <w:color w:val="auto"/>
          <w:szCs w:val="24"/>
          <w:highlight w:val="none"/>
          <w:u w:val="single"/>
        </w:rPr>
        <w:t xml:space="preserve">               （盖章）</w:t>
      </w:r>
    </w:p>
    <w:p>
      <w:pPr>
        <w:spacing w:line="360" w:lineRule="auto"/>
        <w:ind w:firstLine="3840" w:firstLineChars="1600"/>
        <w:textAlignment w:val="baseline"/>
        <w:rPr>
          <w:rFonts w:hint="eastAsia" w:ascii="黑体" w:hAnsi="黑体" w:eastAsia="黑体" w:cs="黑体"/>
          <w:color w:val="auto"/>
          <w:szCs w:val="24"/>
          <w:highlight w:val="none"/>
          <w:u w:val="single"/>
        </w:rPr>
      </w:pPr>
      <w:r>
        <w:rPr>
          <w:rFonts w:hint="eastAsia" w:ascii="黑体" w:hAnsi="黑体" w:eastAsia="黑体" w:cs="黑体"/>
          <w:color w:val="auto"/>
          <w:szCs w:val="24"/>
          <w:highlight w:val="none"/>
        </w:rPr>
        <w:t>法定代表人或授权委托人：</w:t>
      </w:r>
      <w:r>
        <w:rPr>
          <w:rFonts w:hint="eastAsia" w:ascii="黑体" w:hAnsi="黑体" w:eastAsia="黑体" w:cs="黑体"/>
          <w:color w:val="auto"/>
          <w:szCs w:val="24"/>
          <w:highlight w:val="none"/>
          <w:u w:val="single"/>
        </w:rPr>
        <w:t xml:space="preserve">            （签字或盖章）</w:t>
      </w:r>
    </w:p>
    <w:p>
      <w:pPr>
        <w:ind w:firstLine="6000" w:firstLineChars="2500"/>
        <w:rPr>
          <w:rFonts w:hint="eastAsia" w:ascii="黑体" w:hAnsi="黑体" w:eastAsia="黑体" w:cs="黑体"/>
          <w:color w:val="auto"/>
          <w:szCs w:val="24"/>
          <w:highlight w:val="none"/>
        </w:rPr>
      </w:pPr>
      <w:r>
        <w:rPr>
          <w:rFonts w:hint="eastAsia" w:ascii="黑体" w:hAnsi="黑体" w:eastAsia="黑体" w:cs="黑体"/>
          <w:color w:val="auto"/>
          <w:szCs w:val="24"/>
          <w:highlight w:val="none"/>
        </w:rPr>
        <w:t>日期：    年   月   日</w:t>
      </w:r>
    </w:p>
    <w:p>
      <w:pPr>
        <w:pStyle w:val="20"/>
        <w:tabs>
          <w:tab w:val="left" w:pos="420"/>
        </w:tabs>
        <w:snapToGrid w:val="0"/>
        <w:spacing w:line="500" w:lineRule="exact"/>
        <w:ind w:firstLine="480"/>
        <w:rPr>
          <w:rFonts w:hint="eastAsia" w:ascii="黑体" w:hAnsi="黑体" w:eastAsia="黑体" w:cs="黑体"/>
          <w:color w:val="auto"/>
          <w:highlight w:val="none"/>
        </w:rPr>
      </w:pPr>
    </w:p>
    <w:p>
      <w:pPr>
        <w:pStyle w:val="20"/>
        <w:tabs>
          <w:tab w:val="left" w:pos="420"/>
        </w:tabs>
        <w:snapToGrid w:val="0"/>
        <w:spacing w:line="500" w:lineRule="exact"/>
        <w:ind w:firstLine="480"/>
        <w:rPr>
          <w:rFonts w:hint="eastAsia" w:ascii="黑体" w:hAnsi="黑体" w:eastAsia="黑体" w:cs="黑体"/>
          <w:color w:val="auto"/>
          <w:highlight w:val="none"/>
        </w:rPr>
      </w:pPr>
    </w:p>
    <w:p>
      <w:pPr>
        <w:pStyle w:val="20"/>
        <w:tabs>
          <w:tab w:val="left" w:pos="420"/>
        </w:tabs>
        <w:snapToGrid w:val="0"/>
        <w:spacing w:line="500" w:lineRule="exact"/>
        <w:ind w:firstLine="480"/>
        <w:rPr>
          <w:rFonts w:hint="eastAsia" w:ascii="黑体" w:hAnsi="黑体" w:eastAsia="黑体" w:cs="黑体"/>
          <w:color w:val="auto"/>
          <w:highlight w:val="none"/>
        </w:rPr>
      </w:pPr>
    </w:p>
    <w:p>
      <w:pPr>
        <w:pStyle w:val="20"/>
        <w:tabs>
          <w:tab w:val="left" w:pos="420"/>
        </w:tabs>
        <w:snapToGrid w:val="0"/>
        <w:spacing w:line="500" w:lineRule="exact"/>
        <w:ind w:firstLine="480"/>
        <w:rPr>
          <w:rFonts w:hint="eastAsia" w:ascii="黑体" w:hAnsi="黑体" w:eastAsia="黑体" w:cs="黑体"/>
          <w:color w:val="auto"/>
          <w:highlight w:val="none"/>
        </w:rPr>
      </w:pPr>
      <w:r>
        <w:rPr>
          <w:rFonts w:hint="eastAsia" w:ascii="黑体" w:hAnsi="黑体" w:eastAsia="黑体" w:cs="黑体"/>
          <w:color w:val="auto"/>
          <w:highlight w:val="none"/>
        </w:rPr>
        <w:t>供应商为残疾人福利性单位的提供此函。</w:t>
      </w:r>
    </w:p>
    <w:p>
      <w:pPr>
        <w:pStyle w:val="2"/>
        <w:spacing w:line="500" w:lineRule="exact"/>
        <w:ind w:firstLine="480"/>
        <w:rPr>
          <w:rFonts w:hint="eastAsia" w:ascii="黑体" w:hAnsi="黑体" w:eastAsia="黑体" w:cs="黑体"/>
          <w:b w:val="0"/>
          <w:bCs w:val="0"/>
          <w:color w:val="auto"/>
          <w:spacing w:val="0"/>
          <w:kern w:val="2"/>
          <w:sz w:val="24"/>
          <w:szCs w:val="22"/>
          <w:highlight w:val="none"/>
        </w:rPr>
      </w:pPr>
      <w:r>
        <w:rPr>
          <w:rFonts w:hint="eastAsia" w:ascii="黑体" w:hAnsi="黑体" w:eastAsia="黑体" w:cs="黑体"/>
          <w:b w:val="0"/>
          <w:bCs w:val="0"/>
          <w:color w:val="auto"/>
          <w:spacing w:val="0"/>
          <w:kern w:val="2"/>
          <w:sz w:val="24"/>
          <w:szCs w:val="22"/>
          <w:highlight w:val="none"/>
        </w:rPr>
        <w:t>备注：中标供应商为残疾人福利性单位的，应当随中标结果同时公告其《残疾人福利性单位声明函》，接受社会监督。</w:t>
      </w:r>
    </w:p>
    <w:p>
      <w:pPr>
        <w:widowControl/>
        <w:snapToGrid w:val="0"/>
        <w:spacing w:line="480" w:lineRule="exact"/>
        <w:ind w:firstLine="480"/>
        <w:rPr>
          <w:rFonts w:hint="eastAsia" w:ascii="黑体" w:hAnsi="黑体" w:eastAsia="黑体" w:cs="黑体"/>
          <w:color w:val="auto"/>
          <w:highlight w:val="none"/>
        </w:rPr>
      </w:pPr>
    </w:p>
    <w:sectPr>
      <w:headerReference r:id="rId18" w:type="first"/>
      <w:pgSz w:w="11906" w:h="16838"/>
      <w:pgMar w:top="1440" w:right="1080" w:bottom="1440" w:left="1080" w:header="851" w:footer="850" w:gutter="0"/>
      <w:pgBorders>
        <w:top w:val="none" w:sz="0" w:space="0"/>
        <w:left w:val="none" w:sz="0" w:space="0"/>
        <w:bottom w:val="none" w:sz="0" w:space="0"/>
        <w:right w:val="none" w:sz="0" w:space="0"/>
      </w:pgBorders>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etaPlusLF">
    <w:altName w:val="Courier New"/>
    <w:panose1 w:val="00000000000000000000"/>
    <w:charset w:val="00"/>
    <w:family w:val="auto"/>
    <w:pitch w:val="default"/>
    <w:sig w:usb0="00000000" w:usb1="00000000" w:usb2="00000000" w:usb3="00000000" w:csb0="00000097"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thinThickSmallGap" w:color="auto" w:sz="24" w:space="1"/>
      </w:pBdr>
      <w:ind w:firstLine="0" w:firstLineChars="0"/>
      <w:jc w:val="both"/>
      <w:rPr>
        <w:rFonts w:ascii="华文中宋" w:hAnsi="华文中宋" w:eastAsia="华文中宋" w:cs="微软雅黑"/>
        <w:b/>
        <w:bCs/>
      </w:rPr>
    </w:pPr>
    <w:r>
      <w:rPr>
        <w:rFonts w:hint="eastAsia" w:ascii="华文中宋" w:hAnsi="华文中宋" w:eastAsia="华文中宋" w:cs="微软雅黑"/>
        <w:b/>
        <w:bCs/>
      </w:rPr>
      <w:t>欧邦工程管理有限公司龙游分公司</w:t>
    </w:r>
    <w:r>
      <w:rPr>
        <w:rFonts w:ascii="华文中宋" w:hAnsi="华文中宋" w:eastAsia="华文中宋" w:cs="微软雅黑"/>
        <w:b/>
        <w:bCs/>
      </w:rPr>
      <w:t xml:space="preserve">                                        </w:t>
    </w:r>
    <w:r>
      <w:rPr>
        <w:rFonts w:hint="eastAsia" w:ascii="华文中宋" w:hAnsi="华文中宋" w:eastAsia="华文中宋" w:cs="微软雅黑"/>
        <w:b/>
        <w:bCs/>
      </w:rPr>
      <w:t xml:space="preserve">    </w:t>
    </w:r>
    <w:r>
      <w:rPr>
        <w:rFonts w:ascii="华文中宋" w:hAnsi="华文中宋" w:eastAsia="华文中宋" w:cs="微软雅黑"/>
        <w:b/>
        <w:bCs/>
      </w:rPr>
      <w:t xml:space="preserve">           </w:t>
    </w:r>
    <w:r>
      <w:rPr>
        <w:rFonts w:hint="eastAsia" w:ascii="华文中宋" w:hAnsi="华文中宋" w:eastAsia="华文中宋" w:cs="微软雅黑"/>
        <w:b/>
        <w:bCs/>
      </w:rPr>
      <w:t>第</w:t>
    </w:r>
    <w:r>
      <w:rPr>
        <w:rFonts w:ascii="华文中宋" w:hAnsi="华文中宋" w:eastAsia="华文中宋" w:cs="微软雅黑"/>
        <w:b/>
        <w:bCs/>
      </w:rPr>
      <w:t xml:space="preserve"> </w:t>
    </w:r>
    <w:r>
      <w:rPr>
        <w:rFonts w:ascii="华文中宋" w:hAnsi="华文中宋" w:eastAsia="华文中宋" w:cs="微软雅黑"/>
        <w:b/>
        <w:bCs/>
      </w:rPr>
      <w:fldChar w:fldCharType="begin"/>
    </w:r>
    <w:r>
      <w:rPr>
        <w:rFonts w:ascii="华文中宋" w:hAnsi="华文中宋" w:eastAsia="华文中宋" w:cs="微软雅黑"/>
        <w:b/>
        <w:bCs/>
      </w:rPr>
      <w:instrText xml:space="preserve"> PAGE  \* MERGEFORMAT </w:instrText>
    </w:r>
    <w:r>
      <w:rPr>
        <w:rFonts w:ascii="华文中宋" w:hAnsi="华文中宋" w:eastAsia="华文中宋" w:cs="微软雅黑"/>
        <w:b/>
        <w:bCs/>
      </w:rPr>
      <w:fldChar w:fldCharType="separate"/>
    </w:r>
    <w:r>
      <w:rPr>
        <w:rFonts w:ascii="华文中宋" w:hAnsi="华文中宋" w:eastAsia="华文中宋" w:cs="微软雅黑"/>
        <w:b/>
        <w:bCs/>
      </w:rPr>
      <w:t>2</w:t>
    </w:r>
    <w:r>
      <w:rPr>
        <w:rFonts w:ascii="华文中宋" w:hAnsi="华文中宋" w:eastAsia="华文中宋" w:cs="微软雅黑"/>
        <w:b/>
        <w:bCs/>
      </w:rPr>
      <w:fldChar w:fldCharType="end"/>
    </w:r>
    <w:r>
      <w:rPr>
        <w:rFonts w:ascii="华文中宋" w:hAnsi="华文中宋" w:eastAsia="华文中宋" w:cs="微软雅黑"/>
        <w:b/>
        <w:bCs/>
      </w:rPr>
      <w:t xml:space="preserve"> </w:t>
    </w:r>
    <w:r>
      <w:rPr>
        <w:rFonts w:hint="eastAsia" w:ascii="华文中宋" w:hAnsi="华文中宋" w:eastAsia="华文中宋" w:cs="微软雅黑"/>
        <w:b/>
        <w:bCs/>
      </w:rPr>
      <w:t>页</w:t>
    </w:r>
    <w:r>
      <w:rPr>
        <w:rFonts w:ascii="华文中宋" w:hAnsi="华文中宋" w:eastAsia="华文中宋" w:cs="微软雅黑"/>
        <w:b/>
        <w:bCs/>
      </w:rPr>
      <w:t xml:space="preserve"> </w:t>
    </w:r>
    <w:r>
      <w:rPr>
        <w:rFonts w:hint="eastAsia" w:ascii="华文中宋" w:hAnsi="华文中宋" w:eastAsia="华文中宋" w:cs="微软雅黑"/>
        <w:b/>
        <w:bCs/>
      </w:rPr>
      <w:t>共</w:t>
    </w:r>
    <w:r>
      <w:rPr>
        <w:rFonts w:ascii="华文中宋" w:hAnsi="华文中宋" w:eastAsia="华文中宋" w:cs="微软雅黑"/>
        <w:b/>
        <w:bCs/>
      </w:rPr>
      <w:t xml:space="preserve"> </w:t>
    </w:r>
    <w:r>
      <w:fldChar w:fldCharType="begin"/>
    </w:r>
    <w:r>
      <w:instrText xml:space="preserve"> NUMPAGES  \* MERGEFORMAT </w:instrText>
    </w:r>
    <w:r>
      <w:fldChar w:fldCharType="separate"/>
    </w:r>
    <w:r>
      <w:rPr>
        <w:rFonts w:ascii="华文中宋" w:hAnsi="华文中宋" w:eastAsia="华文中宋" w:cs="微软雅黑"/>
        <w:b/>
        <w:bCs/>
      </w:rPr>
      <w:t>93</w:t>
    </w:r>
    <w:r>
      <w:rPr>
        <w:rFonts w:ascii="华文中宋" w:hAnsi="华文中宋" w:eastAsia="华文中宋" w:cs="微软雅黑"/>
        <w:b/>
        <w:bCs/>
      </w:rPr>
      <w:fldChar w:fldCharType="end"/>
    </w:r>
    <w:r>
      <w:rPr>
        <w:rFonts w:ascii="华文中宋" w:hAnsi="华文中宋" w:eastAsia="华文中宋" w:cs="微软雅黑"/>
        <w:b/>
        <w:bCs/>
      </w:rPr>
      <w:t xml:space="preserve"> </w:t>
    </w:r>
    <w:r>
      <w:rPr>
        <w:rFonts w:hint="eastAsia" w:ascii="华文中宋" w:hAnsi="华文中宋" w:eastAsia="华文中宋" w:cs="微软雅黑"/>
        <w:b/>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thinThickSmallGap" w:color="auto" w:sz="24" w:space="1"/>
      </w:pBdr>
      <w:spacing w:line="240" w:lineRule="atLeast"/>
      <w:ind w:firstLine="0" w:firstLineChars="0"/>
      <w:jc w:val="both"/>
      <w:rPr>
        <w:rFonts w:ascii="华文中宋" w:hAnsi="华文中宋" w:eastAsia="华文中宋" w:cs="微软雅黑"/>
        <w:b/>
        <w:bCs/>
      </w:rPr>
    </w:pPr>
    <w:r>
      <w:rPr>
        <w:rFonts w:hint="eastAsia" w:ascii="华文中宋" w:hAnsi="华文中宋" w:eastAsia="华文中宋" w:cs="微软雅黑"/>
        <w:b/>
        <w:bCs/>
      </w:rPr>
      <w:t>欧邦工程管理有限公司龙游分公司</w:t>
    </w:r>
    <w:r>
      <w:rPr>
        <w:rFonts w:ascii="华文中宋" w:hAnsi="华文中宋" w:eastAsia="华文中宋" w:cs="微软雅黑"/>
        <w:b/>
        <w:bC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thinThickSmallGap" w:color="auto" w:sz="24" w:space="1"/>
      </w:pBdr>
      <w:spacing w:line="240" w:lineRule="atLeast"/>
      <w:ind w:firstLine="0" w:firstLineChars="0"/>
      <w:jc w:val="both"/>
      <w:rPr>
        <w:rFonts w:ascii="华文中宋" w:hAnsi="华文中宋" w:eastAsia="华文中宋" w:cs="微软雅黑"/>
        <w:b/>
        <w:bCs/>
      </w:rPr>
    </w:pPr>
    <w:r>
      <w:rPr>
        <w:rFonts w:hint="eastAsia" w:ascii="华文中宋" w:hAnsi="华文中宋" w:eastAsia="华文中宋" w:cs="微软雅黑"/>
        <w:b/>
        <w:bCs/>
      </w:rPr>
      <w:t>欧邦工程管理有限公司龙游分公司</w:t>
    </w:r>
    <w:r>
      <w:rPr>
        <w:rFonts w:ascii="华文中宋" w:hAnsi="华文中宋" w:eastAsia="华文中宋" w:cs="微软雅黑"/>
        <w:b/>
        <w:bCs/>
      </w:rPr>
      <w:pict>
        <v:shape id="文本框 1026" o:spid="_x0000_s3075"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path/>
          <v:fill on="f" focussize="0,0"/>
          <v:stroke on="f" joinstyle="miter"/>
          <v:imagedata o:title=""/>
          <o:lock v:ext="edit"/>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thinThickSmallGap" w:color="auto" w:sz="24" w:space="1"/>
      </w:pBdr>
      <w:spacing w:line="240" w:lineRule="atLeast"/>
      <w:ind w:firstLine="0" w:firstLineChars="0"/>
      <w:jc w:val="both"/>
      <w:rPr>
        <w:rFonts w:ascii="华文中宋" w:hAnsi="华文中宋" w:eastAsia="华文中宋" w:cs="微软雅黑"/>
        <w:b/>
        <w:bCs/>
      </w:rPr>
    </w:pPr>
    <w:r>
      <w:rPr>
        <w:rFonts w:ascii="华文中宋" w:hAnsi="华文中宋" w:eastAsia="华文中宋" w:cs="微软雅黑"/>
        <w:b/>
        <w:bCs/>
      </w:rPr>
      <w:pict>
        <v:shape id="文本框 1025"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path/>
          <v:fill on="f" focussize="0,0"/>
          <v:stroke on="f" joinstyle="miter"/>
          <v:imagedata o:title=""/>
          <o:lock v:ext="edit"/>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9</w:t>
                </w:r>
                <w: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r>
      <w:rPr>
        <w:rFonts w:hint="eastAsia" w:ascii="华文中宋" w:hAnsi="华文中宋" w:eastAsia="华文中宋" w:cs="微软雅黑"/>
        <w:b/>
        <w:bCs/>
      </w:rPr>
      <w:t>欧邦工程管理有限公司龙游分公司</w:t>
    </w:r>
    <w:r>
      <w:rPr>
        <w:rFonts w:ascii="华文中宋" w:hAnsi="华文中宋" w:eastAsia="华文中宋" w:cs="微软雅黑"/>
        <w:b/>
        <w:bC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thinThickSmallGap" w:color="auto" w:sz="24" w:space="1"/>
      </w:pBdr>
      <w:spacing w:line="240" w:lineRule="atLeast"/>
      <w:ind w:firstLine="0" w:firstLineChars="0"/>
      <w:jc w:val="both"/>
      <w:rPr>
        <w:rFonts w:ascii="华文中宋" w:hAnsi="华文中宋" w:eastAsia="华文中宋" w:cs="微软雅黑"/>
        <w:b/>
        <w:bCs/>
      </w:rPr>
    </w:pPr>
    <w:r>
      <w:rPr>
        <w:rFonts w:hint="eastAsia" w:ascii="华文中宋" w:hAnsi="华文中宋" w:eastAsia="华文中宋" w:cs="微软雅黑"/>
        <w:b/>
        <w:bCs/>
      </w:rPr>
      <w:t>欧邦工程管理有限公司龙游分公司</w:t>
    </w:r>
    <w:r>
      <w:rPr>
        <w:rFonts w:ascii="华文中宋" w:hAnsi="华文中宋" w:eastAsia="华文中宋" w:cs="微软雅黑"/>
        <w:b/>
        <w:bCs/>
      </w:rPr>
      <w:pict>
        <v:shape id="文本框 1028" o:spid="_x0000_s3073"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q042cwBAACc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urTjZzAEAAJwDAAAOAAAAAAAAAAEAIAAAAB4BAABkcnMvZTJv&#10;RG9jLnhtbFBLBQYAAAAABgAGAFkBAABcBQAAAAA=&#10;">
          <v:path/>
          <v:fill on="f" focussize="0,0"/>
          <v:stroke on="f" joinstyle="miter"/>
          <v:imagedata o:title=""/>
          <o:lock v:ext="edit"/>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52</w:t>
                </w:r>
                <w:r>
                  <w:fldChar w:fldCharType="end"/>
                </w:r>
                <w:r>
                  <w:rPr>
                    <w:rFonts w:hint="eastAsia"/>
                  </w:rPr>
                  <w:t xml:space="preserve"> 页 共</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thinThickSmallGap" w:color="auto" w:sz="24" w:space="1"/>
      </w:pBdr>
      <w:spacing w:line="240" w:lineRule="atLeast"/>
      <w:ind w:firstLine="0" w:firstLineChars="0"/>
      <w:jc w:val="both"/>
      <w:rPr>
        <w:rFonts w:ascii="华文中宋" w:hAnsi="华文中宋" w:eastAsia="华文中宋" w:cs="微软雅黑"/>
        <w:b/>
        <w:bCs/>
      </w:rPr>
    </w:pPr>
    <w:r>
      <w:rPr>
        <w:rFonts w:hint="eastAsia" w:ascii="华文中宋" w:hAnsi="华文中宋" w:eastAsia="华文中宋" w:cs="微软雅黑"/>
        <w:b/>
        <w:bCs/>
      </w:rPr>
      <w:t>欧邦工程管理有限公司龙游分公司</w:t>
    </w:r>
    <w:r>
      <w:rPr>
        <w:rFonts w:ascii="华文中宋" w:hAnsi="华文中宋" w:eastAsia="华文中宋" w:cs="微软雅黑"/>
        <w:b/>
        <w:bCs/>
      </w:rPr>
      <w:pict>
        <v:shape id="文本框 1033" o:spid="_x0000_s3074"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QrssBAACcAwAADgAAAGRycy9lMm9Eb2MueG1srVPNjtMwEL4j8Q6W&#10;79RpF6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pISxy0O/PL92+XHr8vPr2RZ&#10;3dzkDvUBaky8D5iahjd+wL2Z/YDOLHxQ0eYvSiIYx/6er/2VQyIiP1qv1usKQwJj8wXx2cPzECG9&#10;ld6SbDQ04gBLX/npPaQxdU7J1Zy/08aUIRr3lwMxs4dl7iPHbKVhP0yC9r49o54eZ99Qh6tOiXnn&#10;sLV5TWYjzsZ+No4h6kOH1JaFF4TXx4QkCrdcYYSdCuPQirppwfJW/HkvWQ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Xf0K7LAQAAnAMAAA4AAAAAAAAAAQAgAAAAHgEAAGRycy9lMm9E&#10;b2MueG1sUEsFBgAAAAAGAAYAWQEAAFsFAAAAAA==&#10;">
          <v:path/>
          <v:fill on="f" focussize="0,0"/>
          <v:stroke on="f" joinstyle="miter"/>
          <v:imagedata o:title=""/>
          <o:lock v:ext="edit"/>
          <v:textbox inset="0mm,0mm,0mm,0mm" style="mso-fit-shape-to-text:t;">
            <w:txbxContent>
              <w:p>
                <w:pPr>
                  <w:pStyle w:val="25"/>
                  <w:ind w:firstLine="360"/>
                </w:pPr>
                <w:r>
                  <w:rPr>
                    <w:rFonts w:hint="eastAsia"/>
                  </w:rPr>
                  <w:t xml:space="preserve">第 </w:t>
                </w:r>
                <w:r>
                  <w:fldChar w:fldCharType="begin"/>
                </w:r>
                <w:r>
                  <w:instrText xml:space="preserve"> PAGE  \* MERGEFORMAT </w:instrText>
                </w:r>
                <w:r>
                  <w:fldChar w:fldCharType="separate"/>
                </w:r>
                <w:r>
                  <w:t>49</w:t>
                </w:r>
                <w:r>
                  <w:fldChar w:fldCharType="end"/>
                </w:r>
                <w:r>
                  <w:rPr>
                    <w:rFonts w:hint="eastAsia"/>
                  </w:rPr>
                  <w:t xml:space="preserve"> 页 共</w:t>
                </w:r>
                <w:r>
                  <w:fldChar w:fldCharType="begin"/>
                </w:r>
                <w:r>
                  <w:instrText xml:space="preserve"> NUMPAGES  \* MERGEFORMAT </w:instrText>
                </w:r>
                <w:r>
                  <w:fldChar w:fldCharType="separate"/>
                </w:r>
                <w:r>
                  <w:t>49</w:t>
                </w:r>
                <w:r>
                  <w:fldChar w:fldCharType="end"/>
                </w:r>
                <w:r>
                  <w:rPr>
                    <w:rFonts w:hint="eastAsia"/>
                  </w:rPr>
                  <w:t xml:space="preserve"> 页</w:t>
                </w:r>
              </w:p>
            </w:txbxContent>
          </v:textbox>
        </v:shape>
      </w:pict>
    </w:r>
  </w:p>
  <w:p>
    <w:pPr>
      <w:pStyle w:val="25"/>
      <w:pBdr>
        <w:top w:val="thinThickSmallGap" w:color="auto" w:sz="24" w:space="1"/>
      </w:pBdr>
      <w:ind w:firstLine="0" w:firstLineChars="0"/>
      <w:jc w:val="both"/>
      <w:rPr>
        <w:rFonts w:ascii="华文中宋" w:hAnsi="华文中宋" w:eastAsia="华文中宋"/>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0"/>
        <w:left w:val="none" w:color="auto" w:sz="0" w:space="0"/>
        <w:bottom w:val="thinThickSmallGap" w:color="auto" w:sz="24" w:space="1"/>
        <w:right w:val="none" w:color="auto" w:sz="0" w:space="0"/>
      </w:pBdr>
      <w:ind w:firstLine="0" w:firstLineChars="0"/>
      <w:jc w:val="left"/>
      <w:rPr>
        <w:rFonts w:hint="eastAsia" w:ascii="华文中宋" w:hAnsi="华文中宋" w:eastAsia="华文中宋" w:cs="微软雅黑"/>
        <w:b/>
        <w:bCs/>
        <w:sz w:val="20"/>
        <w:szCs w:val="20"/>
        <w:lang w:eastAsia="zh-CN"/>
      </w:rPr>
    </w:pPr>
    <w:r>
      <w:rPr>
        <w:rFonts w:hint="eastAsia" w:ascii="华文中宋" w:hAnsi="华文中宋" w:eastAsia="华文中宋" w:cs="微软雅黑"/>
        <w:b/>
        <w:bCs/>
        <w:sz w:val="20"/>
        <w:szCs w:val="20"/>
        <w:lang w:eastAsia="zh-CN"/>
      </w:rPr>
      <w:t>龙游县市场监督管理局2022年-2023年食品安全监督抽检项目</w:t>
    </w:r>
    <w:r>
      <w:rPr>
        <w:rFonts w:hint="eastAsia" w:ascii="华文中宋" w:hAnsi="华文中宋" w:eastAsia="华文中宋" w:cs="微软雅黑"/>
        <w:b/>
        <w:bCs/>
        <w:sz w:val="20"/>
        <w:szCs w:val="20"/>
        <w:lang w:val="en-US" w:eastAsia="zh-CN"/>
      </w:rPr>
      <w:t xml:space="preserve">     </w:t>
    </w:r>
    <w:r>
      <w:rPr>
        <w:rFonts w:hint="eastAsia" w:ascii="华文中宋" w:hAnsi="华文中宋" w:eastAsia="华文中宋" w:cs="微软雅黑"/>
        <w:b/>
        <w:bCs/>
        <w:sz w:val="20"/>
        <w:szCs w:val="20"/>
      </w:rPr>
      <w:t>项目编号：</w:t>
    </w:r>
    <w:r>
      <w:rPr>
        <w:rFonts w:hint="eastAsia" w:ascii="华文中宋" w:hAnsi="华文中宋" w:eastAsia="华文中宋" w:cs="微软雅黑"/>
        <w:b/>
        <w:bCs/>
        <w:sz w:val="20"/>
        <w:szCs w:val="20"/>
        <w:lang w:eastAsia="zh-CN"/>
      </w:rPr>
      <w:t>OBZFCG2021-033</w:t>
    </w:r>
  </w:p>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0"/>
        <w:left w:val="none" w:color="auto" w:sz="0" w:space="0"/>
        <w:bottom w:val="thinThickSmallGap" w:color="auto" w:sz="24" w:space="1"/>
        <w:right w:val="none" w:color="auto" w:sz="0" w:space="0"/>
      </w:pBdr>
      <w:ind w:firstLine="0" w:firstLineChars="0"/>
      <w:jc w:val="left"/>
      <w:rPr>
        <w:rFonts w:hint="eastAsia" w:ascii="华文中宋" w:hAnsi="华文中宋" w:eastAsia="华文中宋" w:cs="微软雅黑"/>
        <w:b/>
        <w:bCs/>
        <w:sz w:val="21"/>
        <w:szCs w:val="21"/>
        <w:lang w:eastAsia="zh-CN"/>
      </w:rPr>
    </w:pPr>
    <w:r>
      <w:rPr>
        <w:rFonts w:hint="eastAsia" w:ascii="华文中宋" w:hAnsi="华文中宋" w:eastAsia="华文中宋" w:cs="微软雅黑"/>
        <w:b/>
        <w:bCs/>
        <w:sz w:val="21"/>
        <w:szCs w:val="21"/>
        <w:lang w:eastAsia="zh-CN"/>
      </w:rPr>
      <w:t>龙游县市场监督管理局2022年-2023年食品安全监督抽检项目</w:t>
    </w:r>
    <w:r>
      <w:rPr>
        <w:rFonts w:hint="eastAsia" w:ascii="华文中宋" w:hAnsi="华文中宋" w:eastAsia="华文中宋" w:cs="微软雅黑"/>
        <w:b/>
        <w:bCs/>
        <w:sz w:val="21"/>
        <w:szCs w:val="21"/>
      </w:rPr>
      <w:t xml:space="preserve">   </w:t>
    </w:r>
    <w:r>
      <w:rPr>
        <w:rFonts w:hint="eastAsia" w:ascii="华文中宋" w:hAnsi="华文中宋" w:eastAsia="华文中宋" w:cs="微软雅黑"/>
        <w:b/>
        <w:bCs/>
        <w:sz w:val="21"/>
        <w:szCs w:val="21"/>
        <w:lang w:val="en-US" w:eastAsia="zh-CN"/>
      </w:rPr>
      <w:t xml:space="preserve">  </w:t>
    </w:r>
    <w:r>
      <w:rPr>
        <w:rFonts w:hint="eastAsia" w:ascii="华文中宋" w:hAnsi="华文中宋" w:eastAsia="华文中宋" w:cs="微软雅黑"/>
        <w:b/>
        <w:bCs/>
        <w:sz w:val="21"/>
        <w:szCs w:val="21"/>
      </w:rPr>
      <w:t>项目编号：</w:t>
    </w:r>
    <w:r>
      <w:rPr>
        <w:rFonts w:hint="eastAsia" w:ascii="华文中宋" w:hAnsi="华文中宋" w:eastAsia="华文中宋" w:cs="微软雅黑"/>
        <w:b/>
        <w:bCs/>
        <w:sz w:val="21"/>
        <w:szCs w:val="21"/>
        <w:lang w:eastAsia="zh-CN"/>
      </w:rPr>
      <w:t>OBZFCG2021-033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0"/>
        <w:left w:val="none" w:color="auto" w:sz="0" w:space="0"/>
        <w:bottom w:val="thinThickSmallGap" w:color="auto" w:sz="24" w:space="1"/>
        <w:right w:val="none" w:color="auto" w:sz="0" w:space="0"/>
      </w:pBdr>
      <w:ind w:firstLine="0" w:firstLineChars="0"/>
      <w:jc w:val="left"/>
      <w:rPr>
        <w:rFonts w:hint="eastAsia" w:ascii="华文中宋" w:hAnsi="华文中宋" w:eastAsia="华文中宋" w:cs="微软雅黑"/>
        <w:b/>
        <w:bCs/>
        <w:sz w:val="21"/>
        <w:szCs w:val="21"/>
        <w:lang w:eastAsia="zh-CN"/>
      </w:rPr>
    </w:pPr>
    <w:r>
      <w:rPr>
        <w:rFonts w:hint="eastAsia" w:ascii="华文中宋" w:hAnsi="华文中宋" w:eastAsia="华文中宋" w:cs="微软雅黑"/>
        <w:b/>
        <w:bCs/>
        <w:sz w:val="21"/>
        <w:szCs w:val="21"/>
        <w:lang w:eastAsia="zh-CN"/>
      </w:rPr>
      <w:t>龙游县市场监督管理局2022年-2023年食品安全监督抽检项目</w:t>
    </w:r>
    <w:r>
      <w:rPr>
        <w:rFonts w:hint="eastAsia" w:ascii="华文中宋" w:hAnsi="华文中宋" w:eastAsia="华文中宋" w:cs="微软雅黑"/>
        <w:b/>
        <w:bCs/>
        <w:sz w:val="21"/>
        <w:szCs w:val="21"/>
      </w:rPr>
      <w:t xml:space="preserve">  </w:t>
    </w:r>
    <w:r>
      <w:rPr>
        <w:rFonts w:hint="eastAsia" w:ascii="华文中宋" w:hAnsi="华文中宋" w:eastAsia="华文中宋" w:cs="微软雅黑"/>
        <w:b/>
        <w:bCs/>
        <w:sz w:val="21"/>
        <w:szCs w:val="21"/>
        <w:lang w:val="en-US" w:eastAsia="zh-CN"/>
      </w:rPr>
      <w:t xml:space="preserve">     </w:t>
    </w:r>
    <w:r>
      <w:rPr>
        <w:rFonts w:hint="eastAsia" w:ascii="华文中宋" w:hAnsi="华文中宋" w:eastAsia="华文中宋" w:cs="微软雅黑"/>
        <w:b/>
        <w:bCs/>
        <w:sz w:val="21"/>
        <w:szCs w:val="21"/>
      </w:rPr>
      <w:t>项目编号：</w:t>
    </w:r>
    <w:r>
      <w:rPr>
        <w:rFonts w:hint="eastAsia" w:ascii="华文中宋" w:hAnsi="华文中宋" w:eastAsia="华文中宋" w:cs="微软雅黑"/>
        <w:b/>
        <w:bCs/>
        <w:sz w:val="21"/>
        <w:szCs w:val="21"/>
        <w:lang w:eastAsia="zh-CN"/>
      </w:rPr>
      <w:t>OBZFCG2021-033</w:t>
    </w:r>
  </w:p>
  <w:p>
    <w:pPr>
      <w:pStyle w:val="2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0"/>
        <w:left w:val="none" w:color="auto" w:sz="0" w:space="0"/>
        <w:bottom w:val="thinThickSmallGap" w:color="auto" w:sz="24" w:space="1"/>
        <w:right w:val="none" w:color="auto" w:sz="0" w:space="0"/>
      </w:pBdr>
      <w:ind w:firstLine="0" w:firstLineChars="0"/>
      <w:rPr>
        <w:rFonts w:hint="eastAsia" w:eastAsia="华文中宋"/>
        <w:b/>
        <w:bCs/>
        <w:sz w:val="21"/>
        <w:szCs w:val="21"/>
        <w:lang w:eastAsia="zh-CN"/>
      </w:rPr>
    </w:pPr>
    <w:r>
      <w:rPr>
        <w:rFonts w:hint="eastAsia" w:ascii="华文中宋" w:hAnsi="华文中宋" w:eastAsia="华文中宋" w:cs="微软雅黑"/>
        <w:b/>
        <w:bCs/>
        <w:sz w:val="21"/>
        <w:szCs w:val="21"/>
        <w:lang w:eastAsia="zh-CN"/>
      </w:rPr>
      <w:t>龙游县市场监督管理局2022年-2023年食品安全监督抽检项目</w:t>
    </w:r>
    <w:r>
      <w:rPr>
        <w:rFonts w:hint="eastAsia" w:ascii="华文中宋" w:hAnsi="华文中宋" w:eastAsia="华文中宋" w:cs="微软雅黑"/>
        <w:b/>
        <w:bCs/>
        <w:sz w:val="21"/>
        <w:szCs w:val="21"/>
      </w:rPr>
      <w:t xml:space="preserve">    项目编号：</w:t>
    </w:r>
    <w:r>
      <w:rPr>
        <w:rFonts w:hint="eastAsia" w:ascii="华文中宋" w:hAnsi="华文中宋" w:eastAsia="华文中宋" w:cs="微软雅黑"/>
        <w:b/>
        <w:bCs/>
        <w:sz w:val="21"/>
        <w:szCs w:val="21"/>
        <w:lang w:eastAsia="zh-CN"/>
      </w:rPr>
      <w:t>OBZFCG2021-033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0"/>
        <w:left w:val="none" w:color="auto" w:sz="0" w:space="0"/>
        <w:bottom w:val="thinThickSmallGap" w:color="auto" w:sz="24" w:space="1"/>
        <w:right w:val="none" w:color="auto" w:sz="0" w:space="0"/>
      </w:pBdr>
      <w:ind w:firstLine="0" w:firstLineChars="0"/>
      <w:jc w:val="left"/>
      <w:rPr>
        <w:rFonts w:hint="eastAsia" w:ascii="华文中宋" w:hAnsi="华文中宋" w:eastAsia="华文中宋" w:cs="微软雅黑"/>
        <w:b/>
        <w:bCs/>
        <w:sz w:val="21"/>
        <w:szCs w:val="21"/>
        <w:lang w:eastAsia="zh-CN"/>
      </w:rPr>
    </w:pPr>
    <w:r>
      <w:rPr>
        <w:rFonts w:hint="eastAsia" w:ascii="华文中宋" w:hAnsi="华文中宋" w:eastAsia="华文中宋" w:cs="微软雅黑"/>
        <w:b/>
        <w:bCs/>
        <w:sz w:val="21"/>
        <w:szCs w:val="21"/>
        <w:lang w:eastAsia="zh-CN"/>
      </w:rPr>
      <w:t>龙游县市场监督管理局2022年-2023年食品安全监督抽检项目</w:t>
    </w:r>
    <w:r>
      <w:rPr>
        <w:rFonts w:hint="eastAsia" w:ascii="华文中宋" w:hAnsi="华文中宋" w:eastAsia="华文中宋" w:cs="微软雅黑"/>
        <w:b/>
        <w:bCs/>
        <w:sz w:val="21"/>
        <w:szCs w:val="21"/>
      </w:rPr>
      <w:t xml:space="preserve"> 项目编号：</w:t>
    </w:r>
    <w:r>
      <w:rPr>
        <w:rFonts w:hint="eastAsia" w:ascii="华文中宋" w:hAnsi="华文中宋" w:eastAsia="华文中宋" w:cs="微软雅黑"/>
        <w:b/>
        <w:bCs/>
        <w:sz w:val="21"/>
        <w:szCs w:val="21"/>
        <w:lang w:eastAsia="zh-CN"/>
      </w:rPr>
      <w:t>OBZFCG2021-033</w:t>
    </w:r>
  </w:p>
  <w:p>
    <w:pPr>
      <w:pStyle w:val="2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0"/>
        <w:left w:val="none" w:color="auto" w:sz="0" w:space="0"/>
        <w:bottom w:val="thinThickSmallGap" w:color="auto" w:sz="24" w:space="1"/>
        <w:right w:val="none" w:color="auto" w:sz="0" w:space="0"/>
      </w:pBdr>
      <w:ind w:firstLine="0" w:firstLineChars="0"/>
      <w:jc w:val="left"/>
      <w:rPr>
        <w:rFonts w:hint="eastAsia" w:ascii="华文中宋" w:hAnsi="华文中宋" w:eastAsia="华文中宋" w:cs="微软雅黑"/>
        <w:b/>
        <w:bCs/>
        <w:sz w:val="21"/>
        <w:szCs w:val="21"/>
        <w:lang w:eastAsia="zh-CN"/>
      </w:rPr>
    </w:pPr>
    <w:r>
      <w:rPr>
        <w:rFonts w:hint="eastAsia" w:ascii="华文中宋" w:hAnsi="华文中宋" w:eastAsia="华文中宋" w:cs="微软雅黑"/>
        <w:b/>
        <w:bCs/>
        <w:sz w:val="21"/>
        <w:szCs w:val="21"/>
        <w:lang w:eastAsia="zh-CN"/>
      </w:rPr>
      <w:t>龙游县市场监督管理局2022年-2023年食品安全监督抽检项目</w:t>
    </w:r>
    <w:r>
      <w:rPr>
        <w:rFonts w:hint="eastAsia" w:ascii="华文中宋" w:hAnsi="华文中宋" w:eastAsia="华文中宋" w:cs="微软雅黑"/>
        <w:b/>
        <w:bCs/>
        <w:sz w:val="21"/>
        <w:szCs w:val="21"/>
      </w:rPr>
      <w:t xml:space="preserve">       项目编号：</w:t>
    </w:r>
    <w:r>
      <w:rPr>
        <w:rFonts w:hint="eastAsia" w:ascii="华文中宋" w:hAnsi="华文中宋" w:eastAsia="华文中宋" w:cs="微软雅黑"/>
        <w:b/>
        <w:bCs/>
        <w:sz w:val="21"/>
        <w:szCs w:val="21"/>
        <w:lang w:eastAsia="zh-CN"/>
      </w:rPr>
      <w:t>OBZFCG2021-033</w:t>
    </w:r>
  </w:p>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1A19E"/>
    <w:multiLevelType w:val="singleLevel"/>
    <w:tmpl w:val="B781A19E"/>
    <w:lvl w:ilvl="0" w:tentative="0">
      <w:start w:val="1"/>
      <w:numFmt w:val="decimal"/>
      <w:suff w:val="nothing"/>
      <w:lvlText w:val="（%1）"/>
      <w:lvlJc w:val="left"/>
    </w:lvl>
  </w:abstractNum>
  <w:abstractNum w:abstractNumId="1">
    <w:nsid w:val="0000000A"/>
    <w:multiLevelType w:val="multilevel"/>
    <w:tmpl w:val="0000000A"/>
    <w:lvl w:ilvl="0" w:tentative="0">
      <w:start w:val="1"/>
      <w:numFmt w:val="none"/>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2">
    <w:nsid w:val="2CF3358E"/>
    <w:multiLevelType w:val="singleLevel"/>
    <w:tmpl w:val="2CF3358E"/>
    <w:lvl w:ilvl="0" w:tentative="0">
      <w:start w:val="1"/>
      <w:numFmt w:val="chineseCounting"/>
      <w:suff w:val="nothing"/>
      <w:lvlText w:val="（%1）"/>
      <w:lvlJc w:val="left"/>
      <w:rPr>
        <w:rFonts w:hint="eastAsia"/>
      </w:rPr>
    </w:lvl>
  </w:abstractNum>
  <w:abstractNum w:abstractNumId="3">
    <w:nsid w:val="43740B8A"/>
    <w:multiLevelType w:val="multilevel"/>
    <w:tmpl w:val="43740B8A"/>
    <w:lvl w:ilvl="0" w:tentative="0">
      <w:start w:val="1"/>
      <w:numFmt w:val="chineseCountingThousand"/>
      <w:lvlText w:val="第%1章"/>
      <w:lvlJc w:val="left"/>
      <w:pPr>
        <w:ind w:left="420" w:hanging="420"/>
      </w:pPr>
      <w:rPr>
        <w:rFonts w:hint="eastAsia" w:eastAsia="微软雅黑"/>
        <w:b/>
        <w:i w:val="0"/>
        <w:sz w:val="44"/>
      </w:rPr>
    </w:lvl>
    <w:lvl w:ilvl="1" w:tentative="0">
      <w:start w:val="1"/>
      <w:numFmt w:val="decimal"/>
      <w:pStyle w:val="141"/>
      <w:isLgl/>
      <w:suff w:val="space"/>
      <w:lvlText w:val="%1.%2."/>
      <w:lvlJc w:val="left"/>
      <w:pPr>
        <w:ind w:left="0" w:firstLine="0"/>
      </w:pPr>
      <w:rPr>
        <w:rFonts w:hint="default" w:ascii="Times New Roman" w:hAnsi="Times New Roman" w:eastAsia="宋体"/>
        <w:b/>
        <w:i w:val="0"/>
        <w:sz w:val="32"/>
        <w:szCs w:val="32"/>
      </w:rPr>
    </w:lvl>
    <w:lvl w:ilvl="2" w:tentative="0">
      <w:start w:val="1"/>
      <w:numFmt w:val="decimal"/>
      <w:pStyle w:val="143"/>
      <w:isLgl/>
      <w:suff w:val="space"/>
      <w:lvlText w:val="%1.%2.%3."/>
      <w:lvlJc w:val="left"/>
      <w:pPr>
        <w:ind w:left="0" w:firstLine="0"/>
      </w:pPr>
      <w:rPr>
        <w:rFonts w:hint="default" w:ascii="Times New Roman" w:hAnsi="Times New Roman" w:eastAsia="宋体"/>
        <w:b/>
        <w:i w:val="0"/>
        <w:sz w:val="28"/>
      </w:rPr>
    </w:lvl>
    <w:lvl w:ilvl="3" w:tentative="0">
      <w:start w:val="1"/>
      <w:numFmt w:val="decimal"/>
      <w:pStyle w:val="145"/>
      <w:isLgl/>
      <w:suff w:val="space"/>
      <w:lvlText w:val="%1.%2.%3.%4."/>
      <w:lvlJc w:val="left"/>
      <w:pPr>
        <w:ind w:left="0" w:firstLine="0"/>
      </w:pPr>
      <w:rPr>
        <w:rFonts w:hint="default" w:ascii="Times New Roman" w:hAnsi="Times New Roman" w:eastAsia="宋体"/>
        <w:b/>
        <w:i w:val="0"/>
        <w:sz w:val="24"/>
      </w:rPr>
    </w:lvl>
    <w:lvl w:ilvl="4" w:tentative="0">
      <w:start w:val="1"/>
      <w:numFmt w:val="decimal"/>
      <w:pStyle w:val="146"/>
      <w:isLgl/>
      <w:suff w:val="space"/>
      <w:lvlText w:val="%1.%2.%3.%4.%5."/>
      <w:lvlJc w:val="left"/>
      <w:pPr>
        <w:ind w:left="0" w:firstLine="0"/>
      </w:pPr>
      <w:rPr>
        <w:rFonts w:hint="default" w:ascii="Times New Roman" w:hAnsi="Times New Roman" w:eastAsia="宋体"/>
        <w:b/>
        <w:i w:val="0"/>
        <w:sz w:val="24"/>
      </w:rPr>
    </w:lvl>
    <w:lvl w:ilvl="5" w:tentative="0">
      <w:start w:val="1"/>
      <w:numFmt w:val="decimal"/>
      <w:isLgl/>
      <w:suff w:val="space"/>
      <w:lvlText w:val="%1.%2.%3.%4.%5.%6."/>
      <w:lvlJc w:val="left"/>
      <w:pPr>
        <w:ind w:left="0" w:firstLine="0"/>
      </w:pPr>
      <w:rPr>
        <w:rFonts w:hint="default" w:ascii="Times New Roman" w:hAnsi="Times New Roman" w:eastAsia="宋体"/>
        <w:b/>
        <w:i w:val="0"/>
        <w:sz w:val="24"/>
      </w:rPr>
    </w:lvl>
    <w:lvl w:ilvl="6" w:tentative="0">
      <w:start w:val="1"/>
      <w:numFmt w:val="decimal"/>
      <w:isLgl/>
      <w:suff w:val="space"/>
      <w:lvlText w:val="%1.%2.%3.%4.%5.%6.%7."/>
      <w:lvlJc w:val="left"/>
      <w:pPr>
        <w:ind w:left="0" w:firstLine="0"/>
      </w:pPr>
      <w:rPr>
        <w:rFonts w:hint="default" w:ascii="Times New Roman" w:hAnsi="Times New Roman" w:eastAsia="宋体"/>
        <w:b/>
        <w:i w:val="0"/>
        <w:sz w:val="24"/>
      </w:rPr>
    </w:lvl>
    <w:lvl w:ilvl="7" w:tentative="0">
      <w:start w:val="1"/>
      <w:numFmt w:val="decimal"/>
      <w:isLgl/>
      <w:suff w:val="space"/>
      <w:lvlText w:val="%1.%2.%3.%4.%5.%6.%7.%8."/>
      <w:lvlJc w:val="left"/>
      <w:pPr>
        <w:ind w:left="0" w:firstLine="0"/>
      </w:pPr>
      <w:rPr>
        <w:rFonts w:hint="default" w:ascii="Times New Roman" w:hAnsi="Times New Roman" w:eastAsia="宋体"/>
        <w:b/>
        <w:i w:val="0"/>
        <w:sz w:val="24"/>
      </w:rPr>
    </w:lvl>
    <w:lvl w:ilvl="8" w:tentative="0">
      <w:start w:val="1"/>
      <w:numFmt w:val="decimal"/>
      <w:isLgl/>
      <w:suff w:val="space"/>
      <w:lvlText w:val="%1.%2.%3.%4.%5.%6.%7.%8.%9."/>
      <w:lvlJc w:val="left"/>
      <w:pPr>
        <w:ind w:left="0" w:firstLine="0"/>
      </w:pPr>
      <w:rPr>
        <w:rFonts w:hint="default" w:ascii="Times New Roman" w:hAnsi="Times New Roman" w:eastAsia="宋体"/>
        <w:b/>
        <w:i w:val="0"/>
        <w:sz w:val="24"/>
      </w:rPr>
    </w:lvl>
  </w:abstractNum>
  <w:abstractNum w:abstractNumId="4">
    <w:nsid w:val="5853AD7B"/>
    <w:multiLevelType w:val="multilevel"/>
    <w:tmpl w:val="5853AD7B"/>
    <w:lvl w:ilvl="0" w:tentative="0">
      <w:start w:val="1"/>
      <w:numFmt w:val="lowerLetter"/>
      <w:pStyle w:val="11"/>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9081D42"/>
    <w:multiLevelType w:val="multilevel"/>
    <w:tmpl w:val="59081D42"/>
    <w:lvl w:ilvl="0" w:tentative="0">
      <w:start w:val="1"/>
      <w:numFmt w:val="decimal"/>
      <w:pStyle w:val="8"/>
      <w:suff w:val="space"/>
      <w:lvlText w:val="第 %1 章"/>
      <w:lvlJc w:val="left"/>
      <w:pPr>
        <w:ind w:left="4394" w:hanging="425"/>
      </w:pPr>
      <w:rPr>
        <w:rFonts w:hint="eastAsia" w:cs="Times New Roman"/>
      </w:rPr>
    </w:lvl>
    <w:lvl w:ilvl="1" w:tentative="0">
      <w:start w:val="1"/>
      <w:numFmt w:val="decimal"/>
      <w:lvlText w:val="%1.%2 "/>
      <w:lvlJc w:val="left"/>
      <w:pPr>
        <w:tabs>
          <w:tab w:val="left" w:pos="7929"/>
        </w:tabs>
        <w:ind w:left="7776" w:hanging="567"/>
      </w:pPr>
      <w:rPr>
        <w:rFonts w:hint="eastAsia" w:cs="Times New Roman"/>
      </w:rPr>
    </w:lvl>
    <w:lvl w:ilvl="2" w:tentative="0">
      <w:start w:val="1"/>
      <w:numFmt w:val="decimal"/>
      <w:lvlText w:val="〔%3〕、"/>
      <w:lvlJc w:val="left"/>
      <w:pPr>
        <w:tabs>
          <w:tab w:val="left" w:pos="6620"/>
        </w:tabs>
        <w:ind w:left="5387" w:hanging="567"/>
      </w:pPr>
      <w:rPr>
        <w:rFonts w:hint="eastAsia" w:cs="Times New Roman"/>
      </w:rPr>
    </w:lvl>
    <w:lvl w:ilvl="3" w:tentative="0">
      <w:start w:val="1"/>
      <w:numFmt w:val="none"/>
      <w:lvlText w:val=""/>
      <w:lvlJc w:val="left"/>
      <w:pPr>
        <w:tabs>
          <w:tab w:val="left" w:pos="5953"/>
        </w:tabs>
        <w:ind w:left="5953" w:hanging="708"/>
      </w:pPr>
      <w:rPr>
        <w:rFonts w:hint="eastAsia" w:cs="Times New Roman"/>
      </w:rPr>
    </w:lvl>
    <w:lvl w:ilvl="4" w:tentative="0">
      <w:start w:val="1"/>
      <w:numFmt w:val="decimal"/>
      <w:lvlText w:val="%1.%2.%3.%4.%5"/>
      <w:lvlJc w:val="left"/>
      <w:pPr>
        <w:tabs>
          <w:tab w:val="left" w:pos="6520"/>
        </w:tabs>
        <w:ind w:left="6520" w:hanging="850"/>
      </w:pPr>
      <w:rPr>
        <w:rFonts w:hint="eastAsia" w:cs="Times New Roman"/>
      </w:rPr>
    </w:lvl>
    <w:lvl w:ilvl="5" w:tentative="0">
      <w:start w:val="1"/>
      <w:numFmt w:val="decimal"/>
      <w:lvlText w:val="%1.%2.%3.%4.%5.%6"/>
      <w:lvlJc w:val="left"/>
      <w:pPr>
        <w:tabs>
          <w:tab w:val="left" w:pos="7229"/>
        </w:tabs>
        <w:ind w:left="7229" w:hanging="1134"/>
      </w:pPr>
      <w:rPr>
        <w:rFonts w:hint="eastAsia" w:cs="Times New Roman"/>
      </w:rPr>
    </w:lvl>
    <w:lvl w:ilvl="6" w:tentative="0">
      <w:start w:val="1"/>
      <w:numFmt w:val="decimal"/>
      <w:lvlText w:val="%1.%2.%3.%4.%5.%6.%7"/>
      <w:lvlJc w:val="left"/>
      <w:pPr>
        <w:tabs>
          <w:tab w:val="left" w:pos="8320"/>
        </w:tabs>
        <w:ind w:left="7796" w:hanging="1276"/>
      </w:pPr>
      <w:rPr>
        <w:rFonts w:hint="eastAsia" w:cs="Times New Roman"/>
      </w:rPr>
    </w:lvl>
    <w:lvl w:ilvl="7" w:tentative="0">
      <w:start w:val="1"/>
      <w:numFmt w:val="decimal"/>
      <w:lvlText w:val="%1.%2.%3.%4.%5.%6.%7.%8"/>
      <w:lvlJc w:val="left"/>
      <w:pPr>
        <w:tabs>
          <w:tab w:val="left" w:pos="8363"/>
        </w:tabs>
        <w:ind w:left="8363" w:hanging="1418"/>
      </w:pPr>
      <w:rPr>
        <w:rFonts w:hint="eastAsia" w:cs="Times New Roman"/>
      </w:rPr>
    </w:lvl>
    <w:lvl w:ilvl="8" w:tentative="0">
      <w:start w:val="1"/>
      <w:numFmt w:val="decimal"/>
      <w:lvlText w:val="%1.%2.%3.%4.%5.%6.%7.%8.%9"/>
      <w:lvlJc w:val="left"/>
      <w:pPr>
        <w:tabs>
          <w:tab w:val="left" w:pos="9071"/>
        </w:tabs>
        <w:ind w:left="9071" w:hanging="1700"/>
      </w:pPr>
      <w:rPr>
        <w:rFonts w:hint="eastAsia" w:cs="Times New Roman"/>
      </w:rPr>
    </w:lvl>
  </w:abstractNum>
  <w:num w:numId="1">
    <w:abstractNumId w:val="5"/>
  </w:num>
  <w:num w:numId="2">
    <w:abstractNumId w:val="4"/>
  </w:num>
  <w:num w:numId="3">
    <w:abstractNumId w:val="3"/>
    <w:lvlOverride w:ilvl="0">
      <w:lvl w:ilvl="0" w:tentative="1">
        <w:start w:val="1"/>
        <w:numFmt w:val="chineseCountingThousand"/>
        <w:lvlText w:val="第%1章"/>
        <w:lvlJc w:val="left"/>
        <w:pPr>
          <w:ind w:left="420" w:hanging="420"/>
        </w:pPr>
        <w:rPr>
          <w:rFonts w:hint="eastAsia" w:ascii="宋体" w:hAnsi="宋体" w:eastAsia="宋体"/>
          <w:b/>
          <w:i w:val="0"/>
          <w:sz w:val="44"/>
        </w:rPr>
      </w:lvl>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20"/>
  <w:drawingGridVerticalSpacing w:val="156"/>
  <w:displayHorizontalDrawingGridEvery w:val="2"/>
  <w:noPunctuationKerning w:val="1"/>
  <w:characterSpacingControl w:val="compressPunctuation"/>
  <w:noLineBreaksAfter w:lang="zh-CN" w:val="$([{£¥·‘“〈《「『【〔〖〝﹙﹛﹝＄（．［｛￡￥"/>
  <w:noLineBreaksBefore w:lang="zh-CN" w:val="!%),.:;&gt;?]}¢¨°·ˇˉ―‖’”…‰′″›℃∶、。〃〉》」』】〕〗〞︶︺︾﹀﹄﹚﹜﹞！＂％＇），．：；？］｀｜｝～￠"/>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rsids>
    <w:rsidRoot w:val="13B97E87"/>
    <w:rsid w:val="000006BB"/>
    <w:rsid w:val="00002368"/>
    <w:rsid w:val="00002413"/>
    <w:rsid w:val="000028B2"/>
    <w:rsid w:val="00002AAA"/>
    <w:rsid w:val="000037F4"/>
    <w:rsid w:val="0000380D"/>
    <w:rsid w:val="000042C1"/>
    <w:rsid w:val="00005B13"/>
    <w:rsid w:val="00006290"/>
    <w:rsid w:val="000069CD"/>
    <w:rsid w:val="00010831"/>
    <w:rsid w:val="00010CA6"/>
    <w:rsid w:val="00011BE6"/>
    <w:rsid w:val="00014F20"/>
    <w:rsid w:val="00014F84"/>
    <w:rsid w:val="000166A3"/>
    <w:rsid w:val="000173CD"/>
    <w:rsid w:val="0001756D"/>
    <w:rsid w:val="0001789D"/>
    <w:rsid w:val="0002087A"/>
    <w:rsid w:val="00020D15"/>
    <w:rsid w:val="00022DBA"/>
    <w:rsid w:val="00023E5E"/>
    <w:rsid w:val="00023F25"/>
    <w:rsid w:val="0002569F"/>
    <w:rsid w:val="000324D8"/>
    <w:rsid w:val="00033533"/>
    <w:rsid w:val="00035CEA"/>
    <w:rsid w:val="00043797"/>
    <w:rsid w:val="000440FB"/>
    <w:rsid w:val="0004557B"/>
    <w:rsid w:val="0004679F"/>
    <w:rsid w:val="00047D6F"/>
    <w:rsid w:val="0005153C"/>
    <w:rsid w:val="00051926"/>
    <w:rsid w:val="00055973"/>
    <w:rsid w:val="00055EBE"/>
    <w:rsid w:val="0005635F"/>
    <w:rsid w:val="00057684"/>
    <w:rsid w:val="0006020E"/>
    <w:rsid w:val="0006069F"/>
    <w:rsid w:val="0006353D"/>
    <w:rsid w:val="0006445A"/>
    <w:rsid w:val="0006548A"/>
    <w:rsid w:val="00066CD0"/>
    <w:rsid w:val="00067388"/>
    <w:rsid w:val="00080806"/>
    <w:rsid w:val="00080D53"/>
    <w:rsid w:val="0008109E"/>
    <w:rsid w:val="0008340A"/>
    <w:rsid w:val="0008385D"/>
    <w:rsid w:val="00084AAD"/>
    <w:rsid w:val="00084E83"/>
    <w:rsid w:val="00085909"/>
    <w:rsid w:val="00086031"/>
    <w:rsid w:val="00091336"/>
    <w:rsid w:val="00091854"/>
    <w:rsid w:val="00092E4C"/>
    <w:rsid w:val="000966B1"/>
    <w:rsid w:val="00096E02"/>
    <w:rsid w:val="000975AC"/>
    <w:rsid w:val="000A0032"/>
    <w:rsid w:val="000A3A94"/>
    <w:rsid w:val="000A49A6"/>
    <w:rsid w:val="000A4E31"/>
    <w:rsid w:val="000A5DF9"/>
    <w:rsid w:val="000A6483"/>
    <w:rsid w:val="000A6BD4"/>
    <w:rsid w:val="000B06EA"/>
    <w:rsid w:val="000B279F"/>
    <w:rsid w:val="000B3852"/>
    <w:rsid w:val="000B592E"/>
    <w:rsid w:val="000C217B"/>
    <w:rsid w:val="000C2644"/>
    <w:rsid w:val="000C2808"/>
    <w:rsid w:val="000C2AA5"/>
    <w:rsid w:val="000C334A"/>
    <w:rsid w:val="000C357C"/>
    <w:rsid w:val="000C45E8"/>
    <w:rsid w:val="000C5B8A"/>
    <w:rsid w:val="000C6216"/>
    <w:rsid w:val="000C7CB1"/>
    <w:rsid w:val="000D495B"/>
    <w:rsid w:val="000D5951"/>
    <w:rsid w:val="000D5A83"/>
    <w:rsid w:val="000E301F"/>
    <w:rsid w:val="000E4461"/>
    <w:rsid w:val="000E503C"/>
    <w:rsid w:val="000E5C95"/>
    <w:rsid w:val="000E71E0"/>
    <w:rsid w:val="000E7C11"/>
    <w:rsid w:val="000F1213"/>
    <w:rsid w:val="000F16E2"/>
    <w:rsid w:val="000F4347"/>
    <w:rsid w:val="000F45E1"/>
    <w:rsid w:val="000F715F"/>
    <w:rsid w:val="001005CD"/>
    <w:rsid w:val="00100D0C"/>
    <w:rsid w:val="00103843"/>
    <w:rsid w:val="00104F4C"/>
    <w:rsid w:val="00106018"/>
    <w:rsid w:val="001061B7"/>
    <w:rsid w:val="001118AB"/>
    <w:rsid w:val="0011292D"/>
    <w:rsid w:val="00112F32"/>
    <w:rsid w:val="00114E44"/>
    <w:rsid w:val="00117C00"/>
    <w:rsid w:val="00117CE7"/>
    <w:rsid w:val="00120005"/>
    <w:rsid w:val="00120836"/>
    <w:rsid w:val="00122219"/>
    <w:rsid w:val="00122C17"/>
    <w:rsid w:val="0012342F"/>
    <w:rsid w:val="001249F5"/>
    <w:rsid w:val="00125B7D"/>
    <w:rsid w:val="00126BC4"/>
    <w:rsid w:val="001271DE"/>
    <w:rsid w:val="0012729E"/>
    <w:rsid w:val="001277F7"/>
    <w:rsid w:val="00135BEE"/>
    <w:rsid w:val="00137BD1"/>
    <w:rsid w:val="0014089D"/>
    <w:rsid w:val="001408DA"/>
    <w:rsid w:val="00140C01"/>
    <w:rsid w:val="00144BBF"/>
    <w:rsid w:val="0014519F"/>
    <w:rsid w:val="001456DC"/>
    <w:rsid w:val="0014649C"/>
    <w:rsid w:val="00150E41"/>
    <w:rsid w:val="0015189B"/>
    <w:rsid w:val="0015434E"/>
    <w:rsid w:val="0015481D"/>
    <w:rsid w:val="00155334"/>
    <w:rsid w:val="0016022F"/>
    <w:rsid w:val="0016029A"/>
    <w:rsid w:val="00163857"/>
    <w:rsid w:val="00164AA6"/>
    <w:rsid w:val="001656E4"/>
    <w:rsid w:val="001671D4"/>
    <w:rsid w:val="00167570"/>
    <w:rsid w:val="00167710"/>
    <w:rsid w:val="001722B0"/>
    <w:rsid w:val="00175080"/>
    <w:rsid w:val="00175D3C"/>
    <w:rsid w:val="00176596"/>
    <w:rsid w:val="001768AB"/>
    <w:rsid w:val="001769E7"/>
    <w:rsid w:val="00176A4B"/>
    <w:rsid w:val="0017747D"/>
    <w:rsid w:val="00177A17"/>
    <w:rsid w:val="0018184E"/>
    <w:rsid w:val="00181DCE"/>
    <w:rsid w:val="001823A5"/>
    <w:rsid w:val="001828CA"/>
    <w:rsid w:val="001840C8"/>
    <w:rsid w:val="001853D6"/>
    <w:rsid w:val="00186779"/>
    <w:rsid w:val="001868D7"/>
    <w:rsid w:val="00186B46"/>
    <w:rsid w:val="00187D74"/>
    <w:rsid w:val="00191722"/>
    <w:rsid w:val="00192C9D"/>
    <w:rsid w:val="0019647A"/>
    <w:rsid w:val="0019786D"/>
    <w:rsid w:val="00197E8B"/>
    <w:rsid w:val="001A10A8"/>
    <w:rsid w:val="001A2946"/>
    <w:rsid w:val="001A2BFD"/>
    <w:rsid w:val="001A5249"/>
    <w:rsid w:val="001A6E1D"/>
    <w:rsid w:val="001A74AE"/>
    <w:rsid w:val="001B060B"/>
    <w:rsid w:val="001B09CB"/>
    <w:rsid w:val="001B22CF"/>
    <w:rsid w:val="001B2DAE"/>
    <w:rsid w:val="001B4026"/>
    <w:rsid w:val="001B52CF"/>
    <w:rsid w:val="001B76DB"/>
    <w:rsid w:val="001C0B04"/>
    <w:rsid w:val="001C5606"/>
    <w:rsid w:val="001D46F7"/>
    <w:rsid w:val="001D58FD"/>
    <w:rsid w:val="001D5971"/>
    <w:rsid w:val="001D64B3"/>
    <w:rsid w:val="001D66C7"/>
    <w:rsid w:val="001D700A"/>
    <w:rsid w:val="001D7142"/>
    <w:rsid w:val="001E18F8"/>
    <w:rsid w:val="001E266A"/>
    <w:rsid w:val="001E3CE5"/>
    <w:rsid w:val="001E51B9"/>
    <w:rsid w:val="001E583D"/>
    <w:rsid w:val="001E6B39"/>
    <w:rsid w:val="001F07E4"/>
    <w:rsid w:val="001F0C7B"/>
    <w:rsid w:val="001F0DB7"/>
    <w:rsid w:val="001F1849"/>
    <w:rsid w:val="001F2137"/>
    <w:rsid w:val="001F35B9"/>
    <w:rsid w:val="001F6D85"/>
    <w:rsid w:val="001F726D"/>
    <w:rsid w:val="001F7602"/>
    <w:rsid w:val="001F7D15"/>
    <w:rsid w:val="002023C4"/>
    <w:rsid w:val="002044B7"/>
    <w:rsid w:val="00206634"/>
    <w:rsid w:val="00207863"/>
    <w:rsid w:val="002115CF"/>
    <w:rsid w:val="00211CA1"/>
    <w:rsid w:val="0021226C"/>
    <w:rsid w:val="00213435"/>
    <w:rsid w:val="002148AA"/>
    <w:rsid w:val="00214C0F"/>
    <w:rsid w:val="002164D2"/>
    <w:rsid w:val="002202CE"/>
    <w:rsid w:val="00220A5A"/>
    <w:rsid w:val="00220B85"/>
    <w:rsid w:val="002220AB"/>
    <w:rsid w:val="00222522"/>
    <w:rsid w:val="00224F01"/>
    <w:rsid w:val="0022629A"/>
    <w:rsid w:val="002271F9"/>
    <w:rsid w:val="0022745C"/>
    <w:rsid w:val="0023168E"/>
    <w:rsid w:val="00231E30"/>
    <w:rsid w:val="00232F8C"/>
    <w:rsid w:val="00235D8D"/>
    <w:rsid w:val="0024375A"/>
    <w:rsid w:val="0024521C"/>
    <w:rsid w:val="00246CCB"/>
    <w:rsid w:val="002479EB"/>
    <w:rsid w:val="002520BB"/>
    <w:rsid w:val="00253528"/>
    <w:rsid w:val="00254D53"/>
    <w:rsid w:val="00254F55"/>
    <w:rsid w:val="0025606A"/>
    <w:rsid w:val="0025606C"/>
    <w:rsid w:val="00256163"/>
    <w:rsid w:val="00256A59"/>
    <w:rsid w:val="002573E5"/>
    <w:rsid w:val="00257A7C"/>
    <w:rsid w:val="00257B87"/>
    <w:rsid w:val="00257BCF"/>
    <w:rsid w:val="00260C39"/>
    <w:rsid w:val="0026201B"/>
    <w:rsid w:val="0026241E"/>
    <w:rsid w:val="00263339"/>
    <w:rsid w:val="00265206"/>
    <w:rsid w:val="00265DFA"/>
    <w:rsid w:val="00265E9E"/>
    <w:rsid w:val="00266E8F"/>
    <w:rsid w:val="00270947"/>
    <w:rsid w:val="00270AA9"/>
    <w:rsid w:val="00270ECA"/>
    <w:rsid w:val="00270FA3"/>
    <w:rsid w:val="0027274D"/>
    <w:rsid w:val="0027299A"/>
    <w:rsid w:val="00274DA6"/>
    <w:rsid w:val="00275512"/>
    <w:rsid w:val="0027687B"/>
    <w:rsid w:val="00276E7E"/>
    <w:rsid w:val="0028098A"/>
    <w:rsid w:val="002810B8"/>
    <w:rsid w:val="00281164"/>
    <w:rsid w:val="002844BD"/>
    <w:rsid w:val="00284D26"/>
    <w:rsid w:val="002850E4"/>
    <w:rsid w:val="0028799B"/>
    <w:rsid w:val="00290520"/>
    <w:rsid w:val="00290A17"/>
    <w:rsid w:val="00291247"/>
    <w:rsid w:val="00293338"/>
    <w:rsid w:val="00293EAC"/>
    <w:rsid w:val="00295DB8"/>
    <w:rsid w:val="002967AD"/>
    <w:rsid w:val="00297048"/>
    <w:rsid w:val="0029704B"/>
    <w:rsid w:val="002A012E"/>
    <w:rsid w:val="002A2F43"/>
    <w:rsid w:val="002A37B4"/>
    <w:rsid w:val="002A5B96"/>
    <w:rsid w:val="002A6E5F"/>
    <w:rsid w:val="002B130D"/>
    <w:rsid w:val="002B1F27"/>
    <w:rsid w:val="002B2791"/>
    <w:rsid w:val="002B3008"/>
    <w:rsid w:val="002B35F5"/>
    <w:rsid w:val="002B387A"/>
    <w:rsid w:val="002B718D"/>
    <w:rsid w:val="002B7A03"/>
    <w:rsid w:val="002C0C19"/>
    <w:rsid w:val="002C111C"/>
    <w:rsid w:val="002C3053"/>
    <w:rsid w:val="002C3357"/>
    <w:rsid w:val="002C3C4B"/>
    <w:rsid w:val="002C46A8"/>
    <w:rsid w:val="002C6825"/>
    <w:rsid w:val="002C7AC9"/>
    <w:rsid w:val="002C7E7E"/>
    <w:rsid w:val="002D01ED"/>
    <w:rsid w:val="002D1EEB"/>
    <w:rsid w:val="002D26C3"/>
    <w:rsid w:val="002D2A81"/>
    <w:rsid w:val="002D2AF5"/>
    <w:rsid w:val="002D30FD"/>
    <w:rsid w:val="002D5E5C"/>
    <w:rsid w:val="002E4DC8"/>
    <w:rsid w:val="002E4E0B"/>
    <w:rsid w:val="002E7DF6"/>
    <w:rsid w:val="002F0A21"/>
    <w:rsid w:val="002F11B2"/>
    <w:rsid w:val="002F2EA1"/>
    <w:rsid w:val="002F32A7"/>
    <w:rsid w:val="002F3681"/>
    <w:rsid w:val="002F4469"/>
    <w:rsid w:val="002F4F96"/>
    <w:rsid w:val="002F7EB2"/>
    <w:rsid w:val="0030101E"/>
    <w:rsid w:val="00301F29"/>
    <w:rsid w:val="003025DC"/>
    <w:rsid w:val="00302A77"/>
    <w:rsid w:val="00303BE2"/>
    <w:rsid w:val="00305215"/>
    <w:rsid w:val="003073C1"/>
    <w:rsid w:val="00310110"/>
    <w:rsid w:val="00310126"/>
    <w:rsid w:val="00310D04"/>
    <w:rsid w:val="0031139C"/>
    <w:rsid w:val="00311D59"/>
    <w:rsid w:val="003124B0"/>
    <w:rsid w:val="0031574E"/>
    <w:rsid w:val="003234E4"/>
    <w:rsid w:val="003244AD"/>
    <w:rsid w:val="003278A5"/>
    <w:rsid w:val="00331F9D"/>
    <w:rsid w:val="003320AF"/>
    <w:rsid w:val="0033241D"/>
    <w:rsid w:val="003350D1"/>
    <w:rsid w:val="0033658B"/>
    <w:rsid w:val="00337EF7"/>
    <w:rsid w:val="00342287"/>
    <w:rsid w:val="00342CF9"/>
    <w:rsid w:val="00343E7A"/>
    <w:rsid w:val="0034490B"/>
    <w:rsid w:val="00345CB2"/>
    <w:rsid w:val="00347005"/>
    <w:rsid w:val="00347096"/>
    <w:rsid w:val="003475CA"/>
    <w:rsid w:val="00350487"/>
    <w:rsid w:val="00350909"/>
    <w:rsid w:val="00352268"/>
    <w:rsid w:val="00353998"/>
    <w:rsid w:val="0035526B"/>
    <w:rsid w:val="00355665"/>
    <w:rsid w:val="00356CFC"/>
    <w:rsid w:val="00360617"/>
    <w:rsid w:val="00362392"/>
    <w:rsid w:val="00362E02"/>
    <w:rsid w:val="00362E71"/>
    <w:rsid w:val="00365F92"/>
    <w:rsid w:val="00366B13"/>
    <w:rsid w:val="00367936"/>
    <w:rsid w:val="00372AEF"/>
    <w:rsid w:val="003739FF"/>
    <w:rsid w:val="003750C4"/>
    <w:rsid w:val="00375109"/>
    <w:rsid w:val="003764D1"/>
    <w:rsid w:val="00381B7F"/>
    <w:rsid w:val="00382295"/>
    <w:rsid w:val="00383128"/>
    <w:rsid w:val="00386D2D"/>
    <w:rsid w:val="003874E2"/>
    <w:rsid w:val="0039081C"/>
    <w:rsid w:val="00390BE4"/>
    <w:rsid w:val="00391025"/>
    <w:rsid w:val="00392D2B"/>
    <w:rsid w:val="00396F8B"/>
    <w:rsid w:val="003A20C4"/>
    <w:rsid w:val="003A3D8A"/>
    <w:rsid w:val="003A4761"/>
    <w:rsid w:val="003A4D27"/>
    <w:rsid w:val="003A6907"/>
    <w:rsid w:val="003A6A48"/>
    <w:rsid w:val="003A79C3"/>
    <w:rsid w:val="003A7E79"/>
    <w:rsid w:val="003A7E82"/>
    <w:rsid w:val="003B375D"/>
    <w:rsid w:val="003B3CB7"/>
    <w:rsid w:val="003B44D0"/>
    <w:rsid w:val="003B5A7E"/>
    <w:rsid w:val="003B6043"/>
    <w:rsid w:val="003B605B"/>
    <w:rsid w:val="003B7A46"/>
    <w:rsid w:val="003C1A2F"/>
    <w:rsid w:val="003C1AB4"/>
    <w:rsid w:val="003C1FE8"/>
    <w:rsid w:val="003C4914"/>
    <w:rsid w:val="003C5BB9"/>
    <w:rsid w:val="003C7923"/>
    <w:rsid w:val="003D01B0"/>
    <w:rsid w:val="003D0AEA"/>
    <w:rsid w:val="003D260E"/>
    <w:rsid w:val="003D519F"/>
    <w:rsid w:val="003D5CAE"/>
    <w:rsid w:val="003D5E79"/>
    <w:rsid w:val="003D645D"/>
    <w:rsid w:val="003D7434"/>
    <w:rsid w:val="003D7D8D"/>
    <w:rsid w:val="003E122D"/>
    <w:rsid w:val="003E2BD3"/>
    <w:rsid w:val="003E6305"/>
    <w:rsid w:val="003E63C8"/>
    <w:rsid w:val="003E79DE"/>
    <w:rsid w:val="003F1922"/>
    <w:rsid w:val="003F1D52"/>
    <w:rsid w:val="003F4163"/>
    <w:rsid w:val="003F6572"/>
    <w:rsid w:val="003F7697"/>
    <w:rsid w:val="003F791F"/>
    <w:rsid w:val="003F7BD8"/>
    <w:rsid w:val="003F7CE4"/>
    <w:rsid w:val="00402BDD"/>
    <w:rsid w:val="00404C61"/>
    <w:rsid w:val="00404F1F"/>
    <w:rsid w:val="0040728F"/>
    <w:rsid w:val="0041061F"/>
    <w:rsid w:val="00411117"/>
    <w:rsid w:val="004130A7"/>
    <w:rsid w:val="00413333"/>
    <w:rsid w:val="0041360C"/>
    <w:rsid w:val="0041437D"/>
    <w:rsid w:val="004159D9"/>
    <w:rsid w:val="00416665"/>
    <w:rsid w:val="004214B1"/>
    <w:rsid w:val="0042180F"/>
    <w:rsid w:val="0042457F"/>
    <w:rsid w:val="004248EF"/>
    <w:rsid w:val="00425056"/>
    <w:rsid w:val="00430851"/>
    <w:rsid w:val="00431D0B"/>
    <w:rsid w:val="00432D3C"/>
    <w:rsid w:val="00433285"/>
    <w:rsid w:val="004336B0"/>
    <w:rsid w:val="00433E8C"/>
    <w:rsid w:val="00434964"/>
    <w:rsid w:val="004355C3"/>
    <w:rsid w:val="004368AF"/>
    <w:rsid w:val="00436A2B"/>
    <w:rsid w:val="00441401"/>
    <w:rsid w:val="00441925"/>
    <w:rsid w:val="0044412C"/>
    <w:rsid w:val="0044563E"/>
    <w:rsid w:val="0044700B"/>
    <w:rsid w:val="00447C44"/>
    <w:rsid w:val="00450326"/>
    <w:rsid w:val="00453CD2"/>
    <w:rsid w:val="00454935"/>
    <w:rsid w:val="00456ABE"/>
    <w:rsid w:val="00456EDF"/>
    <w:rsid w:val="0046052A"/>
    <w:rsid w:val="0046358A"/>
    <w:rsid w:val="004653D6"/>
    <w:rsid w:val="004656EA"/>
    <w:rsid w:val="004660AE"/>
    <w:rsid w:val="004703C9"/>
    <w:rsid w:val="004725CA"/>
    <w:rsid w:val="00473A7A"/>
    <w:rsid w:val="00474F92"/>
    <w:rsid w:val="00474FEC"/>
    <w:rsid w:val="004758F3"/>
    <w:rsid w:val="00476134"/>
    <w:rsid w:val="00476C81"/>
    <w:rsid w:val="0048061B"/>
    <w:rsid w:val="00480CDB"/>
    <w:rsid w:val="0048105F"/>
    <w:rsid w:val="00481191"/>
    <w:rsid w:val="00481C78"/>
    <w:rsid w:val="004820C6"/>
    <w:rsid w:val="004846A1"/>
    <w:rsid w:val="00491C3F"/>
    <w:rsid w:val="004929BC"/>
    <w:rsid w:val="00493795"/>
    <w:rsid w:val="004967B7"/>
    <w:rsid w:val="004A01EB"/>
    <w:rsid w:val="004A2A35"/>
    <w:rsid w:val="004A3306"/>
    <w:rsid w:val="004A37A2"/>
    <w:rsid w:val="004A5388"/>
    <w:rsid w:val="004A5A02"/>
    <w:rsid w:val="004A6E8A"/>
    <w:rsid w:val="004A757D"/>
    <w:rsid w:val="004B064C"/>
    <w:rsid w:val="004B0EA0"/>
    <w:rsid w:val="004B1389"/>
    <w:rsid w:val="004B186D"/>
    <w:rsid w:val="004B4279"/>
    <w:rsid w:val="004B61C7"/>
    <w:rsid w:val="004B73DE"/>
    <w:rsid w:val="004C0BEF"/>
    <w:rsid w:val="004C1C15"/>
    <w:rsid w:val="004C2A46"/>
    <w:rsid w:val="004C31AA"/>
    <w:rsid w:val="004C5C81"/>
    <w:rsid w:val="004C5DDD"/>
    <w:rsid w:val="004C7736"/>
    <w:rsid w:val="004C7C41"/>
    <w:rsid w:val="004D1333"/>
    <w:rsid w:val="004D228D"/>
    <w:rsid w:val="004D25AE"/>
    <w:rsid w:val="004D26A5"/>
    <w:rsid w:val="004D31AC"/>
    <w:rsid w:val="004D42D4"/>
    <w:rsid w:val="004D448E"/>
    <w:rsid w:val="004D50A7"/>
    <w:rsid w:val="004D55C7"/>
    <w:rsid w:val="004D627D"/>
    <w:rsid w:val="004D74DC"/>
    <w:rsid w:val="004E0E72"/>
    <w:rsid w:val="004E2800"/>
    <w:rsid w:val="004E33DF"/>
    <w:rsid w:val="004E34F2"/>
    <w:rsid w:val="004E3A44"/>
    <w:rsid w:val="004E4ACA"/>
    <w:rsid w:val="004E5225"/>
    <w:rsid w:val="004E5B85"/>
    <w:rsid w:val="004E6701"/>
    <w:rsid w:val="004E672B"/>
    <w:rsid w:val="004E7AAC"/>
    <w:rsid w:val="004F05C8"/>
    <w:rsid w:val="004F28C1"/>
    <w:rsid w:val="004F3E6C"/>
    <w:rsid w:val="004F4471"/>
    <w:rsid w:val="00500D13"/>
    <w:rsid w:val="00501DDE"/>
    <w:rsid w:val="0050661F"/>
    <w:rsid w:val="005071F2"/>
    <w:rsid w:val="00507873"/>
    <w:rsid w:val="00511CC8"/>
    <w:rsid w:val="00512806"/>
    <w:rsid w:val="00513865"/>
    <w:rsid w:val="0051591D"/>
    <w:rsid w:val="00517AA6"/>
    <w:rsid w:val="00517F50"/>
    <w:rsid w:val="0052058E"/>
    <w:rsid w:val="00520B6E"/>
    <w:rsid w:val="00520E0B"/>
    <w:rsid w:val="0052190F"/>
    <w:rsid w:val="00522187"/>
    <w:rsid w:val="0052456E"/>
    <w:rsid w:val="00525340"/>
    <w:rsid w:val="00525AC5"/>
    <w:rsid w:val="0052736F"/>
    <w:rsid w:val="00527871"/>
    <w:rsid w:val="00535C84"/>
    <w:rsid w:val="0053646D"/>
    <w:rsid w:val="00537CFE"/>
    <w:rsid w:val="00540140"/>
    <w:rsid w:val="00540CB2"/>
    <w:rsid w:val="005430AA"/>
    <w:rsid w:val="00544362"/>
    <w:rsid w:val="005445D6"/>
    <w:rsid w:val="005448B1"/>
    <w:rsid w:val="00546D2C"/>
    <w:rsid w:val="00551600"/>
    <w:rsid w:val="00553CE1"/>
    <w:rsid w:val="0055432E"/>
    <w:rsid w:val="005548AD"/>
    <w:rsid w:val="00556ADD"/>
    <w:rsid w:val="00556B33"/>
    <w:rsid w:val="0056010A"/>
    <w:rsid w:val="005618CC"/>
    <w:rsid w:val="005618FA"/>
    <w:rsid w:val="00562BE6"/>
    <w:rsid w:val="00566AE7"/>
    <w:rsid w:val="00566DD8"/>
    <w:rsid w:val="00567652"/>
    <w:rsid w:val="00567DEA"/>
    <w:rsid w:val="00570437"/>
    <w:rsid w:val="00571F19"/>
    <w:rsid w:val="00574571"/>
    <w:rsid w:val="00575E23"/>
    <w:rsid w:val="005772B0"/>
    <w:rsid w:val="00577A5A"/>
    <w:rsid w:val="00577AAC"/>
    <w:rsid w:val="00580A87"/>
    <w:rsid w:val="00582398"/>
    <w:rsid w:val="0058480B"/>
    <w:rsid w:val="005850DA"/>
    <w:rsid w:val="0058546D"/>
    <w:rsid w:val="00585EA7"/>
    <w:rsid w:val="005901BF"/>
    <w:rsid w:val="005905E4"/>
    <w:rsid w:val="00591059"/>
    <w:rsid w:val="00591E40"/>
    <w:rsid w:val="005928DE"/>
    <w:rsid w:val="00594615"/>
    <w:rsid w:val="0059477C"/>
    <w:rsid w:val="0059684A"/>
    <w:rsid w:val="005978E2"/>
    <w:rsid w:val="00597E8B"/>
    <w:rsid w:val="00597F56"/>
    <w:rsid w:val="005A048F"/>
    <w:rsid w:val="005A1514"/>
    <w:rsid w:val="005A38AA"/>
    <w:rsid w:val="005A4562"/>
    <w:rsid w:val="005A47C5"/>
    <w:rsid w:val="005A543A"/>
    <w:rsid w:val="005A77D2"/>
    <w:rsid w:val="005A7BA4"/>
    <w:rsid w:val="005B0266"/>
    <w:rsid w:val="005B1EC9"/>
    <w:rsid w:val="005B2829"/>
    <w:rsid w:val="005B3B27"/>
    <w:rsid w:val="005B5688"/>
    <w:rsid w:val="005B5DF5"/>
    <w:rsid w:val="005B7F57"/>
    <w:rsid w:val="005C0004"/>
    <w:rsid w:val="005C0649"/>
    <w:rsid w:val="005C0750"/>
    <w:rsid w:val="005C1243"/>
    <w:rsid w:val="005C22E8"/>
    <w:rsid w:val="005C30BA"/>
    <w:rsid w:val="005C6133"/>
    <w:rsid w:val="005C7344"/>
    <w:rsid w:val="005D09D8"/>
    <w:rsid w:val="005D2B80"/>
    <w:rsid w:val="005D4001"/>
    <w:rsid w:val="005D4C3E"/>
    <w:rsid w:val="005D5E59"/>
    <w:rsid w:val="005D60B6"/>
    <w:rsid w:val="005D6B34"/>
    <w:rsid w:val="005D75C4"/>
    <w:rsid w:val="005E02C8"/>
    <w:rsid w:val="005E0700"/>
    <w:rsid w:val="005E1D2C"/>
    <w:rsid w:val="005E385E"/>
    <w:rsid w:val="005E4B8B"/>
    <w:rsid w:val="005E4CF1"/>
    <w:rsid w:val="005E5409"/>
    <w:rsid w:val="005E5A3D"/>
    <w:rsid w:val="005F0098"/>
    <w:rsid w:val="005F12E6"/>
    <w:rsid w:val="005F18F2"/>
    <w:rsid w:val="005F5990"/>
    <w:rsid w:val="005F59BE"/>
    <w:rsid w:val="005F7611"/>
    <w:rsid w:val="005F7BE4"/>
    <w:rsid w:val="00601820"/>
    <w:rsid w:val="00601981"/>
    <w:rsid w:val="006038E8"/>
    <w:rsid w:val="00605D6F"/>
    <w:rsid w:val="00610918"/>
    <w:rsid w:val="006117C9"/>
    <w:rsid w:val="00612E79"/>
    <w:rsid w:val="00616FD7"/>
    <w:rsid w:val="006170D6"/>
    <w:rsid w:val="006173A3"/>
    <w:rsid w:val="00621F34"/>
    <w:rsid w:val="00623FE4"/>
    <w:rsid w:val="0062464C"/>
    <w:rsid w:val="006254D8"/>
    <w:rsid w:val="00626A15"/>
    <w:rsid w:val="00627405"/>
    <w:rsid w:val="006308DA"/>
    <w:rsid w:val="006317A1"/>
    <w:rsid w:val="00633093"/>
    <w:rsid w:val="00633283"/>
    <w:rsid w:val="00635366"/>
    <w:rsid w:val="006364E1"/>
    <w:rsid w:val="00636F82"/>
    <w:rsid w:val="00637B57"/>
    <w:rsid w:val="00641BB7"/>
    <w:rsid w:val="006426B0"/>
    <w:rsid w:val="00643D28"/>
    <w:rsid w:val="00644837"/>
    <w:rsid w:val="006453BD"/>
    <w:rsid w:val="0065041D"/>
    <w:rsid w:val="006514DE"/>
    <w:rsid w:val="00653CC0"/>
    <w:rsid w:val="00653E0D"/>
    <w:rsid w:val="00656AC8"/>
    <w:rsid w:val="006577FF"/>
    <w:rsid w:val="00657CFF"/>
    <w:rsid w:val="0066054B"/>
    <w:rsid w:val="006605EC"/>
    <w:rsid w:val="0066114D"/>
    <w:rsid w:val="00661661"/>
    <w:rsid w:val="0066173C"/>
    <w:rsid w:val="00661822"/>
    <w:rsid w:val="0066386B"/>
    <w:rsid w:val="00664110"/>
    <w:rsid w:val="00666E24"/>
    <w:rsid w:val="0066771C"/>
    <w:rsid w:val="00670E25"/>
    <w:rsid w:val="00672023"/>
    <w:rsid w:val="006721CC"/>
    <w:rsid w:val="00672474"/>
    <w:rsid w:val="006739AF"/>
    <w:rsid w:val="00674E43"/>
    <w:rsid w:val="0067683F"/>
    <w:rsid w:val="00680C54"/>
    <w:rsid w:val="006825DD"/>
    <w:rsid w:val="00683F99"/>
    <w:rsid w:val="0068416F"/>
    <w:rsid w:val="00685740"/>
    <w:rsid w:val="00685783"/>
    <w:rsid w:val="0068624C"/>
    <w:rsid w:val="006863B6"/>
    <w:rsid w:val="0068641F"/>
    <w:rsid w:val="006865E3"/>
    <w:rsid w:val="00687F45"/>
    <w:rsid w:val="00690043"/>
    <w:rsid w:val="0069290C"/>
    <w:rsid w:val="00694371"/>
    <w:rsid w:val="00694694"/>
    <w:rsid w:val="0069517F"/>
    <w:rsid w:val="006953D4"/>
    <w:rsid w:val="00695EE4"/>
    <w:rsid w:val="00697261"/>
    <w:rsid w:val="006A057C"/>
    <w:rsid w:val="006A1BE8"/>
    <w:rsid w:val="006A323A"/>
    <w:rsid w:val="006A5245"/>
    <w:rsid w:val="006A56B8"/>
    <w:rsid w:val="006A7355"/>
    <w:rsid w:val="006B0ACA"/>
    <w:rsid w:val="006B224C"/>
    <w:rsid w:val="006B2BA5"/>
    <w:rsid w:val="006B4BB4"/>
    <w:rsid w:val="006B5B5C"/>
    <w:rsid w:val="006B7CE5"/>
    <w:rsid w:val="006C1C6D"/>
    <w:rsid w:val="006C29B3"/>
    <w:rsid w:val="006C3ABC"/>
    <w:rsid w:val="006C44C3"/>
    <w:rsid w:val="006C49A4"/>
    <w:rsid w:val="006C71C1"/>
    <w:rsid w:val="006C73CB"/>
    <w:rsid w:val="006D17DE"/>
    <w:rsid w:val="006D2738"/>
    <w:rsid w:val="006D4BA9"/>
    <w:rsid w:val="006D5134"/>
    <w:rsid w:val="006D54BE"/>
    <w:rsid w:val="006D63F2"/>
    <w:rsid w:val="006E1274"/>
    <w:rsid w:val="006E18F1"/>
    <w:rsid w:val="006E1E3A"/>
    <w:rsid w:val="006E2A75"/>
    <w:rsid w:val="006E42A8"/>
    <w:rsid w:val="006E4B16"/>
    <w:rsid w:val="006E588C"/>
    <w:rsid w:val="006E748A"/>
    <w:rsid w:val="006F25A5"/>
    <w:rsid w:val="006F434E"/>
    <w:rsid w:val="007005DA"/>
    <w:rsid w:val="0070229C"/>
    <w:rsid w:val="007037E3"/>
    <w:rsid w:val="007041B5"/>
    <w:rsid w:val="00705AF9"/>
    <w:rsid w:val="007069E7"/>
    <w:rsid w:val="00706E7A"/>
    <w:rsid w:val="00710CC6"/>
    <w:rsid w:val="00712A0E"/>
    <w:rsid w:val="00712F8A"/>
    <w:rsid w:val="007145FB"/>
    <w:rsid w:val="00714F91"/>
    <w:rsid w:val="007160D5"/>
    <w:rsid w:val="007173CC"/>
    <w:rsid w:val="00717722"/>
    <w:rsid w:val="00717D2E"/>
    <w:rsid w:val="00717D44"/>
    <w:rsid w:val="00717F56"/>
    <w:rsid w:val="0072155F"/>
    <w:rsid w:val="0072229A"/>
    <w:rsid w:val="007223FB"/>
    <w:rsid w:val="00723A8F"/>
    <w:rsid w:val="0072407B"/>
    <w:rsid w:val="00725075"/>
    <w:rsid w:val="0072577F"/>
    <w:rsid w:val="007303A2"/>
    <w:rsid w:val="0073089E"/>
    <w:rsid w:val="007317BF"/>
    <w:rsid w:val="00731854"/>
    <w:rsid w:val="00733DA6"/>
    <w:rsid w:val="00734FCA"/>
    <w:rsid w:val="007370E4"/>
    <w:rsid w:val="00740CEE"/>
    <w:rsid w:val="0074123E"/>
    <w:rsid w:val="00741534"/>
    <w:rsid w:val="00742C69"/>
    <w:rsid w:val="00742F65"/>
    <w:rsid w:val="00743C01"/>
    <w:rsid w:val="007457B8"/>
    <w:rsid w:val="00747886"/>
    <w:rsid w:val="00751017"/>
    <w:rsid w:val="007518F3"/>
    <w:rsid w:val="007524F4"/>
    <w:rsid w:val="00753065"/>
    <w:rsid w:val="00754DF7"/>
    <w:rsid w:val="0075746A"/>
    <w:rsid w:val="00757D17"/>
    <w:rsid w:val="00760FD9"/>
    <w:rsid w:val="00761FBE"/>
    <w:rsid w:val="007629FD"/>
    <w:rsid w:val="00762E9D"/>
    <w:rsid w:val="00762F85"/>
    <w:rsid w:val="00764700"/>
    <w:rsid w:val="00765965"/>
    <w:rsid w:val="0076796F"/>
    <w:rsid w:val="007713B3"/>
    <w:rsid w:val="00771795"/>
    <w:rsid w:val="00772814"/>
    <w:rsid w:val="00775000"/>
    <w:rsid w:val="00776F67"/>
    <w:rsid w:val="00782C30"/>
    <w:rsid w:val="00783601"/>
    <w:rsid w:val="00785E30"/>
    <w:rsid w:val="00790439"/>
    <w:rsid w:val="007904E5"/>
    <w:rsid w:val="0079067F"/>
    <w:rsid w:val="00790D68"/>
    <w:rsid w:val="00791B55"/>
    <w:rsid w:val="00793801"/>
    <w:rsid w:val="00796807"/>
    <w:rsid w:val="007A036F"/>
    <w:rsid w:val="007A04B4"/>
    <w:rsid w:val="007A065A"/>
    <w:rsid w:val="007A72C7"/>
    <w:rsid w:val="007A7714"/>
    <w:rsid w:val="007A7FF0"/>
    <w:rsid w:val="007B0C4A"/>
    <w:rsid w:val="007B0C92"/>
    <w:rsid w:val="007B1E97"/>
    <w:rsid w:val="007B24FB"/>
    <w:rsid w:val="007B2678"/>
    <w:rsid w:val="007B2D0E"/>
    <w:rsid w:val="007B3777"/>
    <w:rsid w:val="007C07FD"/>
    <w:rsid w:val="007C0AD7"/>
    <w:rsid w:val="007C1FB7"/>
    <w:rsid w:val="007C2524"/>
    <w:rsid w:val="007C38EC"/>
    <w:rsid w:val="007C5541"/>
    <w:rsid w:val="007C60F2"/>
    <w:rsid w:val="007C673C"/>
    <w:rsid w:val="007C733E"/>
    <w:rsid w:val="007C7775"/>
    <w:rsid w:val="007D13BD"/>
    <w:rsid w:val="007D3237"/>
    <w:rsid w:val="007D3314"/>
    <w:rsid w:val="007E043A"/>
    <w:rsid w:val="007E08F6"/>
    <w:rsid w:val="007E1207"/>
    <w:rsid w:val="007E1DC3"/>
    <w:rsid w:val="007E2287"/>
    <w:rsid w:val="007E2BE7"/>
    <w:rsid w:val="007E3EF6"/>
    <w:rsid w:val="007E4823"/>
    <w:rsid w:val="007E7DAA"/>
    <w:rsid w:val="007F1844"/>
    <w:rsid w:val="007F322E"/>
    <w:rsid w:val="007F5EDB"/>
    <w:rsid w:val="007F7E87"/>
    <w:rsid w:val="00800480"/>
    <w:rsid w:val="00801F6C"/>
    <w:rsid w:val="0080284D"/>
    <w:rsid w:val="00805940"/>
    <w:rsid w:val="008106D2"/>
    <w:rsid w:val="00810ACE"/>
    <w:rsid w:val="00810E43"/>
    <w:rsid w:val="00811A12"/>
    <w:rsid w:val="00811C34"/>
    <w:rsid w:val="0081249E"/>
    <w:rsid w:val="00812CC7"/>
    <w:rsid w:val="0081422A"/>
    <w:rsid w:val="0081510F"/>
    <w:rsid w:val="00815C24"/>
    <w:rsid w:val="0082173D"/>
    <w:rsid w:val="0082204E"/>
    <w:rsid w:val="008237CB"/>
    <w:rsid w:val="0082503D"/>
    <w:rsid w:val="00825623"/>
    <w:rsid w:val="00827088"/>
    <w:rsid w:val="00827733"/>
    <w:rsid w:val="00827D55"/>
    <w:rsid w:val="00827F05"/>
    <w:rsid w:val="00830514"/>
    <w:rsid w:val="0083163E"/>
    <w:rsid w:val="00831822"/>
    <w:rsid w:val="00831CB1"/>
    <w:rsid w:val="00832487"/>
    <w:rsid w:val="00832BA2"/>
    <w:rsid w:val="008333C0"/>
    <w:rsid w:val="00833BA1"/>
    <w:rsid w:val="00834685"/>
    <w:rsid w:val="0083494C"/>
    <w:rsid w:val="00834BAC"/>
    <w:rsid w:val="0083595B"/>
    <w:rsid w:val="008376D3"/>
    <w:rsid w:val="00837DFB"/>
    <w:rsid w:val="00840658"/>
    <w:rsid w:val="0084147B"/>
    <w:rsid w:val="0084220A"/>
    <w:rsid w:val="00842B18"/>
    <w:rsid w:val="00843381"/>
    <w:rsid w:val="00844057"/>
    <w:rsid w:val="00846F57"/>
    <w:rsid w:val="00847157"/>
    <w:rsid w:val="0085234D"/>
    <w:rsid w:val="008529F8"/>
    <w:rsid w:val="0085345C"/>
    <w:rsid w:val="008537DD"/>
    <w:rsid w:val="00854C98"/>
    <w:rsid w:val="0085535E"/>
    <w:rsid w:val="008561D9"/>
    <w:rsid w:val="00857565"/>
    <w:rsid w:val="008577C4"/>
    <w:rsid w:val="00857FCD"/>
    <w:rsid w:val="00862DD5"/>
    <w:rsid w:val="0086311E"/>
    <w:rsid w:val="00863D79"/>
    <w:rsid w:val="0086435B"/>
    <w:rsid w:val="008647E5"/>
    <w:rsid w:val="0086603F"/>
    <w:rsid w:val="00867A2A"/>
    <w:rsid w:val="00870295"/>
    <w:rsid w:val="00870C68"/>
    <w:rsid w:val="00872BA4"/>
    <w:rsid w:val="00872C79"/>
    <w:rsid w:val="00873099"/>
    <w:rsid w:val="00874868"/>
    <w:rsid w:val="00874AA9"/>
    <w:rsid w:val="00876187"/>
    <w:rsid w:val="008776D1"/>
    <w:rsid w:val="00877782"/>
    <w:rsid w:val="008804B5"/>
    <w:rsid w:val="00882368"/>
    <w:rsid w:val="008828D0"/>
    <w:rsid w:val="00882EF4"/>
    <w:rsid w:val="00883E6A"/>
    <w:rsid w:val="008844D4"/>
    <w:rsid w:val="00887A57"/>
    <w:rsid w:val="0089109C"/>
    <w:rsid w:val="008936D6"/>
    <w:rsid w:val="008939BC"/>
    <w:rsid w:val="00893A5C"/>
    <w:rsid w:val="0089478B"/>
    <w:rsid w:val="00894E8C"/>
    <w:rsid w:val="00895022"/>
    <w:rsid w:val="00895931"/>
    <w:rsid w:val="00896576"/>
    <w:rsid w:val="00896C81"/>
    <w:rsid w:val="008971F3"/>
    <w:rsid w:val="008974E5"/>
    <w:rsid w:val="008A5545"/>
    <w:rsid w:val="008A6B15"/>
    <w:rsid w:val="008A6C89"/>
    <w:rsid w:val="008B07F3"/>
    <w:rsid w:val="008B1A58"/>
    <w:rsid w:val="008B1DB7"/>
    <w:rsid w:val="008B1E1F"/>
    <w:rsid w:val="008B39C8"/>
    <w:rsid w:val="008B4AE5"/>
    <w:rsid w:val="008B504D"/>
    <w:rsid w:val="008B5AD1"/>
    <w:rsid w:val="008B6AA9"/>
    <w:rsid w:val="008B6E53"/>
    <w:rsid w:val="008C0794"/>
    <w:rsid w:val="008C1C68"/>
    <w:rsid w:val="008D03B7"/>
    <w:rsid w:val="008D31AB"/>
    <w:rsid w:val="008D4D4A"/>
    <w:rsid w:val="008E44F2"/>
    <w:rsid w:val="008E5B4D"/>
    <w:rsid w:val="008E6782"/>
    <w:rsid w:val="008F015D"/>
    <w:rsid w:val="008F0788"/>
    <w:rsid w:val="008F0F97"/>
    <w:rsid w:val="008F250E"/>
    <w:rsid w:val="008F2F17"/>
    <w:rsid w:val="008F38CC"/>
    <w:rsid w:val="008F4575"/>
    <w:rsid w:val="008F5015"/>
    <w:rsid w:val="00900AD7"/>
    <w:rsid w:val="00901F57"/>
    <w:rsid w:val="009043F1"/>
    <w:rsid w:val="0090583C"/>
    <w:rsid w:val="0090614B"/>
    <w:rsid w:val="009101DB"/>
    <w:rsid w:val="0091048E"/>
    <w:rsid w:val="0091172A"/>
    <w:rsid w:val="00911B03"/>
    <w:rsid w:val="009120FA"/>
    <w:rsid w:val="0091235F"/>
    <w:rsid w:val="00912D31"/>
    <w:rsid w:val="009133C3"/>
    <w:rsid w:val="009141C3"/>
    <w:rsid w:val="009147EE"/>
    <w:rsid w:val="00915633"/>
    <w:rsid w:val="009156A4"/>
    <w:rsid w:val="00916E9F"/>
    <w:rsid w:val="00917323"/>
    <w:rsid w:val="00917BBA"/>
    <w:rsid w:val="00920920"/>
    <w:rsid w:val="00921C86"/>
    <w:rsid w:val="009224EE"/>
    <w:rsid w:val="00922BAF"/>
    <w:rsid w:val="009274C9"/>
    <w:rsid w:val="00931A03"/>
    <w:rsid w:val="00931F96"/>
    <w:rsid w:val="0093265A"/>
    <w:rsid w:val="0093321B"/>
    <w:rsid w:val="00933C56"/>
    <w:rsid w:val="009353DB"/>
    <w:rsid w:val="009360C6"/>
    <w:rsid w:val="00936240"/>
    <w:rsid w:val="00936757"/>
    <w:rsid w:val="00936FF4"/>
    <w:rsid w:val="00937855"/>
    <w:rsid w:val="009407CF"/>
    <w:rsid w:val="009419AB"/>
    <w:rsid w:val="00943BED"/>
    <w:rsid w:val="0094480F"/>
    <w:rsid w:val="00945C5A"/>
    <w:rsid w:val="00947FD7"/>
    <w:rsid w:val="0095004E"/>
    <w:rsid w:val="00950DEA"/>
    <w:rsid w:val="00954B75"/>
    <w:rsid w:val="00955144"/>
    <w:rsid w:val="0095631E"/>
    <w:rsid w:val="00956A5D"/>
    <w:rsid w:val="00961633"/>
    <w:rsid w:val="00962278"/>
    <w:rsid w:val="00962325"/>
    <w:rsid w:val="00962F51"/>
    <w:rsid w:val="009634E7"/>
    <w:rsid w:val="00964979"/>
    <w:rsid w:val="00965706"/>
    <w:rsid w:val="009672DE"/>
    <w:rsid w:val="009705E3"/>
    <w:rsid w:val="00971077"/>
    <w:rsid w:val="00972E30"/>
    <w:rsid w:val="00973C1B"/>
    <w:rsid w:val="00974915"/>
    <w:rsid w:val="00976C6F"/>
    <w:rsid w:val="00977FD5"/>
    <w:rsid w:val="009846D7"/>
    <w:rsid w:val="00985566"/>
    <w:rsid w:val="00985985"/>
    <w:rsid w:val="00985C0B"/>
    <w:rsid w:val="00986BA9"/>
    <w:rsid w:val="00986C5C"/>
    <w:rsid w:val="009876CD"/>
    <w:rsid w:val="00987967"/>
    <w:rsid w:val="00990027"/>
    <w:rsid w:val="00990C80"/>
    <w:rsid w:val="009924A0"/>
    <w:rsid w:val="00992E07"/>
    <w:rsid w:val="00993BE1"/>
    <w:rsid w:val="009962CA"/>
    <w:rsid w:val="009966EE"/>
    <w:rsid w:val="009A08A2"/>
    <w:rsid w:val="009A0E13"/>
    <w:rsid w:val="009A2034"/>
    <w:rsid w:val="009A26B5"/>
    <w:rsid w:val="009A3B31"/>
    <w:rsid w:val="009A65E6"/>
    <w:rsid w:val="009A6BEF"/>
    <w:rsid w:val="009A736C"/>
    <w:rsid w:val="009B09C3"/>
    <w:rsid w:val="009B2A74"/>
    <w:rsid w:val="009B2AC5"/>
    <w:rsid w:val="009B447C"/>
    <w:rsid w:val="009B47D9"/>
    <w:rsid w:val="009B4E45"/>
    <w:rsid w:val="009B5C20"/>
    <w:rsid w:val="009C05B6"/>
    <w:rsid w:val="009C14EA"/>
    <w:rsid w:val="009C19CC"/>
    <w:rsid w:val="009C20AD"/>
    <w:rsid w:val="009C2E3A"/>
    <w:rsid w:val="009C3C5C"/>
    <w:rsid w:val="009C3CF0"/>
    <w:rsid w:val="009C3CF6"/>
    <w:rsid w:val="009C5914"/>
    <w:rsid w:val="009C631B"/>
    <w:rsid w:val="009C64AE"/>
    <w:rsid w:val="009C6FE6"/>
    <w:rsid w:val="009C7412"/>
    <w:rsid w:val="009D03F8"/>
    <w:rsid w:val="009D1C25"/>
    <w:rsid w:val="009D1DFC"/>
    <w:rsid w:val="009D3485"/>
    <w:rsid w:val="009D3C7C"/>
    <w:rsid w:val="009D4F07"/>
    <w:rsid w:val="009D6FD2"/>
    <w:rsid w:val="009E1E94"/>
    <w:rsid w:val="009E7448"/>
    <w:rsid w:val="009E7A5D"/>
    <w:rsid w:val="009F073B"/>
    <w:rsid w:val="009F13F3"/>
    <w:rsid w:val="009F175D"/>
    <w:rsid w:val="009F2FB5"/>
    <w:rsid w:val="009F4F5A"/>
    <w:rsid w:val="009F5390"/>
    <w:rsid w:val="009F6623"/>
    <w:rsid w:val="009F663A"/>
    <w:rsid w:val="009F7BA6"/>
    <w:rsid w:val="00A006D0"/>
    <w:rsid w:val="00A02B8F"/>
    <w:rsid w:val="00A035CE"/>
    <w:rsid w:val="00A039D7"/>
    <w:rsid w:val="00A03E19"/>
    <w:rsid w:val="00A04C0A"/>
    <w:rsid w:val="00A06DDC"/>
    <w:rsid w:val="00A06EF1"/>
    <w:rsid w:val="00A06FBB"/>
    <w:rsid w:val="00A1057E"/>
    <w:rsid w:val="00A11449"/>
    <w:rsid w:val="00A1421B"/>
    <w:rsid w:val="00A150DC"/>
    <w:rsid w:val="00A152B4"/>
    <w:rsid w:val="00A164AF"/>
    <w:rsid w:val="00A17039"/>
    <w:rsid w:val="00A20A8B"/>
    <w:rsid w:val="00A21757"/>
    <w:rsid w:val="00A21A96"/>
    <w:rsid w:val="00A227A4"/>
    <w:rsid w:val="00A26730"/>
    <w:rsid w:val="00A3016F"/>
    <w:rsid w:val="00A31E1A"/>
    <w:rsid w:val="00A3291C"/>
    <w:rsid w:val="00A32B3A"/>
    <w:rsid w:val="00A33236"/>
    <w:rsid w:val="00A36A7D"/>
    <w:rsid w:val="00A416DC"/>
    <w:rsid w:val="00A41E94"/>
    <w:rsid w:val="00A4368A"/>
    <w:rsid w:val="00A44B8F"/>
    <w:rsid w:val="00A452B7"/>
    <w:rsid w:val="00A468E6"/>
    <w:rsid w:val="00A46E8A"/>
    <w:rsid w:val="00A47412"/>
    <w:rsid w:val="00A4791D"/>
    <w:rsid w:val="00A50397"/>
    <w:rsid w:val="00A52560"/>
    <w:rsid w:val="00A52C26"/>
    <w:rsid w:val="00A53950"/>
    <w:rsid w:val="00A55CFA"/>
    <w:rsid w:val="00A61A71"/>
    <w:rsid w:val="00A635E3"/>
    <w:rsid w:val="00A640AD"/>
    <w:rsid w:val="00A648D7"/>
    <w:rsid w:val="00A64F30"/>
    <w:rsid w:val="00A67F8A"/>
    <w:rsid w:val="00A7008B"/>
    <w:rsid w:val="00A716B7"/>
    <w:rsid w:val="00A7271F"/>
    <w:rsid w:val="00A73C4A"/>
    <w:rsid w:val="00A743EB"/>
    <w:rsid w:val="00A7658A"/>
    <w:rsid w:val="00A77D59"/>
    <w:rsid w:val="00A80087"/>
    <w:rsid w:val="00A803EC"/>
    <w:rsid w:val="00A80B08"/>
    <w:rsid w:val="00A81983"/>
    <w:rsid w:val="00A82A33"/>
    <w:rsid w:val="00A82FB2"/>
    <w:rsid w:val="00A82FC6"/>
    <w:rsid w:val="00A850F4"/>
    <w:rsid w:val="00A8601A"/>
    <w:rsid w:val="00A92070"/>
    <w:rsid w:val="00A933F1"/>
    <w:rsid w:val="00A9698D"/>
    <w:rsid w:val="00A96B95"/>
    <w:rsid w:val="00AA030B"/>
    <w:rsid w:val="00AA313C"/>
    <w:rsid w:val="00AA3C76"/>
    <w:rsid w:val="00AA4412"/>
    <w:rsid w:val="00AA47C5"/>
    <w:rsid w:val="00AA4868"/>
    <w:rsid w:val="00AA4A1C"/>
    <w:rsid w:val="00AA4C64"/>
    <w:rsid w:val="00AA5CD5"/>
    <w:rsid w:val="00AA7140"/>
    <w:rsid w:val="00AA7369"/>
    <w:rsid w:val="00AB01C4"/>
    <w:rsid w:val="00AB1006"/>
    <w:rsid w:val="00AB1EBC"/>
    <w:rsid w:val="00AB2310"/>
    <w:rsid w:val="00AB4000"/>
    <w:rsid w:val="00AB6FFB"/>
    <w:rsid w:val="00AC1F02"/>
    <w:rsid w:val="00AC26AF"/>
    <w:rsid w:val="00AC3DE7"/>
    <w:rsid w:val="00AC49DE"/>
    <w:rsid w:val="00AC4E8C"/>
    <w:rsid w:val="00AC607A"/>
    <w:rsid w:val="00AC7EE1"/>
    <w:rsid w:val="00AD0DBE"/>
    <w:rsid w:val="00AD18B4"/>
    <w:rsid w:val="00AD36C1"/>
    <w:rsid w:val="00AD3C0E"/>
    <w:rsid w:val="00AD69D2"/>
    <w:rsid w:val="00AD707D"/>
    <w:rsid w:val="00AE0635"/>
    <w:rsid w:val="00AE1639"/>
    <w:rsid w:val="00AE478F"/>
    <w:rsid w:val="00AE5419"/>
    <w:rsid w:val="00AE5A9F"/>
    <w:rsid w:val="00AE6857"/>
    <w:rsid w:val="00AE6E9E"/>
    <w:rsid w:val="00AE7F41"/>
    <w:rsid w:val="00AE7FC5"/>
    <w:rsid w:val="00AF05D5"/>
    <w:rsid w:val="00AF2A2B"/>
    <w:rsid w:val="00AF407B"/>
    <w:rsid w:val="00AF4787"/>
    <w:rsid w:val="00AF52E1"/>
    <w:rsid w:val="00AF5E11"/>
    <w:rsid w:val="00AF5E86"/>
    <w:rsid w:val="00AF634D"/>
    <w:rsid w:val="00AF6CDF"/>
    <w:rsid w:val="00B00509"/>
    <w:rsid w:val="00B01D14"/>
    <w:rsid w:val="00B02F7C"/>
    <w:rsid w:val="00B03381"/>
    <w:rsid w:val="00B03705"/>
    <w:rsid w:val="00B03B6F"/>
    <w:rsid w:val="00B04606"/>
    <w:rsid w:val="00B04F71"/>
    <w:rsid w:val="00B05D47"/>
    <w:rsid w:val="00B12141"/>
    <w:rsid w:val="00B26686"/>
    <w:rsid w:val="00B31888"/>
    <w:rsid w:val="00B32F1B"/>
    <w:rsid w:val="00B33012"/>
    <w:rsid w:val="00B3358E"/>
    <w:rsid w:val="00B33EC3"/>
    <w:rsid w:val="00B34758"/>
    <w:rsid w:val="00B35044"/>
    <w:rsid w:val="00B35BFA"/>
    <w:rsid w:val="00B3789A"/>
    <w:rsid w:val="00B41576"/>
    <w:rsid w:val="00B42285"/>
    <w:rsid w:val="00B42B6B"/>
    <w:rsid w:val="00B44E6C"/>
    <w:rsid w:val="00B469B7"/>
    <w:rsid w:val="00B46B2E"/>
    <w:rsid w:val="00B5045B"/>
    <w:rsid w:val="00B510E2"/>
    <w:rsid w:val="00B523A2"/>
    <w:rsid w:val="00B526BB"/>
    <w:rsid w:val="00B552AA"/>
    <w:rsid w:val="00B57407"/>
    <w:rsid w:val="00B653B7"/>
    <w:rsid w:val="00B6641B"/>
    <w:rsid w:val="00B66B92"/>
    <w:rsid w:val="00B6738D"/>
    <w:rsid w:val="00B679BD"/>
    <w:rsid w:val="00B7133B"/>
    <w:rsid w:val="00B739DB"/>
    <w:rsid w:val="00B73D7E"/>
    <w:rsid w:val="00B75C77"/>
    <w:rsid w:val="00B764E2"/>
    <w:rsid w:val="00B769FC"/>
    <w:rsid w:val="00B76B6A"/>
    <w:rsid w:val="00B76FB6"/>
    <w:rsid w:val="00B8119E"/>
    <w:rsid w:val="00B816B8"/>
    <w:rsid w:val="00B81BEA"/>
    <w:rsid w:val="00B827CF"/>
    <w:rsid w:val="00B83249"/>
    <w:rsid w:val="00B90266"/>
    <w:rsid w:val="00B902B7"/>
    <w:rsid w:val="00B908A5"/>
    <w:rsid w:val="00B91C1E"/>
    <w:rsid w:val="00B92E53"/>
    <w:rsid w:val="00B92E63"/>
    <w:rsid w:val="00B94000"/>
    <w:rsid w:val="00B968F6"/>
    <w:rsid w:val="00BA038A"/>
    <w:rsid w:val="00BA0597"/>
    <w:rsid w:val="00BA3424"/>
    <w:rsid w:val="00BA365A"/>
    <w:rsid w:val="00BA3C12"/>
    <w:rsid w:val="00BA49C3"/>
    <w:rsid w:val="00BA4C3B"/>
    <w:rsid w:val="00BA5B2A"/>
    <w:rsid w:val="00BA5DAA"/>
    <w:rsid w:val="00BA62B5"/>
    <w:rsid w:val="00BA6A1B"/>
    <w:rsid w:val="00BA6FB3"/>
    <w:rsid w:val="00BB04BA"/>
    <w:rsid w:val="00BB3AB6"/>
    <w:rsid w:val="00BB4A69"/>
    <w:rsid w:val="00BB7F6E"/>
    <w:rsid w:val="00BC21E2"/>
    <w:rsid w:val="00BC3B42"/>
    <w:rsid w:val="00BC45BA"/>
    <w:rsid w:val="00BC4B93"/>
    <w:rsid w:val="00BC74D1"/>
    <w:rsid w:val="00BC76A6"/>
    <w:rsid w:val="00BC7F68"/>
    <w:rsid w:val="00BD1ECC"/>
    <w:rsid w:val="00BD6783"/>
    <w:rsid w:val="00BD7075"/>
    <w:rsid w:val="00BD72CF"/>
    <w:rsid w:val="00BD7378"/>
    <w:rsid w:val="00BE0D8E"/>
    <w:rsid w:val="00BE3297"/>
    <w:rsid w:val="00BE3DBA"/>
    <w:rsid w:val="00BE46C3"/>
    <w:rsid w:val="00BE48E1"/>
    <w:rsid w:val="00BE494E"/>
    <w:rsid w:val="00BE6C26"/>
    <w:rsid w:val="00BE746C"/>
    <w:rsid w:val="00BF183A"/>
    <w:rsid w:val="00BF2197"/>
    <w:rsid w:val="00BF61B1"/>
    <w:rsid w:val="00BF6B1C"/>
    <w:rsid w:val="00BF6D27"/>
    <w:rsid w:val="00C00256"/>
    <w:rsid w:val="00C00890"/>
    <w:rsid w:val="00C00BED"/>
    <w:rsid w:val="00C0228A"/>
    <w:rsid w:val="00C06A69"/>
    <w:rsid w:val="00C10BC8"/>
    <w:rsid w:val="00C11F37"/>
    <w:rsid w:val="00C120CE"/>
    <w:rsid w:val="00C13E7A"/>
    <w:rsid w:val="00C142BF"/>
    <w:rsid w:val="00C16D6A"/>
    <w:rsid w:val="00C16F50"/>
    <w:rsid w:val="00C2008A"/>
    <w:rsid w:val="00C21780"/>
    <w:rsid w:val="00C21858"/>
    <w:rsid w:val="00C21B31"/>
    <w:rsid w:val="00C22851"/>
    <w:rsid w:val="00C249BC"/>
    <w:rsid w:val="00C250F6"/>
    <w:rsid w:val="00C25578"/>
    <w:rsid w:val="00C34959"/>
    <w:rsid w:val="00C3499F"/>
    <w:rsid w:val="00C3512A"/>
    <w:rsid w:val="00C363CC"/>
    <w:rsid w:val="00C36D81"/>
    <w:rsid w:val="00C40E57"/>
    <w:rsid w:val="00C425CA"/>
    <w:rsid w:val="00C432A3"/>
    <w:rsid w:val="00C44FD7"/>
    <w:rsid w:val="00C45427"/>
    <w:rsid w:val="00C457E5"/>
    <w:rsid w:val="00C45886"/>
    <w:rsid w:val="00C46D2F"/>
    <w:rsid w:val="00C5489A"/>
    <w:rsid w:val="00C55247"/>
    <w:rsid w:val="00C57CBE"/>
    <w:rsid w:val="00C6066F"/>
    <w:rsid w:val="00C6067B"/>
    <w:rsid w:val="00C633B1"/>
    <w:rsid w:val="00C6730D"/>
    <w:rsid w:val="00C72563"/>
    <w:rsid w:val="00C73906"/>
    <w:rsid w:val="00C73C08"/>
    <w:rsid w:val="00C769FB"/>
    <w:rsid w:val="00C807F0"/>
    <w:rsid w:val="00C81082"/>
    <w:rsid w:val="00C828C5"/>
    <w:rsid w:val="00C836AB"/>
    <w:rsid w:val="00C847F5"/>
    <w:rsid w:val="00C877AF"/>
    <w:rsid w:val="00C9074C"/>
    <w:rsid w:val="00C90F52"/>
    <w:rsid w:val="00C9114E"/>
    <w:rsid w:val="00C91655"/>
    <w:rsid w:val="00C92FBC"/>
    <w:rsid w:val="00C93107"/>
    <w:rsid w:val="00C93DEA"/>
    <w:rsid w:val="00C94551"/>
    <w:rsid w:val="00C94720"/>
    <w:rsid w:val="00C95801"/>
    <w:rsid w:val="00C96048"/>
    <w:rsid w:val="00CA073E"/>
    <w:rsid w:val="00CA0824"/>
    <w:rsid w:val="00CA08B9"/>
    <w:rsid w:val="00CA13C4"/>
    <w:rsid w:val="00CA2024"/>
    <w:rsid w:val="00CA3306"/>
    <w:rsid w:val="00CA5E1F"/>
    <w:rsid w:val="00CB0431"/>
    <w:rsid w:val="00CB144B"/>
    <w:rsid w:val="00CB19C3"/>
    <w:rsid w:val="00CB28AD"/>
    <w:rsid w:val="00CB2B6C"/>
    <w:rsid w:val="00CB48D1"/>
    <w:rsid w:val="00CB63BB"/>
    <w:rsid w:val="00CB6531"/>
    <w:rsid w:val="00CB7220"/>
    <w:rsid w:val="00CC3319"/>
    <w:rsid w:val="00CC5C39"/>
    <w:rsid w:val="00CC5DED"/>
    <w:rsid w:val="00CC6D7D"/>
    <w:rsid w:val="00CC7264"/>
    <w:rsid w:val="00CC7E93"/>
    <w:rsid w:val="00CD4C8E"/>
    <w:rsid w:val="00CD507E"/>
    <w:rsid w:val="00CD61C2"/>
    <w:rsid w:val="00CD64D0"/>
    <w:rsid w:val="00CD6548"/>
    <w:rsid w:val="00CD68A7"/>
    <w:rsid w:val="00CD7838"/>
    <w:rsid w:val="00CE0378"/>
    <w:rsid w:val="00CE1E62"/>
    <w:rsid w:val="00CE1FB4"/>
    <w:rsid w:val="00CE23BD"/>
    <w:rsid w:val="00CE3D57"/>
    <w:rsid w:val="00CE44C8"/>
    <w:rsid w:val="00CE54E3"/>
    <w:rsid w:val="00CE554C"/>
    <w:rsid w:val="00CE6039"/>
    <w:rsid w:val="00CE6D27"/>
    <w:rsid w:val="00CE72D7"/>
    <w:rsid w:val="00CE77D2"/>
    <w:rsid w:val="00CF036F"/>
    <w:rsid w:val="00CF0634"/>
    <w:rsid w:val="00CF130A"/>
    <w:rsid w:val="00CF172E"/>
    <w:rsid w:val="00CF2D27"/>
    <w:rsid w:val="00CF2DA1"/>
    <w:rsid w:val="00CF3A98"/>
    <w:rsid w:val="00CF3AED"/>
    <w:rsid w:val="00CF3DC9"/>
    <w:rsid w:val="00CF79ED"/>
    <w:rsid w:val="00D01900"/>
    <w:rsid w:val="00D02923"/>
    <w:rsid w:val="00D05DD4"/>
    <w:rsid w:val="00D05F3C"/>
    <w:rsid w:val="00D076D6"/>
    <w:rsid w:val="00D079E2"/>
    <w:rsid w:val="00D07DEE"/>
    <w:rsid w:val="00D15E0C"/>
    <w:rsid w:val="00D1631B"/>
    <w:rsid w:val="00D16ABF"/>
    <w:rsid w:val="00D2163F"/>
    <w:rsid w:val="00D21C86"/>
    <w:rsid w:val="00D227A7"/>
    <w:rsid w:val="00D24829"/>
    <w:rsid w:val="00D24C75"/>
    <w:rsid w:val="00D2518A"/>
    <w:rsid w:val="00D25332"/>
    <w:rsid w:val="00D2651E"/>
    <w:rsid w:val="00D3243F"/>
    <w:rsid w:val="00D32E18"/>
    <w:rsid w:val="00D33F24"/>
    <w:rsid w:val="00D33FDD"/>
    <w:rsid w:val="00D344E1"/>
    <w:rsid w:val="00D34BC5"/>
    <w:rsid w:val="00D37B55"/>
    <w:rsid w:val="00D40407"/>
    <w:rsid w:val="00D40633"/>
    <w:rsid w:val="00D40E57"/>
    <w:rsid w:val="00D41849"/>
    <w:rsid w:val="00D45B23"/>
    <w:rsid w:val="00D503A5"/>
    <w:rsid w:val="00D50537"/>
    <w:rsid w:val="00D52AF3"/>
    <w:rsid w:val="00D53BE1"/>
    <w:rsid w:val="00D5452C"/>
    <w:rsid w:val="00D55005"/>
    <w:rsid w:val="00D55A91"/>
    <w:rsid w:val="00D5653F"/>
    <w:rsid w:val="00D569B1"/>
    <w:rsid w:val="00D576EB"/>
    <w:rsid w:val="00D57AA7"/>
    <w:rsid w:val="00D61707"/>
    <w:rsid w:val="00D62866"/>
    <w:rsid w:val="00D62E80"/>
    <w:rsid w:val="00D64843"/>
    <w:rsid w:val="00D66D81"/>
    <w:rsid w:val="00D67054"/>
    <w:rsid w:val="00D7383F"/>
    <w:rsid w:val="00D76484"/>
    <w:rsid w:val="00D76590"/>
    <w:rsid w:val="00D80665"/>
    <w:rsid w:val="00D84312"/>
    <w:rsid w:val="00D84A8E"/>
    <w:rsid w:val="00D859C1"/>
    <w:rsid w:val="00D86E9C"/>
    <w:rsid w:val="00D90616"/>
    <w:rsid w:val="00D90B46"/>
    <w:rsid w:val="00D90BC5"/>
    <w:rsid w:val="00D911E6"/>
    <w:rsid w:val="00D931C6"/>
    <w:rsid w:val="00D93B72"/>
    <w:rsid w:val="00D93C65"/>
    <w:rsid w:val="00D953DA"/>
    <w:rsid w:val="00D96B55"/>
    <w:rsid w:val="00D971A0"/>
    <w:rsid w:val="00DA1279"/>
    <w:rsid w:val="00DA1991"/>
    <w:rsid w:val="00DA31BD"/>
    <w:rsid w:val="00DA32CA"/>
    <w:rsid w:val="00DA371A"/>
    <w:rsid w:val="00DA4A9D"/>
    <w:rsid w:val="00DA4DA6"/>
    <w:rsid w:val="00DA5815"/>
    <w:rsid w:val="00DA64E5"/>
    <w:rsid w:val="00DA6C8D"/>
    <w:rsid w:val="00DA76E8"/>
    <w:rsid w:val="00DB0008"/>
    <w:rsid w:val="00DB0ED4"/>
    <w:rsid w:val="00DB19AA"/>
    <w:rsid w:val="00DB1AF8"/>
    <w:rsid w:val="00DB33BE"/>
    <w:rsid w:val="00DB4631"/>
    <w:rsid w:val="00DB50AE"/>
    <w:rsid w:val="00DB7C30"/>
    <w:rsid w:val="00DC054B"/>
    <w:rsid w:val="00DC247C"/>
    <w:rsid w:val="00DC2B5B"/>
    <w:rsid w:val="00DC356F"/>
    <w:rsid w:val="00DC5105"/>
    <w:rsid w:val="00DC610F"/>
    <w:rsid w:val="00DC71DD"/>
    <w:rsid w:val="00DC7A23"/>
    <w:rsid w:val="00DD02BA"/>
    <w:rsid w:val="00DD12A4"/>
    <w:rsid w:val="00DD4196"/>
    <w:rsid w:val="00DD4943"/>
    <w:rsid w:val="00DD5661"/>
    <w:rsid w:val="00DD631E"/>
    <w:rsid w:val="00DD6D8C"/>
    <w:rsid w:val="00DD777A"/>
    <w:rsid w:val="00DE3F0F"/>
    <w:rsid w:val="00DE492B"/>
    <w:rsid w:val="00DE493A"/>
    <w:rsid w:val="00DE4945"/>
    <w:rsid w:val="00DE4CD3"/>
    <w:rsid w:val="00DE4F9C"/>
    <w:rsid w:val="00DE6837"/>
    <w:rsid w:val="00DF01E8"/>
    <w:rsid w:val="00DF2642"/>
    <w:rsid w:val="00DF3060"/>
    <w:rsid w:val="00DF38D9"/>
    <w:rsid w:val="00DF4D4B"/>
    <w:rsid w:val="00DF5CB3"/>
    <w:rsid w:val="00DF77E6"/>
    <w:rsid w:val="00DF7C04"/>
    <w:rsid w:val="00E0569A"/>
    <w:rsid w:val="00E06817"/>
    <w:rsid w:val="00E06D46"/>
    <w:rsid w:val="00E0755E"/>
    <w:rsid w:val="00E1305C"/>
    <w:rsid w:val="00E13678"/>
    <w:rsid w:val="00E141EC"/>
    <w:rsid w:val="00E14599"/>
    <w:rsid w:val="00E16370"/>
    <w:rsid w:val="00E163E1"/>
    <w:rsid w:val="00E223D2"/>
    <w:rsid w:val="00E26FBB"/>
    <w:rsid w:val="00E274D2"/>
    <w:rsid w:val="00E303D3"/>
    <w:rsid w:val="00E307C2"/>
    <w:rsid w:val="00E30EC3"/>
    <w:rsid w:val="00E31454"/>
    <w:rsid w:val="00E31AE4"/>
    <w:rsid w:val="00E327BC"/>
    <w:rsid w:val="00E34112"/>
    <w:rsid w:val="00E3558E"/>
    <w:rsid w:val="00E36F3F"/>
    <w:rsid w:val="00E40012"/>
    <w:rsid w:val="00E410B3"/>
    <w:rsid w:val="00E413E5"/>
    <w:rsid w:val="00E41582"/>
    <w:rsid w:val="00E4398E"/>
    <w:rsid w:val="00E44CFD"/>
    <w:rsid w:val="00E4510D"/>
    <w:rsid w:val="00E4669E"/>
    <w:rsid w:val="00E468D5"/>
    <w:rsid w:val="00E47929"/>
    <w:rsid w:val="00E47D46"/>
    <w:rsid w:val="00E50C7E"/>
    <w:rsid w:val="00E54D3D"/>
    <w:rsid w:val="00E55994"/>
    <w:rsid w:val="00E6228F"/>
    <w:rsid w:val="00E661DD"/>
    <w:rsid w:val="00E66316"/>
    <w:rsid w:val="00E664DB"/>
    <w:rsid w:val="00E717EB"/>
    <w:rsid w:val="00E71DB1"/>
    <w:rsid w:val="00E71FA9"/>
    <w:rsid w:val="00E72843"/>
    <w:rsid w:val="00E7376B"/>
    <w:rsid w:val="00E7443C"/>
    <w:rsid w:val="00E762A1"/>
    <w:rsid w:val="00E77F13"/>
    <w:rsid w:val="00E80EE6"/>
    <w:rsid w:val="00E810B2"/>
    <w:rsid w:val="00E81C6E"/>
    <w:rsid w:val="00E8306F"/>
    <w:rsid w:val="00E83C54"/>
    <w:rsid w:val="00E83C8E"/>
    <w:rsid w:val="00E83D60"/>
    <w:rsid w:val="00E84531"/>
    <w:rsid w:val="00E8676B"/>
    <w:rsid w:val="00E9233B"/>
    <w:rsid w:val="00E9328B"/>
    <w:rsid w:val="00E949E3"/>
    <w:rsid w:val="00E967E0"/>
    <w:rsid w:val="00E979DF"/>
    <w:rsid w:val="00EA0148"/>
    <w:rsid w:val="00EA04DD"/>
    <w:rsid w:val="00EA0AEA"/>
    <w:rsid w:val="00EA22B7"/>
    <w:rsid w:val="00EA4203"/>
    <w:rsid w:val="00EA5947"/>
    <w:rsid w:val="00EB07CF"/>
    <w:rsid w:val="00EB0A66"/>
    <w:rsid w:val="00EB11B6"/>
    <w:rsid w:val="00EB4B2E"/>
    <w:rsid w:val="00EB6D98"/>
    <w:rsid w:val="00EB73E1"/>
    <w:rsid w:val="00EB796A"/>
    <w:rsid w:val="00EC1746"/>
    <w:rsid w:val="00EC1C19"/>
    <w:rsid w:val="00EC21F0"/>
    <w:rsid w:val="00EC2B30"/>
    <w:rsid w:val="00EC2B81"/>
    <w:rsid w:val="00EC3FC2"/>
    <w:rsid w:val="00EC54DE"/>
    <w:rsid w:val="00EC65E3"/>
    <w:rsid w:val="00EC6ECD"/>
    <w:rsid w:val="00ED1E2F"/>
    <w:rsid w:val="00ED215B"/>
    <w:rsid w:val="00ED32E8"/>
    <w:rsid w:val="00ED3383"/>
    <w:rsid w:val="00ED38DB"/>
    <w:rsid w:val="00ED4A1B"/>
    <w:rsid w:val="00ED5BFB"/>
    <w:rsid w:val="00ED6343"/>
    <w:rsid w:val="00ED7321"/>
    <w:rsid w:val="00EE1EE9"/>
    <w:rsid w:val="00EE3745"/>
    <w:rsid w:val="00EE3AF8"/>
    <w:rsid w:val="00EE4850"/>
    <w:rsid w:val="00EE5CD8"/>
    <w:rsid w:val="00EE6126"/>
    <w:rsid w:val="00EF0906"/>
    <w:rsid w:val="00EF2F83"/>
    <w:rsid w:val="00EF2FBA"/>
    <w:rsid w:val="00EF34B7"/>
    <w:rsid w:val="00F02D10"/>
    <w:rsid w:val="00F034ED"/>
    <w:rsid w:val="00F06F69"/>
    <w:rsid w:val="00F07DCD"/>
    <w:rsid w:val="00F07FB2"/>
    <w:rsid w:val="00F12774"/>
    <w:rsid w:val="00F14644"/>
    <w:rsid w:val="00F15236"/>
    <w:rsid w:val="00F17F99"/>
    <w:rsid w:val="00F21276"/>
    <w:rsid w:val="00F24A2E"/>
    <w:rsid w:val="00F2663B"/>
    <w:rsid w:val="00F303B1"/>
    <w:rsid w:val="00F30EA0"/>
    <w:rsid w:val="00F3713B"/>
    <w:rsid w:val="00F37AF7"/>
    <w:rsid w:val="00F40DF6"/>
    <w:rsid w:val="00F426EE"/>
    <w:rsid w:val="00F42E85"/>
    <w:rsid w:val="00F451EC"/>
    <w:rsid w:val="00F527AE"/>
    <w:rsid w:val="00F5467F"/>
    <w:rsid w:val="00F578F2"/>
    <w:rsid w:val="00F57BE2"/>
    <w:rsid w:val="00F65453"/>
    <w:rsid w:val="00F65E98"/>
    <w:rsid w:val="00F66B0D"/>
    <w:rsid w:val="00F676ED"/>
    <w:rsid w:val="00F67D78"/>
    <w:rsid w:val="00F7147A"/>
    <w:rsid w:val="00F71CFD"/>
    <w:rsid w:val="00F71E27"/>
    <w:rsid w:val="00F72096"/>
    <w:rsid w:val="00F725AF"/>
    <w:rsid w:val="00F74CF4"/>
    <w:rsid w:val="00F74D05"/>
    <w:rsid w:val="00F768AA"/>
    <w:rsid w:val="00F7690A"/>
    <w:rsid w:val="00F77654"/>
    <w:rsid w:val="00F77F0A"/>
    <w:rsid w:val="00F80DE2"/>
    <w:rsid w:val="00F81A4D"/>
    <w:rsid w:val="00F83409"/>
    <w:rsid w:val="00F856D6"/>
    <w:rsid w:val="00F85DFA"/>
    <w:rsid w:val="00F86273"/>
    <w:rsid w:val="00F8717D"/>
    <w:rsid w:val="00F9333E"/>
    <w:rsid w:val="00F93B0B"/>
    <w:rsid w:val="00F95382"/>
    <w:rsid w:val="00F955BB"/>
    <w:rsid w:val="00F97B8F"/>
    <w:rsid w:val="00F97F37"/>
    <w:rsid w:val="00FA0A3A"/>
    <w:rsid w:val="00FA2341"/>
    <w:rsid w:val="00FA2709"/>
    <w:rsid w:val="00FA34A8"/>
    <w:rsid w:val="00FA46CB"/>
    <w:rsid w:val="00FA50E6"/>
    <w:rsid w:val="00FA6B7B"/>
    <w:rsid w:val="00FA7BE6"/>
    <w:rsid w:val="00FB2A2B"/>
    <w:rsid w:val="00FB329B"/>
    <w:rsid w:val="00FB32E7"/>
    <w:rsid w:val="00FB4C71"/>
    <w:rsid w:val="00FB4E36"/>
    <w:rsid w:val="00FB5BCE"/>
    <w:rsid w:val="00FC1AFD"/>
    <w:rsid w:val="00FC38DE"/>
    <w:rsid w:val="00FC43F4"/>
    <w:rsid w:val="00FD05A9"/>
    <w:rsid w:val="00FD0EA3"/>
    <w:rsid w:val="00FD208B"/>
    <w:rsid w:val="00FD27B1"/>
    <w:rsid w:val="00FD2A1E"/>
    <w:rsid w:val="00FD3613"/>
    <w:rsid w:val="00FD36C1"/>
    <w:rsid w:val="00FD3DE4"/>
    <w:rsid w:val="00FD4689"/>
    <w:rsid w:val="00FD7E95"/>
    <w:rsid w:val="00FE2635"/>
    <w:rsid w:val="00FE2F0F"/>
    <w:rsid w:val="00FE752E"/>
    <w:rsid w:val="00FF05AB"/>
    <w:rsid w:val="00FF0865"/>
    <w:rsid w:val="00FF142B"/>
    <w:rsid w:val="00FF449B"/>
    <w:rsid w:val="00FF4DE3"/>
    <w:rsid w:val="00FF54C5"/>
    <w:rsid w:val="010159EC"/>
    <w:rsid w:val="018C4DA7"/>
    <w:rsid w:val="01AA14FA"/>
    <w:rsid w:val="01BE4DD0"/>
    <w:rsid w:val="01D711E3"/>
    <w:rsid w:val="024B7C66"/>
    <w:rsid w:val="02B667CE"/>
    <w:rsid w:val="02DA32EB"/>
    <w:rsid w:val="031617FB"/>
    <w:rsid w:val="041E5A87"/>
    <w:rsid w:val="041F549C"/>
    <w:rsid w:val="048A74D1"/>
    <w:rsid w:val="04BF3A63"/>
    <w:rsid w:val="05104D9D"/>
    <w:rsid w:val="05301565"/>
    <w:rsid w:val="05F9008E"/>
    <w:rsid w:val="06C321E0"/>
    <w:rsid w:val="076B0444"/>
    <w:rsid w:val="07912D61"/>
    <w:rsid w:val="081A19BC"/>
    <w:rsid w:val="086E6038"/>
    <w:rsid w:val="08A6731A"/>
    <w:rsid w:val="08DC5686"/>
    <w:rsid w:val="08DD1C6C"/>
    <w:rsid w:val="09A04B0B"/>
    <w:rsid w:val="09A92A85"/>
    <w:rsid w:val="0A0B5BEE"/>
    <w:rsid w:val="0A9D2BEC"/>
    <w:rsid w:val="0B0F5CC2"/>
    <w:rsid w:val="0B921DDF"/>
    <w:rsid w:val="0BBC1141"/>
    <w:rsid w:val="0C0C728B"/>
    <w:rsid w:val="0C2478A3"/>
    <w:rsid w:val="0C2F3F60"/>
    <w:rsid w:val="0C860B6A"/>
    <w:rsid w:val="0CA63BF6"/>
    <w:rsid w:val="0CBA6EB2"/>
    <w:rsid w:val="0CC06278"/>
    <w:rsid w:val="0CF10C75"/>
    <w:rsid w:val="0D545DE6"/>
    <w:rsid w:val="0D554958"/>
    <w:rsid w:val="0D8200A9"/>
    <w:rsid w:val="0DA14CA7"/>
    <w:rsid w:val="0DD94327"/>
    <w:rsid w:val="0E266340"/>
    <w:rsid w:val="0E26646D"/>
    <w:rsid w:val="0E2E57F8"/>
    <w:rsid w:val="0E690D7E"/>
    <w:rsid w:val="0F2D1B44"/>
    <w:rsid w:val="0F5D7667"/>
    <w:rsid w:val="0F763413"/>
    <w:rsid w:val="10534BFF"/>
    <w:rsid w:val="10A11D3F"/>
    <w:rsid w:val="10B5351E"/>
    <w:rsid w:val="10CF1614"/>
    <w:rsid w:val="11026957"/>
    <w:rsid w:val="110456A1"/>
    <w:rsid w:val="11F66A56"/>
    <w:rsid w:val="120148E3"/>
    <w:rsid w:val="12116CA5"/>
    <w:rsid w:val="12EB3269"/>
    <w:rsid w:val="13B97E87"/>
    <w:rsid w:val="13FF5AFE"/>
    <w:rsid w:val="140B0EEC"/>
    <w:rsid w:val="143B1E26"/>
    <w:rsid w:val="14473685"/>
    <w:rsid w:val="147C69A4"/>
    <w:rsid w:val="1494520B"/>
    <w:rsid w:val="14CE77BA"/>
    <w:rsid w:val="15223602"/>
    <w:rsid w:val="152E4D14"/>
    <w:rsid w:val="154A1F99"/>
    <w:rsid w:val="15AE2887"/>
    <w:rsid w:val="15B56D75"/>
    <w:rsid w:val="165049E9"/>
    <w:rsid w:val="165D4712"/>
    <w:rsid w:val="166E2D0C"/>
    <w:rsid w:val="16775982"/>
    <w:rsid w:val="17146ABD"/>
    <w:rsid w:val="17167498"/>
    <w:rsid w:val="17342B48"/>
    <w:rsid w:val="17E64750"/>
    <w:rsid w:val="17FA6159"/>
    <w:rsid w:val="18792A86"/>
    <w:rsid w:val="188B6F20"/>
    <w:rsid w:val="192C0ADD"/>
    <w:rsid w:val="193F3F41"/>
    <w:rsid w:val="195C6E93"/>
    <w:rsid w:val="196320ED"/>
    <w:rsid w:val="1978736D"/>
    <w:rsid w:val="198E4B74"/>
    <w:rsid w:val="19986C4B"/>
    <w:rsid w:val="19A776BE"/>
    <w:rsid w:val="19EA67DA"/>
    <w:rsid w:val="1A7176F1"/>
    <w:rsid w:val="1AAB2F2D"/>
    <w:rsid w:val="1BEA5741"/>
    <w:rsid w:val="1C50505C"/>
    <w:rsid w:val="1CFD3AF7"/>
    <w:rsid w:val="1D023A1D"/>
    <w:rsid w:val="1D407464"/>
    <w:rsid w:val="1DA259DC"/>
    <w:rsid w:val="1DF410FB"/>
    <w:rsid w:val="1DFA1318"/>
    <w:rsid w:val="1EC776DA"/>
    <w:rsid w:val="1F2C10C4"/>
    <w:rsid w:val="1F6E0360"/>
    <w:rsid w:val="1F8652AB"/>
    <w:rsid w:val="20A2612C"/>
    <w:rsid w:val="21322469"/>
    <w:rsid w:val="21921D9C"/>
    <w:rsid w:val="21DE0E9F"/>
    <w:rsid w:val="21EC02C4"/>
    <w:rsid w:val="22067340"/>
    <w:rsid w:val="223B2023"/>
    <w:rsid w:val="22746A15"/>
    <w:rsid w:val="22FE0ED0"/>
    <w:rsid w:val="232575E8"/>
    <w:rsid w:val="234429A1"/>
    <w:rsid w:val="23C35566"/>
    <w:rsid w:val="2403327A"/>
    <w:rsid w:val="24327816"/>
    <w:rsid w:val="24CE7C02"/>
    <w:rsid w:val="251739E5"/>
    <w:rsid w:val="25BC6CA2"/>
    <w:rsid w:val="25DC154F"/>
    <w:rsid w:val="25F5472A"/>
    <w:rsid w:val="26135E2C"/>
    <w:rsid w:val="261D0255"/>
    <w:rsid w:val="266212DF"/>
    <w:rsid w:val="26805011"/>
    <w:rsid w:val="2682007B"/>
    <w:rsid w:val="268B41F2"/>
    <w:rsid w:val="26A95095"/>
    <w:rsid w:val="26AE6818"/>
    <w:rsid w:val="26E51230"/>
    <w:rsid w:val="26EA7C64"/>
    <w:rsid w:val="28C20A07"/>
    <w:rsid w:val="28C2675B"/>
    <w:rsid w:val="28E35916"/>
    <w:rsid w:val="29A5429D"/>
    <w:rsid w:val="29F41501"/>
    <w:rsid w:val="2A065087"/>
    <w:rsid w:val="2B1333B8"/>
    <w:rsid w:val="2B6445DF"/>
    <w:rsid w:val="2B717DB4"/>
    <w:rsid w:val="2B7F4607"/>
    <w:rsid w:val="2BE06B91"/>
    <w:rsid w:val="2BFF2B3F"/>
    <w:rsid w:val="2C075334"/>
    <w:rsid w:val="2C541E8B"/>
    <w:rsid w:val="2CB06BBF"/>
    <w:rsid w:val="2CFF1DC5"/>
    <w:rsid w:val="2D416CB8"/>
    <w:rsid w:val="2DA5667A"/>
    <w:rsid w:val="2DA87609"/>
    <w:rsid w:val="2DB774E1"/>
    <w:rsid w:val="2DE67D04"/>
    <w:rsid w:val="2E0319CF"/>
    <w:rsid w:val="2E791216"/>
    <w:rsid w:val="2E8B0DF9"/>
    <w:rsid w:val="2EF96B0A"/>
    <w:rsid w:val="2F713676"/>
    <w:rsid w:val="2FB61874"/>
    <w:rsid w:val="2FEB6629"/>
    <w:rsid w:val="306E7A02"/>
    <w:rsid w:val="30E86960"/>
    <w:rsid w:val="310203E6"/>
    <w:rsid w:val="3153089B"/>
    <w:rsid w:val="316B540B"/>
    <w:rsid w:val="318E4A59"/>
    <w:rsid w:val="31BB654A"/>
    <w:rsid w:val="31DE00C8"/>
    <w:rsid w:val="32323512"/>
    <w:rsid w:val="32433354"/>
    <w:rsid w:val="32503B35"/>
    <w:rsid w:val="32693C04"/>
    <w:rsid w:val="32924F6D"/>
    <w:rsid w:val="32C17152"/>
    <w:rsid w:val="331E0DD2"/>
    <w:rsid w:val="33437DBC"/>
    <w:rsid w:val="334944FE"/>
    <w:rsid w:val="33B61055"/>
    <w:rsid w:val="347F51BF"/>
    <w:rsid w:val="3483640F"/>
    <w:rsid w:val="348643C3"/>
    <w:rsid w:val="34E57D87"/>
    <w:rsid w:val="35166A77"/>
    <w:rsid w:val="35560A8C"/>
    <w:rsid w:val="355B66F5"/>
    <w:rsid w:val="363226E5"/>
    <w:rsid w:val="368A653F"/>
    <w:rsid w:val="36E66F60"/>
    <w:rsid w:val="371C6AB3"/>
    <w:rsid w:val="375443E5"/>
    <w:rsid w:val="38557185"/>
    <w:rsid w:val="385C6DC4"/>
    <w:rsid w:val="38B23E35"/>
    <w:rsid w:val="38F17CFA"/>
    <w:rsid w:val="390632F0"/>
    <w:rsid w:val="39534E99"/>
    <w:rsid w:val="3A404ACF"/>
    <w:rsid w:val="3A653909"/>
    <w:rsid w:val="3A9761B2"/>
    <w:rsid w:val="3B0F6D63"/>
    <w:rsid w:val="3B3F0B3B"/>
    <w:rsid w:val="3B535761"/>
    <w:rsid w:val="3C5B4F1F"/>
    <w:rsid w:val="3C5C646F"/>
    <w:rsid w:val="3C5F3AE0"/>
    <w:rsid w:val="3C65300C"/>
    <w:rsid w:val="3CA706DF"/>
    <w:rsid w:val="3CB54327"/>
    <w:rsid w:val="3D40113F"/>
    <w:rsid w:val="3D52444A"/>
    <w:rsid w:val="3D6D1FB6"/>
    <w:rsid w:val="3E386CF9"/>
    <w:rsid w:val="3E687F4E"/>
    <w:rsid w:val="3E884070"/>
    <w:rsid w:val="3EEE2812"/>
    <w:rsid w:val="3F036B43"/>
    <w:rsid w:val="3F693943"/>
    <w:rsid w:val="3FE4065A"/>
    <w:rsid w:val="40235B2B"/>
    <w:rsid w:val="402C0D9B"/>
    <w:rsid w:val="40577D50"/>
    <w:rsid w:val="406E708C"/>
    <w:rsid w:val="40852D52"/>
    <w:rsid w:val="40E83B4E"/>
    <w:rsid w:val="41102CF9"/>
    <w:rsid w:val="41373481"/>
    <w:rsid w:val="41652F0E"/>
    <w:rsid w:val="41874429"/>
    <w:rsid w:val="41FD2951"/>
    <w:rsid w:val="42254061"/>
    <w:rsid w:val="425D61D7"/>
    <w:rsid w:val="42874D6A"/>
    <w:rsid w:val="43361074"/>
    <w:rsid w:val="434317C0"/>
    <w:rsid w:val="434B740A"/>
    <w:rsid w:val="43697C1C"/>
    <w:rsid w:val="43871185"/>
    <w:rsid w:val="43B119B5"/>
    <w:rsid w:val="43FF630D"/>
    <w:rsid w:val="443C2515"/>
    <w:rsid w:val="444C0F36"/>
    <w:rsid w:val="44CE0F36"/>
    <w:rsid w:val="44CE711A"/>
    <w:rsid w:val="45251EC2"/>
    <w:rsid w:val="453D1FCE"/>
    <w:rsid w:val="454735D2"/>
    <w:rsid w:val="457922D1"/>
    <w:rsid w:val="4598381D"/>
    <w:rsid w:val="45C84D11"/>
    <w:rsid w:val="469C7090"/>
    <w:rsid w:val="46E40936"/>
    <w:rsid w:val="47AD4A84"/>
    <w:rsid w:val="47E44A8D"/>
    <w:rsid w:val="483E2B7C"/>
    <w:rsid w:val="489E4C46"/>
    <w:rsid w:val="48C63A98"/>
    <w:rsid w:val="48CF01FB"/>
    <w:rsid w:val="48EA5F01"/>
    <w:rsid w:val="499171D6"/>
    <w:rsid w:val="49D82570"/>
    <w:rsid w:val="49F722EA"/>
    <w:rsid w:val="4A1339D8"/>
    <w:rsid w:val="4A1D105A"/>
    <w:rsid w:val="4AC117DA"/>
    <w:rsid w:val="4B277701"/>
    <w:rsid w:val="4CAF5C35"/>
    <w:rsid w:val="4CC65B54"/>
    <w:rsid w:val="4D3923DB"/>
    <w:rsid w:val="4D594BC6"/>
    <w:rsid w:val="4D5C56C0"/>
    <w:rsid w:val="4D83027F"/>
    <w:rsid w:val="4D896E05"/>
    <w:rsid w:val="4DA46E47"/>
    <w:rsid w:val="4DA87418"/>
    <w:rsid w:val="4DC71D9A"/>
    <w:rsid w:val="4DE24761"/>
    <w:rsid w:val="4E380B88"/>
    <w:rsid w:val="4EB14AA1"/>
    <w:rsid w:val="4EC62853"/>
    <w:rsid w:val="4F3B3D40"/>
    <w:rsid w:val="4F4F687F"/>
    <w:rsid w:val="4F6259C8"/>
    <w:rsid w:val="4FD53664"/>
    <w:rsid w:val="50095896"/>
    <w:rsid w:val="50483F54"/>
    <w:rsid w:val="50923D52"/>
    <w:rsid w:val="512D7A65"/>
    <w:rsid w:val="512F24C2"/>
    <w:rsid w:val="51461CD5"/>
    <w:rsid w:val="517D3CA3"/>
    <w:rsid w:val="519212EC"/>
    <w:rsid w:val="51A70D9B"/>
    <w:rsid w:val="51CF3990"/>
    <w:rsid w:val="52250E5E"/>
    <w:rsid w:val="52BD2F57"/>
    <w:rsid w:val="52CE25D2"/>
    <w:rsid w:val="53296757"/>
    <w:rsid w:val="53CC4E52"/>
    <w:rsid w:val="53DC0270"/>
    <w:rsid w:val="53F132D8"/>
    <w:rsid w:val="540B1937"/>
    <w:rsid w:val="5473672B"/>
    <w:rsid w:val="547438F3"/>
    <w:rsid w:val="5491079C"/>
    <w:rsid w:val="55201F02"/>
    <w:rsid w:val="55A048F0"/>
    <w:rsid w:val="56574B8D"/>
    <w:rsid w:val="56625899"/>
    <w:rsid w:val="570153D3"/>
    <w:rsid w:val="577128EA"/>
    <w:rsid w:val="57AE082A"/>
    <w:rsid w:val="57D37E7E"/>
    <w:rsid w:val="582C0AB5"/>
    <w:rsid w:val="5831684C"/>
    <w:rsid w:val="58505DC2"/>
    <w:rsid w:val="58733E69"/>
    <w:rsid w:val="58D46D2C"/>
    <w:rsid w:val="58D656BF"/>
    <w:rsid w:val="591B6F4F"/>
    <w:rsid w:val="593626CF"/>
    <w:rsid w:val="59DB7343"/>
    <w:rsid w:val="5A962152"/>
    <w:rsid w:val="5A9C2303"/>
    <w:rsid w:val="5AFB696C"/>
    <w:rsid w:val="5B501656"/>
    <w:rsid w:val="5B5F0E55"/>
    <w:rsid w:val="5B667354"/>
    <w:rsid w:val="5BC33834"/>
    <w:rsid w:val="5C69230D"/>
    <w:rsid w:val="5D277406"/>
    <w:rsid w:val="5D3D2A23"/>
    <w:rsid w:val="5DA33768"/>
    <w:rsid w:val="5E2E4E5C"/>
    <w:rsid w:val="5E3E1B15"/>
    <w:rsid w:val="5E922D95"/>
    <w:rsid w:val="5EBB566C"/>
    <w:rsid w:val="5EC04850"/>
    <w:rsid w:val="5EFC1595"/>
    <w:rsid w:val="5F821B2A"/>
    <w:rsid w:val="5FD45D36"/>
    <w:rsid w:val="600A7141"/>
    <w:rsid w:val="604F0361"/>
    <w:rsid w:val="60A5565B"/>
    <w:rsid w:val="60CF298B"/>
    <w:rsid w:val="6282183E"/>
    <w:rsid w:val="62A44442"/>
    <w:rsid w:val="62BF405F"/>
    <w:rsid w:val="63371AD3"/>
    <w:rsid w:val="637664CA"/>
    <w:rsid w:val="637B57AE"/>
    <w:rsid w:val="638F0B9E"/>
    <w:rsid w:val="63B5249D"/>
    <w:rsid w:val="64556FD6"/>
    <w:rsid w:val="64A35681"/>
    <w:rsid w:val="64DE116C"/>
    <w:rsid w:val="64F43206"/>
    <w:rsid w:val="650B2639"/>
    <w:rsid w:val="655234B4"/>
    <w:rsid w:val="65741C9B"/>
    <w:rsid w:val="65A504F2"/>
    <w:rsid w:val="65CF2DF1"/>
    <w:rsid w:val="65EE0DCD"/>
    <w:rsid w:val="67642BC0"/>
    <w:rsid w:val="67DD06E1"/>
    <w:rsid w:val="67ED0CAE"/>
    <w:rsid w:val="68185314"/>
    <w:rsid w:val="68191B9D"/>
    <w:rsid w:val="689E7ED4"/>
    <w:rsid w:val="68D4378E"/>
    <w:rsid w:val="68DF08AE"/>
    <w:rsid w:val="690C4348"/>
    <w:rsid w:val="69150044"/>
    <w:rsid w:val="69BF608D"/>
    <w:rsid w:val="69C104D2"/>
    <w:rsid w:val="69EB480D"/>
    <w:rsid w:val="6A5A790E"/>
    <w:rsid w:val="6A9F61ED"/>
    <w:rsid w:val="6AB340A6"/>
    <w:rsid w:val="6B7C6E4D"/>
    <w:rsid w:val="6BC3346A"/>
    <w:rsid w:val="6BDC379A"/>
    <w:rsid w:val="6BF35E90"/>
    <w:rsid w:val="6C087D12"/>
    <w:rsid w:val="6C20429B"/>
    <w:rsid w:val="6C856DB7"/>
    <w:rsid w:val="6D0D2CB5"/>
    <w:rsid w:val="6D39644D"/>
    <w:rsid w:val="6D4D2371"/>
    <w:rsid w:val="6D672218"/>
    <w:rsid w:val="6D950CD7"/>
    <w:rsid w:val="6D9E31DD"/>
    <w:rsid w:val="6DA857B4"/>
    <w:rsid w:val="6DF8177A"/>
    <w:rsid w:val="6E056432"/>
    <w:rsid w:val="6E1E14F5"/>
    <w:rsid w:val="6E3E2508"/>
    <w:rsid w:val="6E407462"/>
    <w:rsid w:val="6E45197E"/>
    <w:rsid w:val="6EF630DE"/>
    <w:rsid w:val="6EFF54AA"/>
    <w:rsid w:val="6F693FE0"/>
    <w:rsid w:val="6F702C96"/>
    <w:rsid w:val="6FAB4608"/>
    <w:rsid w:val="6FE2636D"/>
    <w:rsid w:val="6FEE2E4A"/>
    <w:rsid w:val="702F5CE2"/>
    <w:rsid w:val="70993A80"/>
    <w:rsid w:val="70EB209B"/>
    <w:rsid w:val="712A63B5"/>
    <w:rsid w:val="71704107"/>
    <w:rsid w:val="71B510A0"/>
    <w:rsid w:val="71D140F9"/>
    <w:rsid w:val="71FD0B2C"/>
    <w:rsid w:val="72014E17"/>
    <w:rsid w:val="720473C6"/>
    <w:rsid w:val="73B428F6"/>
    <w:rsid w:val="73C21B02"/>
    <w:rsid w:val="73F858FD"/>
    <w:rsid w:val="74387133"/>
    <w:rsid w:val="74626932"/>
    <w:rsid w:val="74A22CA0"/>
    <w:rsid w:val="74C94417"/>
    <w:rsid w:val="74D9029D"/>
    <w:rsid w:val="75826F40"/>
    <w:rsid w:val="759B1861"/>
    <w:rsid w:val="764F0EC2"/>
    <w:rsid w:val="7680141B"/>
    <w:rsid w:val="77126671"/>
    <w:rsid w:val="77130415"/>
    <w:rsid w:val="77523F33"/>
    <w:rsid w:val="780117C0"/>
    <w:rsid w:val="791F57FD"/>
    <w:rsid w:val="79601720"/>
    <w:rsid w:val="79D82550"/>
    <w:rsid w:val="7A1A2B65"/>
    <w:rsid w:val="7A4166C8"/>
    <w:rsid w:val="7A7F65E3"/>
    <w:rsid w:val="7ACE2555"/>
    <w:rsid w:val="7AFF6232"/>
    <w:rsid w:val="7BA132CD"/>
    <w:rsid w:val="7C093E4D"/>
    <w:rsid w:val="7C4B635E"/>
    <w:rsid w:val="7C5673BE"/>
    <w:rsid w:val="7C9B019F"/>
    <w:rsid w:val="7E381FAD"/>
    <w:rsid w:val="7E51214D"/>
    <w:rsid w:val="7EA2675B"/>
    <w:rsid w:val="7EA65B9F"/>
    <w:rsid w:val="7EE22C5D"/>
    <w:rsid w:val="7EF47268"/>
    <w:rsid w:val="7F322F81"/>
    <w:rsid w:val="7FFB1F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0" w:semiHidden="0" w:name="index 6" w:locked="1"/>
    <w:lsdException w:uiPriority="99" w:name="index 7" w:locked="1"/>
    <w:lsdException w:qFormat="1" w:uiPriority="99" w:name="index 8" w:locked="1"/>
    <w:lsdException w:uiPriority="99" w:name="index 9" w:locked="1"/>
    <w:lsdException w:qFormat="1" w:unhideWhenUsed="0" w:uiPriority="39" w:semiHidden="0" w:name="toc 1"/>
    <w:lsdException w:qFormat="1" w:unhideWhenUsed="0" w:uiPriority="39" w:semiHidden="0" w:name="toc 2"/>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040" w:firstLineChars="200"/>
      <w:jc w:val="both"/>
    </w:pPr>
    <w:rPr>
      <w:rFonts w:ascii="Calibri" w:hAnsi="Calibri" w:eastAsia="微软雅黑" w:cs="Times New Roman"/>
      <w:kern w:val="2"/>
      <w:sz w:val="24"/>
      <w:szCs w:val="22"/>
      <w:lang w:val="en-US" w:eastAsia="zh-CN" w:bidi="ar-SA"/>
    </w:rPr>
  </w:style>
  <w:style w:type="paragraph" w:styleId="8">
    <w:name w:val="heading 1"/>
    <w:basedOn w:val="1"/>
    <w:next w:val="1"/>
    <w:link w:val="57"/>
    <w:qFormat/>
    <w:uiPriority w:val="0"/>
    <w:pPr>
      <w:keepNext/>
      <w:keepLines/>
      <w:numPr>
        <w:ilvl w:val="0"/>
        <w:numId w:val="1"/>
      </w:numPr>
      <w:spacing w:beforeLines="100" w:afterLines="100" w:line="240" w:lineRule="auto"/>
      <w:ind w:firstLine="0" w:firstLineChars="0"/>
      <w:jc w:val="center"/>
      <w:outlineLvl w:val="0"/>
    </w:pPr>
    <w:rPr>
      <w:bCs/>
      <w:kern w:val="44"/>
      <w:sz w:val="44"/>
      <w:szCs w:val="44"/>
    </w:rPr>
  </w:style>
  <w:style w:type="paragraph" w:styleId="9">
    <w:name w:val="heading 2"/>
    <w:basedOn w:val="1"/>
    <w:next w:val="1"/>
    <w:link w:val="58"/>
    <w:qFormat/>
    <w:uiPriority w:val="9"/>
    <w:pPr>
      <w:keepNext/>
      <w:keepLines/>
      <w:adjustRightInd w:val="0"/>
      <w:spacing w:beforeLines="50" w:afterLines="50" w:line="240" w:lineRule="auto"/>
      <w:ind w:firstLine="0" w:firstLineChars="0"/>
      <w:jc w:val="center"/>
      <w:outlineLvl w:val="1"/>
    </w:pPr>
    <w:rPr>
      <w:rFonts w:ascii="宋体" w:hAnsi="宋体"/>
      <w:sz w:val="32"/>
      <w:szCs w:val="24"/>
    </w:rPr>
  </w:style>
  <w:style w:type="paragraph" w:styleId="10">
    <w:name w:val="heading 3"/>
    <w:basedOn w:val="1"/>
    <w:next w:val="1"/>
    <w:link w:val="59"/>
    <w:qFormat/>
    <w:uiPriority w:val="0"/>
    <w:pPr>
      <w:keepNext/>
      <w:keepLines/>
      <w:spacing w:beforeLines="50" w:afterLines="50"/>
      <w:ind w:firstLine="0" w:firstLineChars="0"/>
      <w:jc w:val="center"/>
      <w:outlineLvl w:val="2"/>
    </w:pPr>
    <w:rPr>
      <w:rFonts w:ascii="Times New Roman" w:hAnsi="Times New Roman"/>
      <w:kern w:val="0"/>
      <w:sz w:val="30"/>
      <w:szCs w:val="20"/>
    </w:rPr>
  </w:style>
  <w:style w:type="paragraph" w:styleId="11">
    <w:name w:val="heading 4"/>
    <w:basedOn w:val="1"/>
    <w:next w:val="1"/>
    <w:link w:val="60"/>
    <w:qFormat/>
    <w:uiPriority w:val="0"/>
    <w:pPr>
      <w:keepNext/>
      <w:keepLines/>
      <w:numPr>
        <w:ilvl w:val="0"/>
        <w:numId w:val="2"/>
      </w:numPr>
      <w:ind w:left="0" w:firstLine="480"/>
      <w:outlineLvl w:val="3"/>
    </w:pPr>
    <w:rPr>
      <w:rFonts w:ascii="Cambria" w:hAnsi="Cambria"/>
      <w:b/>
      <w:bCs/>
      <w:kern w:val="0"/>
      <w:sz w:val="28"/>
      <w:szCs w:val="28"/>
    </w:rPr>
  </w:style>
  <w:style w:type="character" w:default="1" w:styleId="42">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1"/>
    <w:qFormat/>
    <w:uiPriority w:val="99"/>
    <w:rPr>
      <w:rFonts w:eastAsia="黑体"/>
      <w:b/>
      <w:bCs/>
      <w:spacing w:val="20"/>
      <w:kern w:val="52"/>
      <w:sz w:val="56"/>
      <w:szCs w:val="24"/>
    </w:rPr>
  </w:style>
  <w:style w:type="paragraph" w:customStyle="1" w:styleId="3">
    <w:name w:val="样式 表格正文 + 两端对齐"/>
    <w:basedOn w:val="1"/>
    <w:next w:val="4"/>
    <w:qFormat/>
    <w:uiPriority w:val="99"/>
    <w:pPr>
      <w:spacing w:line="300" w:lineRule="auto"/>
    </w:pPr>
  </w:style>
  <w:style w:type="paragraph" w:customStyle="1" w:styleId="4">
    <w:name w:val="正文1"/>
    <w:next w:val="5"/>
    <w:qFormat/>
    <w:uiPriority w:val="0"/>
    <w:pPr>
      <w:jc w:val="both"/>
    </w:pPr>
    <w:rPr>
      <w:rFonts w:ascii="Times New Roman" w:hAnsi="Times New Roman" w:eastAsia="宋体" w:cs="Times New Roman"/>
      <w:kern w:val="2"/>
      <w:sz w:val="21"/>
      <w:szCs w:val="21"/>
      <w:lang w:val="en-US" w:eastAsia="zh-CN" w:bidi="ar-SA"/>
    </w:rPr>
  </w:style>
  <w:style w:type="paragraph" w:customStyle="1" w:styleId="5">
    <w:name w:val="自动更正"/>
    <w:next w:val="6"/>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6">
    <w:name w:val="xl39"/>
    <w:basedOn w:val="1"/>
    <w:next w:val="7"/>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Cs w:val="24"/>
    </w:rPr>
  </w:style>
  <w:style w:type="paragraph" w:customStyle="1" w:styleId="7">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styleId="12">
    <w:name w:val="index 8"/>
    <w:basedOn w:val="1"/>
    <w:next w:val="1"/>
    <w:semiHidden/>
    <w:unhideWhenUsed/>
    <w:qFormat/>
    <w:locked/>
    <w:uiPriority w:val="99"/>
    <w:pPr>
      <w:ind w:left="1400" w:leftChars="1400" w:firstLine="0"/>
    </w:pPr>
  </w:style>
  <w:style w:type="paragraph" w:styleId="13">
    <w:name w:val="Normal Indent"/>
    <w:basedOn w:val="1"/>
    <w:next w:val="14"/>
    <w:link w:val="109"/>
    <w:qFormat/>
    <w:uiPriority w:val="99"/>
    <w:pPr>
      <w:ind w:firstLine="420"/>
    </w:pPr>
  </w:style>
  <w:style w:type="paragraph" w:styleId="14">
    <w:name w:val="Body Text Indent"/>
    <w:basedOn w:val="1"/>
    <w:next w:val="2"/>
    <w:link w:val="64"/>
    <w:qFormat/>
    <w:uiPriority w:val="99"/>
    <w:pPr>
      <w:snapToGrid w:val="0"/>
      <w:spacing w:line="500" w:lineRule="atLeast"/>
      <w:ind w:left="-525" w:firstLine="525"/>
    </w:pPr>
    <w:rPr>
      <w:rFonts w:ascii="宋体"/>
      <w:szCs w:val="20"/>
    </w:rPr>
  </w:style>
  <w:style w:type="paragraph" w:styleId="15">
    <w:name w:val="Document Map"/>
    <w:basedOn w:val="1"/>
    <w:link w:val="115"/>
    <w:semiHidden/>
    <w:unhideWhenUsed/>
    <w:qFormat/>
    <w:locked/>
    <w:uiPriority w:val="99"/>
    <w:rPr>
      <w:rFonts w:ascii="宋体" w:eastAsia="宋体"/>
      <w:sz w:val="18"/>
      <w:szCs w:val="18"/>
    </w:rPr>
  </w:style>
  <w:style w:type="paragraph" w:styleId="16">
    <w:name w:val="annotation text"/>
    <w:basedOn w:val="1"/>
    <w:link w:val="62"/>
    <w:qFormat/>
    <w:uiPriority w:val="99"/>
    <w:pPr>
      <w:jc w:val="left"/>
    </w:pPr>
  </w:style>
  <w:style w:type="paragraph" w:styleId="17">
    <w:name w:val="index 6"/>
    <w:basedOn w:val="1"/>
    <w:next w:val="1"/>
    <w:qFormat/>
    <w:locked/>
    <w:uiPriority w:val="0"/>
    <w:pPr>
      <w:widowControl/>
      <w:spacing w:line="240" w:lineRule="auto"/>
      <w:ind w:left="1440" w:hanging="240" w:firstLineChars="0"/>
      <w:jc w:val="left"/>
    </w:pPr>
    <w:rPr>
      <w:rFonts w:ascii="FangSong_GB2312" w:hAnsi="Times New Roman" w:eastAsia="FangSong_GB2312"/>
      <w:kern w:val="0"/>
      <w:szCs w:val="28"/>
    </w:rPr>
  </w:style>
  <w:style w:type="paragraph" w:styleId="18">
    <w:name w:val="Body Text 3"/>
    <w:basedOn w:val="1"/>
    <w:link w:val="63"/>
    <w:qFormat/>
    <w:uiPriority w:val="99"/>
    <w:rPr>
      <w:rFonts w:ascii="宋体" w:hAnsi="宋体"/>
      <w:b/>
      <w:bCs/>
      <w:szCs w:val="24"/>
    </w:rPr>
  </w:style>
  <w:style w:type="paragraph" w:styleId="19">
    <w:name w:val="toc 3"/>
    <w:basedOn w:val="1"/>
    <w:next w:val="1"/>
    <w:unhideWhenUsed/>
    <w:qFormat/>
    <w:locked/>
    <w:uiPriority w:val="39"/>
    <w:pPr>
      <w:ind w:left="840" w:leftChars="400"/>
    </w:pPr>
  </w:style>
  <w:style w:type="paragraph" w:styleId="20">
    <w:name w:val="Plain Text"/>
    <w:basedOn w:val="1"/>
    <w:next w:val="21"/>
    <w:link w:val="65"/>
    <w:qFormat/>
    <w:uiPriority w:val="99"/>
    <w:rPr>
      <w:rFonts w:ascii="宋体" w:hAnsi="Courier New"/>
    </w:rPr>
  </w:style>
  <w:style w:type="paragraph" w:styleId="21">
    <w:name w:val="toc 2"/>
    <w:basedOn w:val="1"/>
    <w:next w:val="1"/>
    <w:qFormat/>
    <w:uiPriority w:val="39"/>
    <w:pPr>
      <w:ind w:left="420" w:leftChars="200"/>
    </w:pPr>
  </w:style>
  <w:style w:type="paragraph" w:styleId="22">
    <w:name w:val="Date"/>
    <w:basedOn w:val="1"/>
    <w:next w:val="1"/>
    <w:link w:val="121"/>
    <w:qFormat/>
    <w:locked/>
    <w:uiPriority w:val="0"/>
    <w:pPr>
      <w:spacing w:line="240" w:lineRule="auto"/>
      <w:ind w:firstLine="0" w:firstLineChars="0"/>
    </w:pPr>
    <w:rPr>
      <w:rFonts w:ascii="楷体_GB2312" w:eastAsia="楷体_GB2312"/>
      <w:b/>
      <w:sz w:val="28"/>
      <w:szCs w:val="24"/>
    </w:rPr>
  </w:style>
  <w:style w:type="paragraph" w:styleId="23">
    <w:name w:val="Body Text Indent 2"/>
    <w:basedOn w:val="1"/>
    <w:link w:val="66"/>
    <w:qFormat/>
    <w:uiPriority w:val="99"/>
    <w:pPr>
      <w:ind w:firstLine="570"/>
    </w:pPr>
    <w:rPr>
      <w:kern w:val="0"/>
      <w:sz w:val="28"/>
      <w:szCs w:val="20"/>
    </w:rPr>
  </w:style>
  <w:style w:type="paragraph" w:styleId="24">
    <w:name w:val="Balloon Text"/>
    <w:basedOn w:val="1"/>
    <w:link w:val="67"/>
    <w:qFormat/>
    <w:uiPriority w:val="99"/>
    <w:pPr>
      <w:spacing w:line="240" w:lineRule="auto"/>
    </w:pPr>
    <w:rPr>
      <w:sz w:val="18"/>
      <w:szCs w:val="18"/>
    </w:rPr>
  </w:style>
  <w:style w:type="paragraph" w:styleId="25">
    <w:name w:val="footer"/>
    <w:basedOn w:val="1"/>
    <w:link w:val="68"/>
    <w:qFormat/>
    <w:uiPriority w:val="0"/>
    <w:pPr>
      <w:tabs>
        <w:tab w:val="center" w:pos="4153"/>
        <w:tab w:val="right" w:pos="8306"/>
      </w:tabs>
      <w:snapToGrid w:val="0"/>
      <w:jc w:val="left"/>
    </w:pPr>
    <w:rPr>
      <w:sz w:val="18"/>
      <w:szCs w:val="18"/>
    </w:rPr>
  </w:style>
  <w:style w:type="paragraph" w:styleId="26">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27">
    <w:name w:val="toc 1"/>
    <w:basedOn w:val="1"/>
    <w:next w:val="1"/>
    <w:qFormat/>
    <w:uiPriority w:val="39"/>
  </w:style>
  <w:style w:type="paragraph" w:styleId="28">
    <w:name w:val="Subtitle"/>
    <w:basedOn w:val="1"/>
    <w:next w:val="1"/>
    <w:link w:val="136"/>
    <w:qFormat/>
    <w:locked/>
    <w:uiPriority w:val="11"/>
    <w:pPr>
      <w:spacing w:before="240" w:after="60" w:line="312" w:lineRule="atLeast"/>
      <w:jc w:val="center"/>
      <w:outlineLvl w:val="1"/>
    </w:pPr>
    <w:rPr>
      <w:rFonts w:eastAsia="宋体" w:asciiTheme="majorHAnsi" w:hAnsiTheme="majorHAnsi" w:cstheme="majorBidi"/>
      <w:b/>
      <w:bCs/>
      <w:kern w:val="28"/>
      <w:sz w:val="32"/>
      <w:szCs w:val="32"/>
    </w:rPr>
  </w:style>
  <w:style w:type="paragraph" w:styleId="29">
    <w:name w:val="footnote text"/>
    <w:basedOn w:val="1"/>
    <w:link w:val="70"/>
    <w:qFormat/>
    <w:uiPriority w:val="99"/>
    <w:pPr>
      <w:snapToGrid w:val="0"/>
      <w:jc w:val="left"/>
    </w:pPr>
    <w:rPr>
      <w:sz w:val="18"/>
    </w:rPr>
  </w:style>
  <w:style w:type="paragraph" w:styleId="30">
    <w:name w:val="Normal (Web)"/>
    <w:basedOn w:val="1"/>
    <w:qFormat/>
    <w:uiPriority w:val="0"/>
    <w:pPr>
      <w:widowControl/>
      <w:spacing w:before="100" w:beforeAutospacing="1" w:after="100" w:afterAutospacing="1"/>
      <w:jc w:val="left"/>
    </w:pPr>
    <w:rPr>
      <w:rFonts w:ascii="宋体" w:hAnsi="宋体"/>
      <w:kern w:val="0"/>
    </w:rPr>
  </w:style>
  <w:style w:type="paragraph" w:styleId="31">
    <w:name w:val="Title"/>
    <w:basedOn w:val="1"/>
    <w:next w:val="1"/>
    <w:link w:val="135"/>
    <w:qFormat/>
    <w:locked/>
    <w:uiPriority w:val="10"/>
    <w:pPr>
      <w:spacing w:before="240" w:after="60"/>
      <w:jc w:val="center"/>
      <w:outlineLvl w:val="0"/>
    </w:pPr>
    <w:rPr>
      <w:rFonts w:eastAsia="宋体" w:asciiTheme="majorHAnsi" w:hAnsiTheme="majorHAnsi" w:cstheme="majorBidi"/>
      <w:b/>
      <w:bCs/>
      <w:sz w:val="32"/>
      <w:szCs w:val="32"/>
    </w:rPr>
  </w:style>
  <w:style w:type="paragraph" w:styleId="32">
    <w:name w:val="Body Text First Indent"/>
    <w:basedOn w:val="2"/>
    <w:next w:val="1"/>
    <w:qFormat/>
    <w:locked/>
    <w:uiPriority w:val="0"/>
    <w:pPr>
      <w:ind w:firstLine="498"/>
    </w:pPr>
  </w:style>
  <w:style w:type="paragraph" w:styleId="33">
    <w:name w:val="Body Text First Indent 2"/>
    <w:basedOn w:val="14"/>
    <w:next w:val="2"/>
    <w:link w:val="116"/>
    <w:qFormat/>
    <w:locked/>
    <w:uiPriority w:val="0"/>
    <w:pPr>
      <w:autoSpaceDE w:val="0"/>
      <w:autoSpaceDN w:val="0"/>
      <w:adjustRightInd w:val="0"/>
      <w:snapToGrid/>
      <w:spacing w:after="120" w:line="200" w:lineRule="exact"/>
      <w:ind w:left="420" w:leftChars="200" w:firstLine="420"/>
      <w:jc w:val="left"/>
    </w:pPr>
    <w:rPr>
      <w:rFonts w:hAnsi="Courier New" w:eastAsia="宋体"/>
      <w:spacing w:val="-4"/>
      <w:sz w:val="18"/>
    </w:rPr>
  </w:style>
  <w:style w:type="table" w:styleId="35">
    <w:name w:val="Table Grid"/>
    <w:basedOn w:val="3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6">
    <w:name w:val="Medium Grid 3 Accent 1"/>
    <w:basedOn w:val="34"/>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37">
    <w:name w:val="Medium Grid 3 Accent 2"/>
    <w:basedOn w:val="34"/>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38">
    <w:name w:val="Medium Grid 3 Accent 3"/>
    <w:basedOn w:val="34"/>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39">
    <w:name w:val="Medium Grid 3 Accent 4"/>
    <w:basedOn w:val="34"/>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40">
    <w:name w:val="Medium Grid 3 Accent 5"/>
    <w:basedOn w:val="34"/>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41">
    <w:name w:val="Medium Grid 3 Accent 6"/>
    <w:basedOn w:val="34"/>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43">
    <w:name w:val="Strong"/>
    <w:basedOn w:val="42"/>
    <w:qFormat/>
    <w:uiPriority w:val="22"/>
    <w:rPr>
      <w:rFonts w:cs="Times New Roman"/>
      <w:b/>
    </w:rPr>
  </w:style>
  <w:style w:type="character" w:styleId="44">
    <w:name w:val="page number"/>
    <w:qFormat/>
    <w:locked/>
    <w:uiPriority w:val="0"/>
  </w:style>
  <w:style w:type="character" w:styleId="45">
    <w:name w:val="FollowedHyperlink"/>
    <w:basedOn w:val="42"/>
    <w:qFormat/>
    <w:uiPriority w:val="99"/>
    <w:rPr>
      <w:rFonts w:cs="Times New Roman"/>
      <w:color w:val="0B3B8C"/>
      <w:u w:val="none"/>
    </w:rPr>
  </w:style>
  <w:style w:type="character" w:styleId="46">
    <w:name w:val="Emphasis"/>
    <w:basedOn w:val="42"/>
    <w:qFormat/>
    <w:uiPriority w:val="99"/>
    <w:rPr>
      <w:rFonts w:cs="Times New Roman"/>
    </w:rPr>
  </w:style>
  <w:style w:type="character" w:styleId="47">
    <w:name w:val="HTML Definition"/>
    <w:basedOn w:val="42"/>
    <w:qFormat/>
    <w:uiPriority w:val="99"/>
    <w:rPr>
      <w:rFonts w:cs="Times New Roman"/>
    </w:rPr>
  </w:style>
  <w:style w:type="character" w:styleId="48">
    <w:name w:val="HTML Acronym"/>
    <w:basedOn w:val="42"/>
    <w:qFormat/>
    <w:uiPriority w:val="99"/>
    <w:rPr>
      <w:rFonts w:cs="Times New Roman"/>
    </w:rPr>
  </w:style>
  <w:style w:type="character" w:styleId="49">
    <w:name w:val="HTML Variable"/>
    <w:basedOn w:val="42"/>
    <w:qFormat/>
    <w:uiPriority w:val="99"/>
    <w:rPr>
      <w:rFonts w:cs="Times New Roman"/>
    </w:rPr>
  </w:style>
  <w:style w:type="character" w:styleId="50">
    <w:name w:val="Hyperlink"/>
    <w:basedOn w:val="42"/>
    <w:qFormat/>
    <w:uiPriority w:val="99"/>
    <w:rPr>
      <w:rFonts w:cs="Times New Roman"/>
      <w:color w:val="0000FF"/>
      <w:u w:val="single"/>
    </w:rPr>
  </w:style>
  <w:style w:type="character" w:styleId="51">
    <w:name w:val="HTML Code"/>
    <w:basedOn w:val="42"/>
    <w:qFormat/>
    <w:uiPriority w:val="99"/>
    <w:rPr>
      <w:rFonts w:ascii="Courier New" w:hAnsi="Courier New" w:cs="Times New Roman"/>
      <w:sz w:val="20"/>
    </w:rPr>
  </w:style>
  <w:style w:type="character" w:styleId="52">
    <w:name w:val="annotation reference"/>
    <w:basedOn w:val="42"/>
    <w:qFormat/>
    <w:uiPriority w:val="99"/>
    <w:rPr>
      <w:rFonts w:cs="Times New Roman"/>
      <w:sz w:val="21"/>
      <w:szCs w:val="21"/>
    </w:rPr>
  </w:style>
  <w:style w:type="character" w:styleId="53">
    <w:name w:val="HTML Cite"/>
    <w:basedOn w:val="42"/>
    <w:qFormat/>
    <w:uiPriority w:val="99"/>
    <w:rPr>
      <w:rFonts w:cs="Times New Roman"/>
    </w:rPr>
  </w:style>
  <w:style w:type="character" w:styleId="54">
    <w:name w:val="footnote reference"/>
    <w:basedOn w:val="42"/>
    <w:qFormat/>
    <w:uiPriority w:val="99"/>
    <w:rPr>
      <w:rFonts w:cs="Times New Roman"/>
      <w:vertAlign w:val="superscript"/>
    </w:rPr>
  </w:style>
  <w:style w:type="paragraph" w:customStyle="1" w:styleId="55">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标题 1 Char"/>
    <w:basedOn w:val="42"/>
    <w:link w:val="8"/>
    <w:qFormat/>
    <w:locked/>
    <w:uiPriority w:val="0"/>
    <w:rPr>
      <w:rFonts w:ascii="Calibri" w:hAnsi="Calibri" w:eastAsia="微软雅黑"/>
      <w:bCs/>
      <w:kern w:val="44"/>
      <w:sz w:val="44"/>
      <w:szCs w:val="44"/>
    </w:rPr>
  </w:style>
  <w:style w:type="character" w:customStyle="1" w:styleId="58">
    <w:name w:val="标题 2 Char1"/>
    <w:basedOn w:val="42"/>
    <w:link w:val="9"/>
    <w:qFormat/>
    <w:locked/>
    <w:uiPriority w:val="99"/>
    <w:rPr>
      <w:rFonts w:ascii="宋体" w:hAnsi="宋体" w:eastAsia="微软雅黑" w:cs="Times New Roman"/>
      <w:bCs/>
      <w:sz w:val="24"/>
      <w:szCs w:val="24"/>
    </w:rPr>
  </w:style>
  <w:style w:type="character" w:customStyle="1" w:styleId="59">
    <w:name w:val="标题 3 Char"/>
    <w:basedOn w:val="42"/>
    <w:link w:val="10"/>
    <w:qFormat/>
    <w:locked/>
    <w:uiPriority w:val="99"/>
    <w:rPr>
      <w:rFonts w:ascii="Times New Roman" w:hAnsi="Times New Roman" w:eastAsia="微软雅黑" w:cs="Times New Roman"/>
      <w:sz w:val="30"/>
    </w:rPr>
  </w:style>
  <w:style w:type="character" w:customStyle="1" w:styleId="60">
    <w:name w:val="标题 4 Char"/>
    <w:basedOn w:val="42"/>
    <w:link w:val="11"/>
    <w:qFormat/>
    <w:locked/>
    <w:uiPriority w:val="99"/>
    <w:rPr>
      <w:rFonts w:ascii="Cambria" w:hAnsi="Cambria" w:eastAsia="微软雅黑" w:cs="Times New Roman"/>
      <w:b/>
      <w:sz w:val="28"/>
    </w:rPr>
  </w:style>
  <w:style w:type="character" w:customStyle="1" w:styleId="61">
    <w:name w:val="正文文本 Char"/>
    <w:basedOn w:val="42"/>
    <w:link w:val="2"/>
    <w:semiHidden/>
    <w:qFormat/>
    <w:locked/>
    <w:uiPriority w:val="99"/>
    <w:rPr>
      <w:rFonts w:ascii="Calibri" w:hAnsi="Calibri" w:eastAsia="微软雅黑" w:cs="Times New Roman"/>
      <w:sz w:val="24"/>
    </w:rPr>
  </w:style>
  <w:style w:type="character" w:customStyle="1" w:styleId="62">
    <w:name w:val="批注文字 Char"/>
    <w:basedOn w:val="42"/>
    <w:link w:val="16"/>
    <w:semiHidden/>
    <w:qFormat/>
    <w:locked/>
    <w:uiPriority w:val="99"/>
    <w:rPr>
      <w:rFonts w:ascii="Calibri" w:hAnsi="Calibri" w:eastAsia="微软雅黑" w:cs="Times New Roman"/>
      <w:sz w:val="24"/>
    </w:rPr>
  </w:style>
  <w:style w:type="character" w:customStyle="1" w:styleId="63">
    <w:name w:val="正文文本 3 Char"/>
    <w:basedOn w:val="42"/>
    <w:link w:val="18"/>
    <w:semiHidden/>
    <w:qFormat/>
    <w:locked/>
    <w:uiPriority w:val="99"/>
    <w:rPr>
      <w:rFonts w:ascii="Calibri" w:hAnsi="Calibri" w:eastAsia="微软雅黑" w:cs="Times New Roman"/>
      <w:sz w:val="16"/>
      <w:szCs w:val="16"/>
    </w:rPr>
  </w:style>
  <w:style w:type="character" w:customStyle="1" w:styleId="64">
    <w:name w:val="正文文本缩进 Char"/>
    <w:basedOn w:val="42"/>
    <w:link w:val="14"/>
    <w:semiHidden/>
    <w:qFormat/>
    <w:locked/>
    <w:uiPriority w:val="99"/>
    <w:rPr>
      <w:rFonts w:ascii="Calibri" w:hAnsi="Calibri" w:eastAsia="微软雅黑" w:cs="Times New Roman"/>
      <w:sz w:val="24"/>
    </w:rPr>
  </w:style>
  <w:style w:type="character" w:customStyle="1" w:styleId="65">
    <w:name w:val="纯文本 Char"/>
    <w:basedOn w:val="42"/>
    <w:link w:val="20"/>
    <w:qFormat/>
    <w:locked/>
    <w:uiPriority w:val="99"/>
    <w:rPr>
      <w:rFonts w:ascii="宋体" w:hAnsi="Courier New" w:eastAsia="微软雅黑" w:cs="Times New Roman"/>
      <w:kern w:val="2"/>
      <w:sz w:val="22"/>
    </w:rPr>
  </w:style>
  <w:style w:type="character" w:customStyle="1" w:styleId="66">
    <w:name w:val="正文文本缩进 2 Char"/>
    <w:basedOn w:val="42"/>
    <w:link w:val="23"/>
    <w:semiHidden/>
    <w:qFormat/>
    <w:locked/>
    <w:uiPriority w:val="99"/>
    <w:rPr>
      <w:rFonts w:ascii="Calibri" w:hAnsi="Calibri" w:eastAsia="微软雅黑" w:cs="Times New Roman"/>
      <w:sz w:val="24"/>
    </w:rPr>
  </w:style>
  <w:style w:type="character" w:customStyle="1" w:styleId="67">
    <w:name w:val="批注框文本 Char"/>
    <w:basedOn w:val="42"/>
    <w:link w:val="24"/>
    <w:qFormat/>
    <w:locked/>
    <w:uiPriority w:val="0"/>
    <w:rPr>
      <w:rFonts w:ascii="Calibri" w:hAnsi="Calibri" w:eastAsia="微软雅黑" w:cs="Times New Roman"/>
      <w:kern w:val="2"/>
      <w:sz w:val="18"/>
      <w:szCs w:val="18"/>
    </w:rPr>
  </w:style>
  <w:style w:type="character" w:customStyle="1" w:styleId="68">
    <w:name w:val="页脚 Char"/>
    <w:basedOn w:val="42"/>
    <w:link w:val="25"/>
    <w:qFormat/>
    <w:locked/>
    <w:uiPriority w:val="0"/>
    <w:rPr>
      <w:rFonts w:ascii="Calibri" w:hAnsi="Calibri" w:eastAsia="微软雅黑" w:cs="Times New Roman"/>
      <w:sz w:val="18"/>
      <w:szCs w:val="18"/>
    </w:rPr>
  </w:style>
  <w:style w:type="character" w:customStyle="1" w:styleId="69">
    <w:name w:val="页眉 Char"/>
    <w:basedOn w:val="42"/>
    <w:link w:val="26"/>
    <w:qFormat/>
    <w:locked/>
    <w:uiPriority w:val="0"/>
    <w:rPr>
      <w:rFonts w:ascii="Calibri" w:hAnsi="Calibri" w:eastAsia="微软雅黑" w:cs="Times New Roman"/>
      <w:sz w:val="18"/>
      <w:szCs w:val="18"/>
    </w:rPr>
  </w:style>
  <w:style w:type="character" w:customStyle="1" w:styleId="70">
    <w:name w:val="脚注文本 Char"/>
    <w:basedOn w:val="42"/>
    <w:link w:val="29"/>
    <w:semiHidden/>
    <w:qFormat/>
    <w:locked/>
    <w:uiPriority w:val="99"/>
    <w:rPr>
      <w:rFonts w:ascii="Calibri" w:hAnsi="Calibri" w:eastAsia="微软雅黑" w:cs="Times New Roman"/>
      <w:sz w:val="18"/>
      <w:szCs w:val="18"/>
    </w:rPr>
  </w:style>
  <w:style w:type="paragraph" w:styleId="71">
    <w:name w:val="List Paragraph"/>
    <w:basedOn w:val="1"/>
    <w:link w:val="133"/>
    <w:qFormat/>
    <w:uiPriority w:val="34"/>
    <w:pPr>
      <w:ind w:firstLine="420"/>
    </w:pPr>
  </w:style>
  <w:style w:type="character" w:customStyle="1" w:styleId="72">
    <w:name w:val="large1"/>
    <w:qFormat/>
    <w:uiPriority w:val="99"/>
    <w:rPr>
      <w:rFonts w:ascii="宋体" w:hAnsi="宋体" w:eastAsia="宋体"/>
      <w:sz w:val="21"/>
    </w:rPr>
  </w:style>
  <w:style w:type="paragraph" w:customStyle="1" w:styleId="73">
    <w:name w:val="正  文"/>
    <w:basedOn w:val="1"/>
    <w:qFormat/>
    <w:uiPriority w:val="99"/>
    <w:pPr>
      <w:spacing w:line="360" w:lineRule="auto"/>
      <w:ind w:firstLine="200"/>
    </w:pPr>
    <w:rPr>
      <w:rFonts w:ascii="宋体"/>
      <w:szCs w:val="24"/>
    </w:rPr>
  </w:style>
  <w:style w:type="paragraph" w:customStyle="1" w:styleId="74">
    <w:name w:val="_Style 15"/>
    <w:basedOn w:val="1"/>
    <w:qFormat/>
    <w:uiPriority w:val="99"/>
    <w:pPr>
      <w:ind w:firstLine="420"/>
    </w:pPr>
  </w:style>
  <w:style w:type="paragraph" w:customStyle="1" w:styleId="75">
    <w:name w:val="列出段落1"/>
    <w:basedOn w:val="1"/>
    <w:qFormat/>
    <w:uiPriority w:val="34"/>
    <w:pPr>
      <w:ind w:firstLine="420"/>
    </w:pPr>
    <w:rPr>
      <w:szCs w:val="24"/>
    </w:rPr>
  </w:style>
  <w:style w:type="paragraph" w:customStyle="1" w:styleId="76">
    <w:name w:val="_Style 9"/>
    <w:basedOn w:val="1"/>
    <w:qFormat/>
    <w:uiPriority w:val="99"/>
    <w:pPr>
      <w:ind w:firstLine="420"/>
    </w:pPr>
    <w:rPr>
      <w:rFonts w:eastAsia="FangSong_GB2312"/>
      <w:sz w:val="28"/>
    </w:rPr>
  </w:style>
  <w:style w:type="paragraph" w:customStyle="1" w:styleId="77">
    <w:name w:val="正文缩进2格"/>
    <w:basedOn w:val="1"/>
    <w:qFormat/>
    <w:uiPriority w:val="0"/>
    <w:pPr>
      <w:spacing w:line="600" w:lineRule="exact"/>
      <w:ind w:firstLine="639" w:firstLineChars="206"/>
    </w:pPr>
    <w:rPr>
      <w:rFonts w:ascii="FangSong_GB2312" w:hAnsi="宋体" w:eastAsia="FangSong_GB2312"/>
      <w:sz w:val="31"/>
      <w:szCs w:val="28"/>
    </w:rPr>
  </w:style>
  <w:style w:type="character" w:customStyle="1" w:styleId="78">
    <w:name w:val="标题 2 Char"/>
    <w:qFormat/>
    <w:uiPriority w:val="0"/>
    <w:rPr>
      <w:rFonts w:ascii="宋体" w:hAnsi="宋体" w:eastAsia="FangSong_GB2312"/>
      <w:kern w:val="2"/>
      <w:sz w:val="32"/>
      <w:lang w:val="en-US" w:eastAsia="zh-CN"/>
    </w:rPr>
  </w:style>
  <w:style w:type="paragraph" w:customStyle="1" w:styleId="79">
    <w:name w:val="reader-word-layer reader-word-s1-1"/>
    <w:basedOn w:val="1"/>
    <w:qFormat/>
    <w:uiPriority w:val="99"/>
    <w:pPr>
      <w:widowControl/>
      <w:spacing w:before="100" w:beforeAutospacing="1" w:after="100" w:afterAutospacing="1"/>
      <w:jc w:val="left"/>
    </w:pPr>
    <w:rPr>
      <w:rFonts w:ascii="宋体" w:hAnsi="宋体" w:cs="宋体"/>
      <w:kern w:val="0"/>
      <w:szCs w:val="24"/>
    </w:rPr>
  </w:style>
  <w:style w:type="paragraph" w:customStyle="1" w:styleId="80">
    <w:name w:val="reader-word-layer reader-word-s1-0 reader-word-s1-5"/>
    <w:basedOn w:val="1"/>
    <w:qFormat/>
    <w:uiPriority w:val="99"/>
    <w:pPr>
      <w:widowControl/>
      <w:spacing w:before="100" w:beforeAutospacing="1" w:after="100" w:afterAutospacing="1"/>
      <w:jc w:val="left"/>
    </w:pPr>
    <w:rPr>
      <w:rFonts w:ascii="宋体" w:hAnsi="宋体" w:cs="宋体"/>
      <w:kern w:val="0"/>
      <w:szCs w:val="24"/>
    </w:rPr>
  </w:style>
  <w:style w:type="paragraph" w:customStyle="1" w:styleId="81">
    <w:name w:val="reader-word-layer reader-word-s1-5"/>
    <w:basedOn w:val="1"/>
    <w:qFormat/>
    <w:uiPriority w:val="99"/>
    <w:pPr>
      <w:widowControl/>
      <w:spacing w:before="100" w:beforeAutospacing="1" w:after="100" w:afterAutospacing="1"/>
      <w:jc w:val="left"/>
    </w:pPr>
    <w:rPr>
      <w:rFonts w:ascii="宋体" w:hAnsi="宋体" w:cs="宋体"/>
      <w:kern w:val="0"/>
      <w:szCs w:val="24"/>
    </w:rPr>
  </w:style>
  <w:style w:type="paragraph" w:customStyle="1" w:styleId="82">
    <w:name w:val="reader-word-layer reader-word-s1-2"/>
    <w:basedOn w:val="1"/>
    <w:qFormat/>
    <w:uiPriority w:val="99"/>
    <w:pPr>
      <w:widowControl/>
      <w:spacing w:before="100" w:beforeAutospacing="1" w:after="100" w:afterAutospacing="1"/>
      <w:jc w:val="left"/>
    </w:pPr>
    <w:rPr>
      <w:rFonts w:ascii="宋体" w:hAnsi="宋体" w:cs="宋体"/>
      <w:kern w:val="0"/>
      <w:szCs w:val="24"/>
    </w:rPr>
  </w:style>
  <w:style w:type="paragraph" w:customStyle="1" w:styleId="83">
    <w:name w:val="_Style 4"/>
    <w:basedOn w:val="1"/>
    <w:qFormat/>
    <w:uiPriority w:val="99"/>
    <w:pPr>
      <w:ind w:firstLine="420"/>
    </w:pPr>
  </w:style>
  <w:style w:type="paragraph" w:customStyle="1" w:styleId="84">
    <w:name w:val="Proposals body"/>
    <w:basedOn w:val="1"/>
    <w:next w:val="1"/>
    <w:qFormat/>
    <w:uiPriority w:val="0"/>
    <w:pPr>
      <w:widowControl/>
      <w:spacing w:line="360" w:lineRule="auto"/>
      <w:jc w:val="left"/>
    </w:pPr>
    <w:rPr>
      <w:rFonts w:ascii="宋体" w:hAnsi="Times New Roman" w:eastAsia="FangSong_GB2312"/>
      <w:color w:val="000000"/>
      <w:kern w:val="0"/>
      <w:szCs w:val="20"/>
    </w:rPr>
  </w:style>
  <w:style w:type="paragraph" w:customStyle="1" w:styleId="85">
    <w:name w:val="reader-word-layer reader-word-s26-10"/>
    <w:basedOn w:val="1"/>
    <w:qFormat/>
    <w:uiPriority w:val="99"/>
    <w:pPr>
      <w:widowControl/>
      <w:spacing w:before="100" w:beforeAutospacing="1" w:after="100" w:afterAutospacing="1"/>
      <w:jc w:val="left"/>
    </w:pPr>
    <w:rPr>
      <w:rFonts w:ascii="宋体" w:hAnsi="宋体" w:cs="宋体"/>
      <w:kern w:val="0"/>
    </w:rPr>
  </w:style>
  <w:style w:type="paragraph" w:customStyle="1" w:styleId="86">
    <w:name w:val="reader-word-layer reader-word-s27-4"/>
    <w:basedOn w:val="1"/>
    <w:qFormat/>
    <w:uiPriority w:val="99"/>
    <w:pPr>
      <w:widowControl/>
      <w:spacing w:before="100" w:beforeAutospacing="1" w:after="100" w:afterAutospacing="1"/>
      <w:jc w:val="left"/>
    </w:pPr>
    <w:rPr>
      <w:rFonts w:ascii="宋体" w:hAnsi="宋体" w:cs="宋体"/>
      <w:kern w:val="0"/>
    </w:rPr>
  </w:style>
  <w:style w:type="paragraph" w:customStyle="1" w:styleId="87">
    <w:name w:val="reader-word-layer reader-word-s27-6"/>
    <w:basedOn w:val="1"/>
    <w:qFormat/>
    <w:uiPriority w:val="99"/>
    <w:pPr>
      <w:widowControl/>
      <w:spacing w:before="100" w:beforeAutospacing="1" w:after="100" w:afterAutospacing="1"/>
      <w:jc w:val="left"/>
    </w:pPr>
    <w:rPr>
      <w:rFonts w:ascii="宋体" w:hAnsi="宋体" w:cs="宋体"/>
      <w:kern w:val="0"/>
    </w:rPr>
  </w:style>
  <w:style w:type="paragraph" w:customStyle="1" w:styleId="88">
    <w:name w:val="reader-word-layer reader-word-s27-7"/>
    <w:basedOn w:val="1"/>
    <w:qFormat/>
    <w:uiPriority w:val="99"/>
    <w:pPr>
      <w:widowControl/>
      <w:spacing w:before="100" w:beforeAutospacing="1" w:after="100" w:afterAutospacing="1"/>
      <w:jc w:val="left"/>
    </w:pPr>
    <w:rPr>
      <w:rFonts w:ascii="宋体" w:hAnsi="宋体" w:cs="宋体"/>
      <w:kern w:val="0"/>
    </w:rPr>
  </w:style>
  <w:style w:type="paragraph" w:customStyle="1" w:styleId="89">
    <w:name w:val="reader-word-layer reader-word-s27-8"/>
    <w:basedOn w:val="1"/>
    <w:qFormat/>
    <w:uiPriority w:val="99"/>
    <w:pPr>
      <w:widowControl/>
      <w:spacing w:before="100" w:beforeAutospacing="1" w:after="100" w:afterAutospacing="1"/>
      <w:jc w:val="left"/>
    </w:pPr>
    <w:rPr>
      <w:rFonts w:ascii="宋体" w:hAnsi="宋体" w:cs="宋体"/>
      <w:kern w:val="0"/>
    </w:rPr>
  </w:style>
  <w:style w:type="paragraph" w:customStyle="1" w:styleId="90">
    <w:name w:val="reader-word-layer reader-word-s27-9"/>
    <w:basedOn w:val="1"/>
    <w:qFormat/>
    <w:uiPriority w:val="99"/>
    <w:pPr>
      <w:widowControl/>
      <w:spacing w:before="100" w:beforeAutospacing="1" w:after="100" w:afterAutospacing="1"/>
      <w:jc w:val="left"/>
    </w:pPr>
    <w:rPr>
      <w:rFonts w:ascii="宋体" w:hAnsi="宋体" w:cs="宋体"/>
      <w:kern w:val="0"/>
    </w:rPr>
  </w:style>
  <w:style w:type="paragraph" w:customStyle="1" w:styleId="91">
    <w:name w:val="reader-word-layer reader-word-s27-15"/>
    <w:basedOn w:val="1"/>
    <w:qFormat/>
    <w:uiPriority w:val="99"/>
    <w:pPr>
      <w:widowControl/>
      <w:spacing w:before="100" w:beforeAutospacing="1" w:after="100" w:afterAutospacing="1"/>
      <w:jc w:val="left"/>
    </w:pPr>
    <w:rPr>
      <w:rFonts w:ascii="宋体" w:hAnsi="宋体" w:cs="宋体"/>
      <w:kern w:val="0"/>
    </w:rPr>
  </w:style>
  <w:style w:type="paragraph" w:customStyle="1" w:styleId="92">
    <w:name w:val="正文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3">
    <w:name w:val="列出段落11"/>
    <w:basedOn w:val="1"/>
    <w:qFormat/>
    <w:uiPriority w:val="99"/>
    <w:pPr>
      <w:ind w:firstLine="420"/>
    </w:pPr>
    <w:rPr>
      <w:rFonts w:cs="Calibri"/>
      <w:szCs w:val="21"/>
    </w:rPr>
  </w:style>
  <w:style w:type="character" w:customStyle="1" w:styleId="94">
    <w:name w:val="hover"/>
    <w:basedOn w:val="42"/>
    <w:qFormat/>
    <w:uiPriority w:val="99"/>
    <w:rPr>
      <w:rFonts w:cs="Times New Roman"/>
      <w:u w:val="single"/>
    </w:rPr>
  </w:style>
  <w:style w:type="character" w:customStyle="1" w:styleId="95">
    <w:name w:val="select"/>
    <w:basedOn w:val="42"/>
    <w:qFormat/>
    <w:uiPriority w:val="99"/>
    <w:rPr>
      <w:rFonts w:cs="Times New Roman"/>
    </w:rPr>
  </w:style>
  <w:style w:type="character" w:customStyle="1" w:styleId="96">
    <w:name w:val="select1"/>
    <w:basedOn w:val="42"/>
    <w:qFormat/>
    <w:uiPriority w:val="99"/>
    <w:rPr>
      <w:rFonts w:cs="Times New Roman"/>
    </w:rPr>
  </w:style>
  <w:style w:type="character" w:customStyle="1" w:styleId="97">
    <w:name w:val="next"/>
    <w:basedOn w:val="42"/>
    <w:qFormat/>
    <w:uiPriority w:val="99"/>
    <w:rPr>
      <w:rFonts w:cs="Times New Roman"/>
      <w:color w:val="C4C4C4"/>
      <w:bdr w:val="single" w:color="DEDEDE" w:sz="6" w:space="0"/>
    </w:rPr>
  </w:style>
  <w:style w:type="character" w:customStyle="1" w:styleId="98">
    <w:name w:val="points"/>
    <w:basedOn w:val="42"/>
    <w:qFormat/>
    <w:uiPriority w:val="99"/>
    <w:rPr>
      <w:rFonts w:ascii="Arial" w:hAnsi="Arial" w:cs="Arial"/>
      <w:color w:val="000000"/>
    </w:rPr>
  </w:style>
  <w:style w:type="character" w:customStyle="1" w:styleId="99">
    <w:name w:val="num11"/>
    <w:basedOn w:val="42"/>
    <w:qFormat/>
    <w:uiPriority w:val="99"/>
    <w:rPr>
      <w:rFonts w:cs="Times New Roman"/>
      <w:shd w:val="clear" w:color="auto" w:fill="FF9000"/>
    </w:rPr>
  </w:style>
  <w:style w:type="character" w:customStyle="1" w:styleId="100">
    <w:name w:val="dot"/>
    <w:basedOn w:val="42"/>
    <w:qFormat/>
    <w:uiPriority w:val="99"/>
    <w:rPr>
      <w:rFonts w:cs="Times New Roman"/>
    </w:rPr>
  </w:style>
  <w:style w:type="character" w:customStyle="1" w:styleId="101">
    <w:name w:val="font81"/>
    <w:basedOn w:val="42"/>
    <w:qFormat/>
    <w:uiPriority w:val="99"/>
    <w:rPr>
      <w:rFonts w:ascii="宋体" w:hAnsi="宋体" w:eastAsia="宋体" w:cs="宋体"/>
      <w:color w:val="000000"/>
      <w:sz w:val="20"/>
      <w:szCs w:val="20"/>
      <w:u w:val="none"/>
    </w:rPr>
  </w:style>
  <w:style w:type="character" w:customStyle="1" w:styleId="102">
    <w:name w:val="font51"/>
    <w:basedOn w:val="42"/>
    <w:qFormat/>
    <w:uiPriority w:val="99"/>
    <w:rPr>
      <w:rFonts w:ascii="宋体" w:hAnsi="宋体" w:eastAsia="宋体" w:cs="宋体"/>
      <w:b/>
      <w:color w:val="DD0806"/>
      <w:sz w:val="20"/>
      <w:szCs w:val="20"/>
      <w:u w:val="none"/>
    </w:rPr>
  </w:style>
  <w:style w:type="character" w:customStyle="1" w:styleId="103">
    <w:name w:val="font01"/>
    <w:basedOn w:val="42"/>
    <w:qFormat/>
    <w:uiPriority w:val="99"/>
    <w:rPr>
      <w:rFonts w:ascii="等线" w:hAnsi="等线" w:eastAsia="等线" w:cs="等线"/>
      <w:color w:val="000000"/>
      <w:sz w:val="24"/>
      <w:szCs w:val="24"/>
      <w:u w:val="none"/>
    </w:rPr>
  </w:style>
  <w:style w:type="character" w:customStyle="1" w:styleId="104">
    <w:name w:val="font21"/>
    <w:basedOn w:val="42"/>
    <w:qFormat/>
    <w:uiPriority w:val="99"/>
    <w:rPr>
      <w:rFonts w:ascii="等线" w:hAnsi="等线" w:eastAsia="等线" w:cs="等线"/>
      <w:color w:val="000000"/>
      <w:sz w:val="18"/>
      <w:szCs w:val="18"/>
      <w:u w:val="none"/>
    </w:rPr>
  </w:style>
  <w:style w:type="character" w:customStyle="1" w:styleId="105">
    <w:name w:val="font11"/>
    <w:basedOn w:val="42"/>
    <w:qFormat/>
    <w:uiPriority w:val="99"/>
    <w:rPr>
      <w:rFonts w:ascii="等线" w:hAnsi="等线" w:eastAsia="等线" w:cs="等线"/>
      <w:color w:val="000000"/>
      <w:sz w:val="24"/>
      <w:szCs w:val="24"/>
      <w:u w:val="none"/>
    </w:rPr>
  </w:style>
  <w:style w:type="character" w:customStyle="1" w:styleId="106">
    <w:name w:val="font31"/>
    <w:basedOn w:val="42"/>
    <w:qFormat/>
    <w:uiPriority w:val="99"/>
    <w:rPr>
      <w:rFonts w:ascii="等线" w:hAnsi="等线" w:eastAsia="等线" w:cs="等线"/>
      <w:color w:val="000000"/>
      <w:sz w:val="18"/>
      <w:szCs w:val="18"/>
      <w:u w:val="none"/>
    </w:rPr>
  </w:style>
  <w:style w:type="character" w:customStyle="1" w:styleId="107">
    <w:name w:val="apple-converted-space"/>
    <w:basedOn w:val="42"/>
    <w:qFormat/>
    <w:uiPriority w:val="99"/>
    <w:rPr>
      <w:rFonts w:cs="Times New Roman"/>
    </w:rPr>
  </w:style>
  <w:style w:type="paragraph" w:customStyle="1" w:styleId="108">
    <w:name w:val="reader-word-layer"/>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character" w:customStyle="1" w:styleId="109">
    <w:name w:val="正文缩进 Char"/>
    <w:basedOn w:val="42"/>
    <w:link w:val="13"/>
    <w:qFormat/>
    <w:locked/>
    <w:uiPriority w:val="99"/>
    <w:rPr>
      <w:rFonts w:ascii="Calibri" w:hAnsi="Calibri" w:eastAsia="微软雅黑" w:cs="Times New Roman"/>
      <w:kern w:val="2"/>
      <w:sz w:val="22"/>
      <w:szCs w:val="22"/>
    </w:rPr>
  </w:style>
  <w:style w:type="paragraph" w:customStyle="1" w:styleId="110">
    <w:name w:val="正文2"/>
    <w:basedOn w:val="1"/>
    <w:link w:val="111"/>
    <w:qFormat/>
    <w:uiPriority w:val="99"/>
    <w:pPr>
      <w:spacing w:before="156" w:line="360" w:lineRule="auto"/>
      <w:ind w:firstLine="510"/>
    </w:pPr>
    <w:rPr>
      <w:rFonts w:ascii="Times New Roman" w:hAnsi="Times New Roman" w:eastAsia="宋体"/>
      <w:szCs w:val="20"/>
    </w:rPr>
  </w:style>
  <w:style w:type="character" w:customStyle="1" w:styleId="111">
    <w:name w:val="正文2 Char"/>
    <w:link w:val="110"/>
    <w:qFormat/>
    <w:locked/>
    <w:uiPriority w:val="99"/>
    <w:rPr>
      <w:kern w:val="2"/>
      <w:sz w:val="24"/>
    </w:rPr>
  </w:style>
  <w:style w:type="paragraph" w:customStyle="1" w:styleId="11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样式1"/>
    <w:basedOn w:val="9"/>
    <w:qFormat/>
    <w:uiPriority w:val="0"/>
    <w:pPr>
      <w:adjustRightInd/>
      <w:spacing w:beforeLines="0" w:afterLines="0" w:line="415" w:lineRule="auto"/>
    </w:pPr>
    <w:rPr>
      <w:rFonts w:eastAsia="黑体"/>
      <w:b/>
      <w:bCs/>
      <w:sz w:val="36"/>
      <w:szCs w:val="36"/>
    </w:rPr>
  </w:style>
  <w:style w:type="paragraph" w:customStyle="1" w:styleId="114">
    <w:name w:val="TOC 标题1"/>
    <w:basedOn w:val="8"/>
    <w:next w:val="1"/>
    <w:semiHidden/>
    <w:unhideWhenUsed/>
    <w:qFormat/>
    <w:uiPriority w:val="39"/>
    <w:pPr>
      <w:widowControl/>
      <w:numPr>
        <w:numId w:val="0"/>
      </w:numPr>
      <w:spacing w:beforeLines="0" w:afterLines="0" w:line="276" w:lineRule="auto"/>
      <w:jc w:val="left"/>
      <w:outlineLvl w:val="9"/>
    </w:pPr>
    <w:rPr>
      <w:rFonts w:ascii="Cambria" w:hAnsi="Cambria" w:eastAsia="宋体"/>
      <w:b/>
      <w:color w:val="365F91"/>
      <w:kern w:val="0"/>
      <w:sz w:val="28"/>
      <w:szCs w:val="28"/>
    </w:rPr>
  </w:style>
  <w:style w:type="character" w:customStyle="1" w:styleId="115">
    <w:name w:val="文档结构图 Char"/>
    <w:basedOn w:val="42"/>
    <w:link w:val="15"/>
    <w:semiHidden/>
    <w:qFormat/>
    <w:uiPriority w:val="99"/>
    <w:rPr>
      <w:rFonts w:ascii="宋体" w:hAnsi="Calibri"/>
      <w:kern w:val="2"/>
      <w:sz w:val="18"/>
      <w:szCs w:val="18"/>
    </w:rPr>
  </w:style>
  <w:style w:type="character" w:customStyle="1" w:styleId="116">
    <w:name w:val="正文首行缩进 2 Char"/>
    <w:basedOn w:val="64"/>
    <w:link w:val="33"/>
    <w:qFormat/>
    <w:uiPriority w:val="0"/>
    <w:rPr>
      <w:rFonts w:ascii="宋体" w:hAnsi="Courier New" w:eastAsia="微软雅黑" w:cs="Times New Roman"/>
      <w:spacing w:val="-4"/>
      <w:kern w:val="2"/>
      <w:sz w:val="18"/>
    </w:rPr>
  </w:style>
  <w:style w:type="character" w:customStyle="1" w:styleId="117">
    <w:name w:val="EHPT Char"/>
    <w:qFormat/>
    <w:uiPriority w:val="0"/>
    <w:rPr>
      <w:rFonts w:ascii="Calibri" w:hAnsi="Calibri" w:eastAsia="宋体"/>
      <w:kern w:val="2"/>
      <w:sz w:val="21"/>
      <w:szCs w:val="22"/>
      <w:lang w:val="en-US" w:eastAsia="zh-CN" w:bidi="ar-SA"/>
    </w:rPr>
  </w:style>
  <w:style w:type="paragraph" w:customStyle="1" w:styleId="118">
    <w:name w:val="正文文本1"/>
    <w:qFormat/>
    <w:uiPriority w:val="99"/>
    <w:pPr>
      <w:widowControl w:val="0"/>
      <w:spacing w:after="120" w:line="440" w:lineRule="exact"/>
      <w:ind w:firstLine="360"/>
      <w:jc w:val="both"/>
    </w:pPr>
    <w:rPr>
      <w:rFonts w:ascii="Times New Roman" w:hAnsi="Times New Roman" w:eastAsia="宋体" w:cs="Times New Roman"/>
      <w:color w:val="000000"/>
      <w:kern w:val="2"/>
      <w:sz w:val="21"/>
      <w:szCs w:val="21"/>
      <w:u w:color="000000"/>
      <w:lang w:val="en-US" w:eastAsia="zh-CN" w:bidi="ar-SA"/>
    </w:rPr>
  </w:style>
  <w:style w:type="paragraph" w:customStyle="1" w:styleId="119">
    <w:name w:val="a"/>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20">
    <w:name w:val="DG正文"/>
    <w:basedOn w:val="1"/>
    <w:qFormat/>
    <w:uiPriority w:val="0"/>
    <w:pPr>
      <w:widowControl/>
      <w:spacing w:line="360" w:lineRule="auto"/>
      <w:ind w:right="142" w:firstLine="640" w:firstLineChars="0"/>
      <w:jc w:val="left"/>
    </w:pPr>
    <w:rPr>
      <w:rFonts w:eastAsia="宋体" w:cs="Calibri"/>
      <w:kern w:val="0"/>
      <w:szCs w:val="24"/>
    </w:rPr>
  </w:style>
  <w:style w:type="character" w:customStyle="1" w:styleId="121">
    <w:name w:val="日期 Char"/>
    <w:basedOn w:val="42"/>
    <w:link w:val="22"/>
    <w:qFormat/>
    <w:uiPriority w:val="0"/>
    <w:rPr>
      <w:rFonts w:ascii="楷体_GB2312" w:hAnsi="Calibri" w:eastAsia="楷体_GB2312"/>
      <w:b/>
      <w:kern w:val="2"/>
      <w:sz w:val="28"/>
      <w:szCs w:val="24"/>
    </w:rPr>
  </w:style>
  <w:style w:type="table" w:customStyle="1" w:styleId="122">
    <w:name w:val="中等深浅网格 31"/>
    <w:basedOn w:val="34"/>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customStyle="1" w:styleId="123">
    <w:name w:val="网格型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中等深浅网格 3 - 强调文字颜色 41"/>
    <w:basedOn w:val="34"/>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8064A2"/>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customStyle="1" w:styleId="125">
    <w:name w:val="中等深浅网格 3 - 强调文字颜色 31"/>
    <w:basedOn w:val="34"/>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9BBB59"/>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customStyle="1" w:styleId="126">
    <w:name w:val="中等深浅网格 3 - 强调文字颜色 61"/>
    <w:basedOn w:val="34"/>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F7964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table" w:customStyle="1" w:styleId="127">
    <w:name w:val="中等深浅网格 3 - 强调文字颜色 21"/>
    <w:basedOn w:val="34"/>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C0504D"/>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customStyle="1" w:styleId="128">
    <w:name w:val="中等深浅网格 3 - 强调文字颜色 51"/>
    <w:basedOn w:val="34"/>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4BACC6"/>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customStyle="1" w:styleId="129">
    <w:name w:val="中等深浅网格 3 - 强调文字颜色 11"/>
    <w:basedOn w:val="34"/>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4F81BD"/>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character" w:customStyle="1" w:styleId="130">
    <w:name w:val="编号 Char Char"/>
    <w:link w:val="131"/>
    <w:qFormat/>
    <w:uiPriority w:val="0"/>
    <w:rPr>
      <w:rFonts w:ascii="MetaPlusLF" w:hAnsi="MetaPlusLF"/>
    </w:rPr>
  </w:style>
  <w:style w:type="paragraph" w:customStyle="1" w:styleId="131">
    <w:name w:val="编号"/>
    <w:basedOn w:val="1"/>
    <w:link w:val="130"/>
    <w:qFormat/>
    <w:uiPriority w:val="0"/>
    <w:pPr>
      <w:tabs>
        <w:tab w:val="left" w:pos="1680"/>
      </w:tabs>
      <w:spacing w:beforeLines="50" w:afterLines="50" w:line="420" w:lineRule="exact"/>
      <w:ind w:left="425" w:firstLine="0" w:firstLineChars="0"/>
    </w:pPr>
    <w:rPr>
      <w:rFonts w:ascii="MetaPlusLF" w:hAnsi="MetaPlusLF" w:eastAsia="宋体"/>
      <w:kern w:val="0"/>
      <w:sz w:val="20"/>
      <w:szCs w:val="20"/>
    </w:rPr>
  </w:style>
  <w:style w:type="paragraph" w:customStyle="1" w:styleId="132">
    <w:name w:val="List Paragraph1"/>
    <w:basedOn w:val="1"/>
    <w:qFormat/>
    <w:uiPriority w:val="0"/>
    <w:pPr>
      <w:widowControl/>
      <w:ind w:firstLine="420"/>
      <w:jc w:val="left"/>
    </w:pPr>
  </w:style>
  <w:style w:type="character" w:customStyle="1" w:styleId="133">
    <w:name w:val="列出段落 Char"/>
    <w:link w:val="71"/>
    <w:qFormat/>
    <w:uiPriority w:val="99"/>
    <w:rPr>
      <w:rFonts w:ascii="Calibri" w:hAnsi="Calibri" w:eastAsia="微软雅黑"/>
      <w:kern w:val="2"/>
      <w:sz w:val="24"/>
      <w:szCs w:val="22"/>
    </w:rPr>
  </w:style>
  <w:style w:type="paragraph" w:customStyle="1" w:styleId="134">
    <w:name w:val="TOC 标题2"/>
    <w:basedOn w:val="8"/>
    <w:next w:val="1"/>
    <w:unhideWhenUsed/>
    <w:qFormat/>
    <w:uiPriority w:val="39"/>
    <w:pPr>
      <w:widowControl/>
      <w:numPr>
        <w:numId w:val="0"/>
      </w:numPr>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 w:type="character" w:customStyle="1" w:styleId="135">
    <w:name w:val="标题 Char"/>
    <w:basedOn w:val="42"/>
    <w:link w:val="31"/>
    <w:qFormat/>
    <w:uiPriority w:val="10"/>
    <w:rPr>
      <w:rFonts w:asciiTheme="majorHAnsi" w:hAnsiTheme="majorHAnsi" w:cstheme="majorBidi"/>
      <w:b/>
      <w:bCs/>
      <w:kern w:val="2"/>
      <w:sz w:val="32"/>
      <w:szCs w:val="32"/>
    </w:rPr>
  </w:style>
  <w:style w:type="character" w:customStyle="1" w:styleId="136">
    <w:name w:val="副标题 Char"/>
    <w:basedOn w:val="42"/>
    <w:link w:val="28"/>
    <w:qFormat/>
    <w:uiPriority w:val="11"/>
    <w:rPr>
      <w:rFonts w:asciiTheme="majorHAnsi" w:hAnsiTheme="majorHAnsi" w:cstheme="majorBidi"/>
      <w:b/>
      <w:bCs/>
      <w:kern w:val="28"/>
      <w:sz w:val="32"/>
      <w:szCs w:val="32"/>
    </w:rPr>
  </w:style>
  <w:style w:type="paragraph" w:customStyle="1" w:styleId="13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列表段落1"/>
    <w:basedOn w:val="1"/>
    <w:qFormat/>
    <w:uiPriority w:val="0"/>
    <w:pPr>
      <w:ind w:firstLine="420"/>
    </w:pPr>
  </w:style>
  <w:style w:type="paragraph" w:customStyle="1" w:styleId="139">
    <w:name w:val="二级大标题"/>
    <w:basedOn w:val="9"/>
    <w:qFormat/>
    <w:uiPriority w:val="0"/>
    <w:pPr>
      <w:spacing w:line="360" w:lineRule="auto"/>
    </w:pPr>
    <w:rPr>
      <w:rFonts w:ascii="Arial" w:hAnsi="Arial" w:eastAsia="黑体" w:cs="Calibri"/>
      <w:sz w:val="24"/>
    </w:rPr>
  </w:style>
  <w:style w:type="paragraph" w:customStyle="1" w:styleId="140">
    <w:name w:val="正文0"/>
    <w:basedOn w:val="1"/>
    <w:qFormat/>
    <w:uiPriority w:val="0"/>
    <w:pPr>
      <w:spacing w:line="360" w:lineRule="auto"/>
      <w:ind w:firstLine="200"/>
    </w:pPr>
    <w:rPr>
      <w:rFonts w:ascii="仿宋_GB2312" w:eastAsia="仿宋_GB2312"/>
      <w:sz w:val="28"/>
      <w:szCs w:val="24"/>
    </w:rPr>
  </w:style>
  <w:style w:type="paragraph" w:customStyle="1" w:styleId="141">
    <w:name w:val="_标题2"/>
    <w:basedOn w:val="142"/>
    <w:next w:val="142"/>
    <w:qFormat/>
    <w:uiPriority w:val="0"/>
    <w:pPr>
      <w:keepNext/>
      <w:widowControl w:val="0"/>
      <w:numPr>
        <w:ilvl w:val="1"/>
        <w:numId w:val="3"/>
      </w:numPr>
      <w:spacing w:beforeLines="50" w:afterLines="50"/>
      <w:ind w:firstLineChars="0"/>
      <w:outlineLvl w:val="1"/>
    </w:pPr>
    <w:rPr>
      <w:rFonts w:asciiTheme="minorHAnsi" w:hAnsiTheme="minorHAnsi"/>
      <w:b/>
      <w:sz w:val="32"/>
    </w:rPr>
  </w:style>
  <w:style w:type="paragraph" w:customStyle="1" w:styleId="142">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paragraph" w:customStyle="1" w:styleId="143">
    <w:name w:val="_标题3"/>
    <w:basedOn w:val="142"/>
    <w:next w:val="142"/>
    <w:qFormat/>
    <w:uiPriority w:val="0"/>
    <w:pPr>
      <w:keepNext/>
      <w:widowControl w:val="0"/>
      <w:numPr>
        <w:ilvl w:val="2"/>
        <w:numId w:val="3"/>
      </w:numPr>
      <w:spacing w:beforeLines="50" w:afterLines="50"/>
      <w:ind w:firstLineChars="0"/>
      <w:outlineLvl w:val="2"/>
    </w:pPr>
    <w:rPr>
      <w:rFonts w:asciiTheme="minorHAnsi" w:hAnsiTheme="minorHAnsi"/>
      <w:b/>
      <w:sz w:val="30"/>
    </w:rPr>
  </w:style>
  <w:style w:type="paragraph" w:customStyle="1" w:styleId="144">
    <w:name w:val="样式 正文缩进 + 首行缩进:  2 字符"/>
    <w:basedOn w:val="13"/>
    <w:qFormat/>
    <w:uiPriority w:val="0"/>
    <w:pPr>
      <w:spacing w:line="360" w:lineRule="auto"/>
      <w:ind w:firstLine="200"/>
    </w:pPr>
    <w:rPr>
      <w:rFonts w:cs="宋体"/>
      <w:lang w:val="zh-CN"/>
    </w:rPr>
  </w:style>
  <w:style w:type="paragraph" w:customStyle="1" w:styleId="145">
    <w:name w:val="_标题4"/>
    <w:basedOn w:val="142"/>
    <w:next w:val="142"/>
    <w:qFormat/>
    <w:uiPriority w:val="0"/>
    <w:pPr>
      <w:keepNext/>
      <w:widowControl w:val="0"/>
      <w:numPr>
        <w:ilvl w:val="3"/>
        <w:numId w:val="3"/>
      </w:numPr>
      <w:spacing w:beforeLines="50"/>
      <w:ind w:firstLineChars="0"/>
      <w:outlineLvl w:val="3"/>
    </w:pPr>
    <w:rPr>
      <w:rFonts w:asciiTheme="minorHAnsi" w:hAnsiTheme="minorHAnsi"/>
      <w:b/>
      <w:sz w:val="28"/>
    </w:rPr>
  </w:style>
  <w:style w:type="paragraph" w:customStyle="1" w:styleId="146">
    <w:name w:val="_标题5"/>
    <w:basedOn w:val="142"/>
    <w:next w:val="142"/>
    <w:qFormat/>
    <w:uiPriority w:val="0"/>
    <w:pPr>
      <w:keepNext/>
      <w:numPr>
        <w:ilvl w:val="4"/>
        <w:numId w:val="3"/>
      </w:numPr>
      <w:spacing w:beforeLines="50"/>
      <w:ind w:firstLineChars="0"/>
      <w:outlineLvl w:val="4"/>
    </w:pPr>
    <w:rPr>
      <w:rFonts w:asciiTheme="minorHAnsi" w:hAnsiTheme="minorHAnsi"/>
      <w:b/>
      <w:sz w:val="24"/>
    </w:rPr>
  </w:style>
  <w:style w:type="paragraph" w:customStyle="1" w:styleId="147">
    <w:name w:val="方案正文"/>
    <w:basedOn w:val="1"/>
    <w:qFormat/>
    <w:uiPriority w:val="99"/>
    <w:pPr>
      <w:spacing w:before="120"/>
      <w:ind w:firstLine="425" w:firstLineChars="177"/>
    </w:pPr>
    <w:rPr>
      <w:rFonts w:ascii="华文细黑" w:hAnsi="华文细黑" w:eastAsia="华文细黑"/>
      <w:kern w:val="0"/>
      <w:sz w:val="20"/>
      <w:szCs w:val="20"/>
    </w:rPr>
  </w:style>
  <w:style w:type="paragraph" w:customStyle="1" w:styleId="148">
    <w:name w:val="列出段落3"/>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5"/>
    <customShpInfo spid="_x0000_s1026"/>
    <customShpInfo spid="_x0000_s3073"/>
    <customShpInfo spid="_x0000_s3074"/>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4D533-3C22-4DD8-AABE-93B4CCD073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4695</Words>
  <Characters>26762</Characters>
  <Lines>223</Lines>
  <Paragraphs>62</Paragraphs>
  <TotalTime>161</TotalTime>
  <ScaleCrop>false</ScaleCrop>
  <LinksUpToDate>false</LinksUpToDate>
  <CharactersWithSpaces>31395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2021-07-24T04:52:00Z</dcterms:created>
  <dc:creator>Administrator</dc:creator>
  <cp:lastModifiedBy>潘潘</cp:lastModifiedBy>
  <cp:lastPrinted>2021-09-06T07:55:00Z</cp:lastPrinted>
  <dcterms:modified xsi:type="dcterms:W3CDTF">2021-12-03T06:41:00Z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409CC942B4BA484C98521C040AEF6D35</vt:lpwstr>
  </property>
</Properties>
</file>