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ascii="Verdana" w:hAnsi="Verdana" w:cs="Verdana"/>
          <w:i w:val="0"/>
          <w:iCs w:val="0"/>
          <w:caps w:val="0"/>
          <w:color w:val="000000"/>
          <w:spacing w:val="0"/>
          <w:sz w:val="18"/>
          <w:szCs w:val="18"/>
        </w:rPr>
      </w:pPr>
      <w:r>
        <w:rPr>
          <w:rFonts w:ascii="黑体" w:hAnsi="黑体" w:eastAsia="黑体" w:cs="黑体"/>
          <w:i w:val="0"/>
          <w:iCs w:val="0"/>
          <w:caps w:val="0"/>
          <w:color w:val="008B8B"/>
          <w:spacing w:val="0"/>
          <w:sz w:val="28"/>
          <w:szCs w:val="28"/>
          <w:bdr w:val="none" w:color="auto" w:sz="0" w:space="0"/>
          <w:shd w:val="clear" w:fill="FFFFFF"/>
        </w:rPr>
        <w:t>一、产品介绍</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008B8B"/>
          <w:spacing w:val="0"/>
          <w:sz w:val="28"/>
          <w:szCs w:val="28"/>
          <w:bdr w:val="none" w:color="auto" w:sz="0" w:space="0"/>
          <w:shd w:val="clear" w:fill="FFFFFF"/>
        </w:rPr>
        <w:t>原理方法：</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 （在线紫外氧化、紫外过硫酸盐、高温燃烧）通过燃烧炉中的高性能氧化催化剂将样品在高温下充分燃烧分解成二氧化碳和水，水蒸气通过冷凝器冷却后除去，二氧化碳用非分散红外检测器（NDIR）测定，从而确定样品中总有机碳测的含量；通过酸试剂将样品中无机碳分解成二氧化碳和水，水蒸气通过冷凝器冷却后除去，二氧化碳用非分散红外检测器（NDIR）测定，从而确定样品中总无机碳TIC的含量；</w:t>
      </w:r>
      <w:r>
        <w:rPr>
          <w:rFonts w:hint="eastAsia" w:ascii="黑体" w:hAnsi="黑体" w:eastAsia="黑体" w:cs="黑体"/>
          <w:i w:val="0"/>
          <w:iCs w:val="0"/>
          <w:caps w:val="0"/>
          <w:color w:val="FF6600"/>
          <w:spacing w:val="0"/>
          <w:sz w:val="28"/>
          <w:szCs w:val="28"/>
          <w:bdr w:val="none" w:color="auto" w:sz="0" w:space="0"/>
          <w:shd w:val="clear" w:fill="FFFFFF"/>
        </w:rPr>
        <w:t>总有机碳TOC=TC-TIC</w:t>
      </w:r>
      <w:r>
        <w:rPr>
          <w:rFonts w:hint="eastAsia" w:ascii="黑体" w:hAnsi="黑体" w:eastAsia="黑体" w:cs="黑体"/>
          <w:i w:val="0"/>
          <w:iCs w:val="0"/>
          <w:caps w:val="0"/>
          <w:color w:val="333333"/>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应用行业：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333333"/>
          <w:spacing w:val="0"/>
          <w:sz w:val="28"/>
          <w:szCs w:val="28"/>
          <w:bdr w:val="none" w:color="auto" w:sz="0" w:space="0"/>
          <w:shd w:val="clear" w:fill="FFFFFF"/>
        </w:rPr>
        <w:t>1、制药行业清洁验证，药厂半导体行业</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2、自来水、地表水、江河、湖泊水、海水</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3、生活污水、工业废水</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4、化工用水（清洗水、冷却水、回收水等）</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5、实验室科研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008B8B"/>
          <w:spacing w:val="0"/>
          <w:sz w:val="28"/>
          <w:szCs w:val="28"/>
          <w:bdr w:val="none" w:color="auto" w:sz="0" w:space="0"/>
          <w:shd w:val="clear" w:fill="FFFFFF"/>
        </w:rPr>
        <w:t>二、产品参数</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1、分析方法：高温氧化-NDIR检测原理</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2、可检测项目：TC、IC、TOC、NPOC</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3、TOC检测范围：</w:t>
      </w:r>
      <w:r>
        <w:rPr>
          <w:rFonts w:hint="eastAsia" w:ascii="黑体" w:hAnsi="黑体" w:eastAsia="黑体" w:cs="黑体"/>
          <w:i w:val="0"/>
          <w:iCs w:val="0"/>
          <w:caps w:val="0"/>
          <w:color w:val="FF6600"/>
          <w:spacing w:val="0"/>
          <w:sz w:val="28"/>
          <w:szCs w:val="28"/>
          <w:bdr w:val="none" w:color="auto" w:sz="0" w:space="0"/>
          <w:shd w:val="clear" w:fill="FFFFFF"/>
        </w:rPr>
        <w:t>0.050～35000mg/L</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4、检测精度： 0.050mg/L</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5、燃烧炉温度：最高1100℃</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6、准确性误差：≤±5%</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7、进样量：20～1000ul</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8、分析时间：3～8min</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9、重复性误差：≤3%</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10、零点漂移：≤±2%/D</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11、量程漂移：≤±2%/D</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12、酸试剂：磷酸溶液</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13、载气：高纯氧气（≥99.999%）</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14、环境温度：0～40℃</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15、相对湿度：≤85%</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16、电源要求  电源：220V AC≤±10%  50Hz（接地可靠）</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17、功率：800W</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18、基本尺寸：60cm×43cm×42cm</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19、重量：40kg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三、产品特点</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1、7英寸触摸屏，人性化界面，操作简单便捷；</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2、三管程电子冷凝脱水技术，确保整个系统的脱水效率；</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3、高反射的镀金气室、高聚光的红外光源及高灵敏的红外探测器，保证NDIR优异的性能，测量ppb级的数据具有足够的灵敏度和准确度；</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4、最高温度可达1100℃，可根据样品选择不同的催化剂（如CeO、Pt，CuO）和设置不同的温度；</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5、检测曲线实时可见，更直观；</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6、液体样品自动进样，精密的电磁计量泵，保证进样量的准确性和稳定性；</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7、多处温度、压力、流量实时自我监测；</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8、燃烧炉加热采用多重保护，过热能自动切断加热，提高产品安全性能；</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9、无机碳反应池设计有加热装置，消除了样品峰的拖尾，缩短了样品测定时间；</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10、内置针式打印机，减少占用空间；</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11、2年数据存储量，查询方便，并可按时间段查询；</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12、具有密码保护功能；</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13、可选配在线模块，实现在线监测；</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14、可选配自动取样仪，实现无人值守，节约人力和时间；</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15、可配置固体进样器，对固体样品进样舟进样；</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16、符合国际标准ISO8245、中华人民共和国国家环境保护标准HJ501-2009、中华人民共和国国家计量检定规程JJG 821-2005。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default" w:ascii="Verdana" w:hAnsi="Verdana" w:cs="Verdana"/>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四、装箱单</w:t>
      </w:r>
    </w:p>
    <w:tbl>
      <w:tblPr>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61"/>
        <w:gridCol w:w="2649"/>
        <w:gridCol w:w="1749"/>
        <w:gridCol w:w="2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物品名称</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规格型号</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数量</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总有机碳分析仪主机</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CD-800</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电源线</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220V 10A</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燃烧管</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四氟管</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3.2*1.6</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10</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催化剂</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铂氧化铝（铂含量0.5%）</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80</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石英棉</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1-3μm</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钢瓶接头</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密封圈</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24*2</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6</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密封圈</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10*2.4</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6</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密封圈</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5*2</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5</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气路密封件</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内径3mm</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8</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过滤器</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10</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酸试剂瓶</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100ml</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工具</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内六角</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2</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使用说明书</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A/0版</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合格证</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设备安装验收单</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34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装箱单</w:t>
            </w:r>
          </w:p>
        </w:tc>
        <w:tc>
          <w:tcPr>
            <w:tcW w:w="22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w:t>
            </w:r>
          </w:p>
        </w:tc>
        <w:tc>
          <w:tcPr>
            <w:tcW w:w="178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份</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333333"/>
          <w:spacing w:val="0"/>
          <w:sz w:val="28"/>
          <w:szCs w:val="28"/>
          <w:bdr w:val="none" w:color="auto" w:sz="0" w:space="0"/>
          <w:shd w:val="clear" w:fill="FFFFFF"/>
        </w:rPr>
        <w:t> （或有变动，以沟通核对为准）</w:t>
      </w:r>
      <w:bookmarkStart w:id="0" w:name="_GoBack"/>
      <w:bookmarkEnd w:id="0"/>
      <w:r>
        <w:rPr>
          <w:rFonts w:hint="default" w:ascii="sans-serif" w:hAnsi="sans-serif" w:eastAsia="sans-serif" w:cs="sans-serif"/>
          <w:i w:val="0"/>
          <w:iCs w:val="0"/>
          <w:caps w:val="0"/>
          <w:color w:val="000000"/>
          <w:spacing w:val="0"/>
          <w:sz w:val="24"/>
          <w:szCs w:val="24"/>
        </w:rPr>
        <w:t>​</w:t>
      </w:r>
    </w:p>
    <w:p>
      <w:pPr>
        <w:rPr>
          <w:rFonts w:hint="default" w:eastAsiaTheme="minorEastAsia"/>
          <w:sz w:val="48"/>
          <w:szCs w:val="48"/>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531E8"/>
    <w:rsid w:val="055F095B"/>
    <w:rsid w:val="09EC704D"/>
    <w:rsid w:val="0BA926A8"/>
    <w:rsid w:val="13655257"/>
    <w:rsid w:val="1E0A0EA4"/>
    <w:rsid w:val="1FA20101"/>
    <w:rsid w:val="200638B1"/>
    <w:rsid w:val="246A48C6"/>
    <w:rsid w:val="26114254"/>
    <w:rsid w:val="34B960B4"/>
    <w:rsid w:val="370C2AA0"/>
    <w:rsid w:val="392D18B1"/>
    <w:rsid w:val="3EDD6B00"/>
    <w:rsid w:val="406417E9"/>
    <w:rsid w:val="43B42308"/>
    <w:rsid w:val="44E87BC5"/>
    <w:rsid w:val="47A16A68"/>
    <w:rsid w:val="49A87DC5"/>
    <w:rsid w:val="4B116291"/>
    <w:rsid w:val="4C893AF4"/>
    <w:rsid w:val="4EC80B2C"/>
    <w:rsid w:val="500B5474"/>
    <w:rsid w:val="51C02D05"/>
    <w:rsid w:val="52E65119"/>
    <w:rsid w:val="53DD2F85"/>
    <w:rsid w:val="612E3B55"/>
    <w:rsid w:val="63246BF0"/>
    <w:rsid w:val="6D272CE4"/>
    <w:rsid w:val="6D5E3F0D"/>
    <w:rsid w:val="70C221B1"/>
    <w:rsid w:val="735D2F74"/>
    <w:rsid w:val="791B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2021-12-03T08:07:00Z</dcterms:created>
  <dc:creator>Administrator</dc:creator>
  <cp:lastModifiedBy>LE</cp:lastModifiedBy>
  <dcterms:modified xsi:type="dcterms:W3CDTF">2021-12-20T06:27:04Z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133A0A68E3C54FE2811AEBF06BF28514</vt:lpwstr>
  </property>
</Properties>
</file>