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eastAsia" w:ascii="Tahoma" w:hAnsi="Tahoma" w:eastAsia="Tahoma" w:cs="Tahoma"/>
          <w:i w:val="0"/>
          <w:iCs w:val="0"/>
          <w:caps w:val="0"/>
          <w:color w:val="333333"/>
          <w:spacing w:val="0"/>
          <w:sz w:val="18"/>
          <w:szCs w:val="18"/>
        </w:rPr>
      </w:pPr>
      <w:r>
        <w:rPr>
          <w:rStyle w:val="5"/>
          <w:rFonts w:ascii="黑体" w:hAnsi="黑体" w:eastAsia="黑体" w:cs="黑体"/>
          <w:b/>
          <w:bCs/>
          <w:i w:val="0"/>
          <w:iCs w:val="0"/>
          <w:caps w:val="0"/>
          <w:color w:val="008B8B"/>
          <w:spacing w:val="0"/>
          <w:sz w:val="28"/>
          <w:szCs w:val="28"/>
          <w:bdr w:val="none" w:color="auto" w:sz="0" w:space="0"/>
          <w:shd w:val="clear" w:fill="FFFFFF"/>
        </w:rPr>
        <w:t>一、产品介绍</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水中的氨氮是指以游离氨形式存在的氨，主要来源于生活污水中含氮有机物受微生物作用的分解产物，焦化合成氨等工业废水，以及农田排水等。水体中氨氮含量较高时，对鱼类呈现毒害作用，对人类也又不同程度的危害。测定水中氨氮含量有助于评价水体被污染和“自净”状况，因此氨氮是表征水质污染的重要指标。</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基本原理：水样和掩蔽剂混合后，以游离态的氨或铵离子等形成存在的氨氮在碱性环境和增敏剂存在的情况下，与水杨酸显色试剂反应生成一种带色络合物，分析仪检测此颜色的变化，并把这种变化换算成氨氮值输出来，生成的带色络合物量相当于氨含量。</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应用领域：</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污染源废水在线监测</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工业过程用水在线监测</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市政污水处理厂进出口水质在线监测</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河流、湖泊水库、地下水水质在线监测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default" w:ascii="Tahoma" w:hAnsi="Tahoma" w:eastAsia="Tahoma" w:cs="Tahoma"/>
          <w:i w:val="0"/>
          <w:iCs w:val="0"/>
          <w:caps w:val="0"/>
          <w:color w:val="333333"/>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default" w:ascii="Tahoma" w:hAnsi="Tahoma" w:eastAsia="Tahoma" w:cs="Tahoma"/>
          <w:i w:val="0"/>
          <w:iCs w:val="0"/>
          <w:caps w:val="0"/>
          <w:color w:val="333333"/>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b/>
          <w:bCs/>
          <w:i w:val="0"/>
          <w:iCs w:val="0"/>
          <w:caps w:val="0"/>
          <w:color w:val="008B8B"/>
          <w:spacing w:val="0"/>
          <w:sz w:val="28"/>
          <w:szCs w:val="28"/>
          <w:bdr w:val="none" w:color="auto" w:sz="0" w:space="0"/>
          <w:shd w:val="clear" w:fill="FFFFFF"/>
        </w:rPr>
        <w:t>二、产品参数</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785"/>
        <w:gridCol w:w="2385"/>
        <w:gridCol w:w="37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c>
          <w:tcPr>
            <w:tcW w:w="178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黑体" w:hAnsi="黑体" w:eastAsia="黑体" w:cs="黑体"/>
                <w:i w:val="0"/>
                <w:iCs w:val="0"/>
                <w:caps w:val="0"/>
                <w:color w:val="000000"/>
                <w:spacing w:val="0"/>
                <w:sz w:val="28"/>
                <w:szCs w:val="28"/>
                <w:bdr w:val="none" w:color="auto" w:sz="0" w:space="0"/>
              </w:rPr>
              <w:t>检验原理</w:t>
            </w:r>
          </w:p>
        </w:tc>
        <w:tc>
          <w:tcPr>
            <w:tcW w:w="6165" w:type="dxa"/>
            <w:gridSpan w:val="2"/>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黑体" w:hAnsi="黑体" w:eastAsia="黑体" w:cs="黑体"/>
                <w:i w:val="0"/>
                <w:iCs w:val="0"/>
                <w:caps w:val="0"/>
                <w:color w:val="000000"/>
                <w:spacing w:val="0"/>
                <w:sz w:val="28"/>
                <w:szCs w:val="28"/>
                <w:bdr w:val="none" w:color="auto" w:sz="0" w:space="0"/>
              </w:rPr>
              <w:t>HJ 536-2009水杨酸分光光度法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78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黑体" w:hAnsi="黑体" w:eastAsia="黑体" w:cs="黑体"/>
                <w:i w:val="0"/>
                <w:iCs w:val="0"/>
                <w:caps w:val="0"/>
                <w:color w:val="000000"/>
                <w:spacing w:val="0"/>
                <w:sz w:val="28"/>
                <w:szCs w:val="28"/>
                <w:bdr w:val="none" w:color="auto" w:sz="0" w:space="0"/>
              </w:rPr>
              <w:t>测量范围</w:t>
            </w:r>
          </w:p>
        </w:tc>
        <w:tc>
          <w:tcPr>
            <w:tcW w:w="6165" w:type="dxa"/>
            <w:gridSpan w:val="2"/>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黑体" w:hAnsi="黑体" w:eastAsia="黑体" w:cs="黑体"/>
                <w:i w:val="0"/>
                <w:iCs w:val="0"/>
                <w:caps w:val="0"/>
                <w:color w:val="000000"/>
                <w:spacing w:val="0"/>
                <w:sz w:val="28"/>
                <w:szCs w:val="28"/>
                <w:bdr w:val="none" w:color="auto" w:sz="0" w:space="0"/>
              </w:rPr>
              <w:t>0-2/10/20/150/500 mg/L（可扩展）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78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黑体" w:hAnsi="黑体" w:eastAsia="黑体" w:cs="黑体"/>
                <w:i w:val="0"/>
                <w:iCs w:val="0"/>
                <w:caps w:val="0"/>
                <w:color w:val="000000"/>
                <w:spacing w:val="0"/>
                <w:sz w:val="28"/>
                <w:szCs w:val="28"/>
                <w:bdr w:val="none" w:color="auto" w:sz="0" w:space="0"/>
              </w:rPr>
              <w:t>检验依据</w:t>
            </w:r>
          </w:p>
        </w:tc>
        <w:tc>
          <w:tcPr>
            <w:tcW w:w="6165" w:type="dxa"/>
            <w:gridSpan w:val="2"/>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黑体" w:hAnsi="黑体" w:eastAsia="黑体" w:cs="黑体"/>
                <w:i w:val="0"/>
                <w:iCs w:val="0"/>
                <w:caps w:val="0"/>
                <w:color w:val="000000"/>
                <w:spacing w:val="0"/>
                <w:sz w:val="28"/>
                <w:szCs w:val="28"/>
                <w:bdr w:val="none" w:color="auto" w:sz="0" w:space="0"/>
              </w:rPr>
              <w:t>HJ/T 101-2003（环境部新标准）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785" w:type="dxa"/>
            <w:vMerge w:val="restart"/>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黑体" w:hAnsi="黑体" w:eastAsia="黑体" w:cs="黑体"/>
                <w:i w:val="0"/>
                <w:iCs w:val="0"/>
                <w:caps w:val="0"/>
                <w:color w:val="000000"/>
                <w:spacing w:val="0"/>
                <w:sz w:val="28"/>
                <w:szCs w:val="28"/>
                <w:bdr w:val="none" w:color="auto" w:sz="0" w:space="0"/>
              </w:rPr>
              <w:t>示值误差</w:t>
            </w:r>
          </w:p>
        </w:tc>
        <w:tc>
          <w:tcPr>
            <w:tcW w:w="238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黑体" w:hAnsi="黑体" w:eastAsia="黑体" w:cs="黑体"/>
                <w:i w:val="0"/>
                <w:iCs w:val="0"/>
                <w:caps w:val="0"/>
                <w:color w:val="000000"/>
                <w:spacing w:val="0"/>
                <w:sz w:val="28"/>
                <w:szCs w:val="28"/>
                <w:bdr w:val="none" w:color="auto" w:sz="0" w:space="0"/>
              </w:rPr>
              <w:t>20%</w:t>
            </w:r>
          </w:p>
        </w:tc>
        <w:tc>
          <w:tcPr>
            <w:tcW w:w="376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黑体" w:hAnsi="黑体" w:eastAsia="黑体" w:cs="黑体"/>
                <w:i w:val="0"/>
                <w:iCs w:val="0"/>
                <w:caps w:val="0"/>
                <w:color w:val="000000"/>
                <w:spacing w:val="0"/>
                <w:sz w:val="28"/>
                <w:szCs w:val="28"/>
                <w:bdr w:val="none" w:color="auto" w:sz="0" w:space="0"/>
              </w:rPr>
              <w:t>±8.0%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785" w:type="dxa"/>
            <w:vMerge w:val="continue"/>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sans-serif" w:hAnsi="sans-serif" w:eastAsia="sans-serif" w:cs="sans-serif"/>
                <w:i w:val="0"/>
                <w:iCs w:val="0"/>
                <w:caps w:val="0"/>
                <w:color w:val="000000"/>
                <w:spacing w:val="0"/>
                <w:sz w:val="24"/>
                <w:szCs w:val="24"/>
              </w:rPr>
            </w:pPr>
          </w:p>
        </w:tc>
        <w:tc>
          <w:tcPr>
            <w:tcW w:w="238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黑体" w:hAnsi="黑体" w:eastAsia="黑体" w:cs="黑体"/>
                <w:i w:val="0"/>
                <w:iCs w:val="0"/>
                <w:caps w:val="0"/>
                <w:color w:val="000000"/>
                <w:spacing w:val="0"/>
                <w:sz w:val="28"/>
                <w:szCs w:val="28"/>
                <w:bdr w:val="none" w:color="auto" w:sz="0" w:space="0"/>
              </w:rPr>
              <w:t>50%</w:t>
            </w:r>
          </w:p>
        </w:tc>
        <w:tc>
          <w:tcPr>
            <w:tcW w:w="376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黑体" w:hAnsi="黑体" w:eastAsia="黑体" w:cs="黑体"/>
                <w:i w:val="0"/>
                <w:iCs w:val="0"/>
                <w:caps w:val="0"/>
                <w:color w:val="000000"/>
                <w:spacing w:val="0"/>
                <w:sz w:val="28"/>
                <w:szCs w:val="28"/>
                <w:bdr w:val="none" w:color="auto" w:sz="0" w:space="0"/>
              </w:rPr>
              <w:t>±5.0%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785" w:type="dxa"/>
            <w:vMerge w:val="continue"/>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default" w:ascii="sans-serif" w:hAnsi="sans-serif" w:eastAsia="sans-serif" w:cs="sans-serif"/>
                <w:i w:val="0"/>
                <w:iCs w:val="0"/>
                <w:caps w:val="0"/>
                <w:color w:val="000000"/>
                <w:spacing w:val="0"/>
                <w:sz w:val="24"/>
                <w:szCs w:val="24"/>
              </w:rPr>
            </w:pPr>
          </w:p>
        </w:tc>
        <w:tc>
          <w:tcPr>
            <w:tcW w:w="238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黑体" w:hAnsi="黑体" w:eastAsia="黑体" w:cs="黑体"/>
                <w:i w:val="0"/>
                <w:iCs w:val="0"/>
                <w:caps w:val="0"/>
                <w:color w:val="000000"/>
                <w:spacing w:val="0"/>
                <w:sz w:val="28"/>
                <w:szCs w:val="28"/>
                <w:bdr w:val="none" w:color="auto" w:sz="0" w:space="0"/>
              </w:rPr>
              <w:t>80%</w:t>
            </w:r>
          </w:p>
        </w:tc>
        <w:tc>
          <w:tcPr>
            <w:tcW w:w="376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黑体" w:hAnsi="黑体" w:eastAsia="黑体" w:cs="黑体"/>
                <w:i w:val="0"/>
                <w:iCs w:val="0"/>
                <w:caps w:val="0"/>
                <w:color w:val="000000"/>
                <w:spacing w:val="0"/>
                <w:sz w:val="28"/>
                <w:szCs w:val="28"/>
                <w:bdr w:val="none" w:color="auto" w:sz="0" w:space="0"/>
              </w:rPr>
              <w:t>±3.0%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78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黑体" w:hAnsi="黑体" w:eastAsia="黑体" w:cs="黑体"/>
                <w:i w:val="0"/>
                <w:iCs w:val="0"/>
                <w:caps w:val="0"/>
                <w:color w:val="000000"/>
                <w:spacing w:val="0"/>
                <w:sz w:val="28"/>
                <w:szCs w:val="28"/>
                <w:bdr w:val="none" w:color="auto" w:sz="0" w:space="0"/>
              </w:rPr>
              <w:t>重复性</w:t>
            </w:r>
          </w:p>
        </w:tc>
        <w:tc>
          <w:tcPr>
            <w:tcW w:w="6165" w:type="dxa"/>
            <w:gridSpan w:val="2"/>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黑体" w:hAnsi="黑体" w:eastAsia="黑体" w:cs="黑体"/>
                <w:i w:val="0"/>
                <w:iCs w:val="0"/>
                <w:caps w:val="0"/>
                <w:color w:val="000000"/>
                <w:spacing w:val="0"/>
                <w:sz w:val="28"/>
                <w:szCs w:val="28"/>
                <w:bdr w:val="none" w:color="auto" w:sz="0" w:space="0"/>
              </w:rPr>
              <w:t>≦2.0%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78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黑体" w:hAnsi="黑体" w:eastAsia="黑体" w:cs="黑体"/>
                <w:i w:val="0"/>
                <w:iCs w:val="0"/>
                <w:caps w:val="0"/>
                <w:color w:val="000000"/>
                <w:spacing w:val="0"/>
                <w:sz w:val="28"/>
                <w:szCs w:val="28"/>
                <w:bdr w:val="none" w:color="auto" w:sz="0" w:space="0"/>
              </w:rPr>
              <w:t>低浓度漂移</w:t>
            </w:r>
          </w:p>
        </w:tc>
        <w:tc>
          <w:tcPr>
            <w:tcW w:w="6165" w:type="dxa"/>
            <w:gridSpan w:val="2"/>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黑体" w:hAnsi="黑体" w:eastAsia="黑体" w:cs="黑体"/>
                <w:i w:val="0"/>
                <w:iCs w:val="0"/>
                <w:caps w:val="0"/>
                <w:color w:val="000000"/>
                <w:spacing w:val="0"/>
                <w:sz w:val="28"/>
                <w:szCs w:val="28"/>
                <w:bdr w:val="none" w:color="auto" w:sz="0" w:space="0"/>
              </w:rPr>
              <w:t>≦0.02%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78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黑体" w:hAnsi="黑体" w:eastAsia="黑体" w:cs="黑体"/>
                <w:i w:val="0"/>
                <w:iCs w:val="0"/>
                <w:caps w:val="0"/>
                <w:color w:val="000000"/>
                <w:spacing w:val="0"/>
                <w:sz w:val="28"/>
                <w:szCs w:val="28"/>
                <w:bdr w:val="none" w:color="auto" w:sz="0" w:space="0"/>
              </w:rPr>
              <w:t>高浓度漂移</w:t>
            </w:r>
          </w:p>
        </w:tc>
        <w:tc>
          <w:tcPr>
            <w:tcW w:w="6165" w:type="dxa"/>
            <w:gridSpan w:val="2"/>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黑体" w:hAnsi="黑体" w:eastAsia="黑体" w:cs="黑体"/>
                <w:i w:val="0"/>
                <w:iCs w:val="0"/>
                <w:caps w:val="0"/>
                <w:color w:val="000000"/>
                <w:spacing w:val="0"/>
                <w:sz w:val="28"/>
                <w:szCs w:val="28"/>
                <w:bdr w:val="none" w:color="auto" w:sz="0" w:space="0"/>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78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黑体" w:hAnsi="黑体" w:eastAsia="黑体" w:cs="黑体"/>
                <w:i w:val="0"/>
                <w:iCs w:val="0"/>
                <w:caps w:val="0"/>
                <w:color w:val="000000"/>
                <w:spacing w:val="0"/>
                <w:sz w:val="28"/>
                <w:szCs w:val="28"/>
                <w:bdr w:val="none" w:color="auto" w:sz="0" w:space="0"/>
              </w:rPr>
              <w:t>比色波长</w:t>
            </w:r>
          </w:p>
        </w:tc>
        <w:tc>
          <w:tcPr>
            <w:tcW w:w="6165" w:type="dxa"/>
            <w:gridSpan w:val="2"/>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黑体" w:hAnsi="黑体" w:eastAsia="黑体" w:cs="黑体"/>
                <w:i w:val="0"/>
                <w:iCs w:val="0"/>
                <w:caps w:val="0"/>
                <w:color w:val="000000"/>
                <w:spacing w:val="0"/>
                <w:sz w:val="28"/>
                <w:szCs w:val="28"/>
                <w:bdr w:val="none" w:color="auto" w:sz="0" w:space="0"/>
              </w:rPr>
              <w:t>700nm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78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黑体" w:hAnsi="黑体" w:eastAsia="黑体" w:cs="黑体"/>
                <w:i w:val="0"/>
                <w:iCs w:val="0"/>
                <w:caps w:val="0"/>
                <w:color w:val="000000"/>
                <w:spacing w:val="0"/>
                <w:sz w:val="28"/>
                <w:szCs w:val="28"/>
                <w:bdr w:val="none" w:color="auto" w:sz="0" w:space="0"/>
              </w:rPr>
              <w:t>模拟输出</w:t>
            </w:r>
          </w:p>
        </w:tc>
        <w:tc>
          <w:tcPr>
            <w:tcW w:w="6165" w:type="dxa"/>
            <w:gridSpan w:val="2"/>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黑体" w:hAnsi="黑体" w:eastAsia="黑体" w:cs="黑体"/>
                <w:i w:val="0"/>
                <w:iCs w:val="0"/>
                <w:caps w:val="0"/>
                <w:color w:val="000000"/>
                <w:spacing w:val="0"/>
                <w:sz w:val="28"/>
                <w:szCs w:val="28"/>
                <w:bdr w:val="none" w:color="auto" w:sz="0" w:space="0"/>
              </w:rPr>
              <w:t>4-20mA输出,负载电阻值大750Ω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78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黑体" w:hAnsi="黑体" w:eastAsia="黑体" w:cs="黑体"/>
                <w:i w:val="0"/>
                <w:iCs w:val="0"/>
                <w:caps w:val="0"/>
                <w:color w:val="000000"/>
                <w:spacing w:val="0"/>
                <w:sz w:val="28"/>
                <w:szCs w:val="28"/>
                <w:bdr w:val="none" w:color="auto" w:sz="0" w:space="0"/>
              </w:rPr>
              <w:t>数字输出</w:t>
            </w:r>
          </w:p>
        </w:tc>
        <w:tc>
          <w:tcPr>
            <w:tcW w:w="6165" w:type="dxa"/>
            <w:gridSpan w:val="2"/>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黑体" w:hAnsi="黑体" w:eastAsia="黑体" w:cs="黑体"/>
                <w:i w:val="0"/>
                <w:iCs w:val="0"/>
                <w:caps w:val="0"/>
                <w:color w:val="000000"/>
                <w:spacing w:val="0"/>
                <w:sz w:val="28"/>
                <w:szCs w:val="28"/>
                <w:bdr w:val="none" w:color="auto" w:sz="0" w:space="0"/>
              </w:rPr>
              <w:t>RS232/RS485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78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黑体" w:hAnsi="黑体" w:eastAsia="黑体" w:cs="黑体"/>
                <w:i w:val="0"/>
                <w:iCs w:val="0"/>
                <w:caps w:val="0"/>
                <w:color w:val="000000"/>
                <w:spacing w:val="0"/>
                <w:sz w:val="28"/>
                <w:szCs w:val="28"/>
                <w:bdr w:val="none" w:color="auto" w:sz="0" w:space="0"/>
              </w:rPr>
              <w:t>开关输出</w:t>
            </w:r>
          </w:p>
        </w:tc>
        <w:tc>
          <w:tcPr>
            <w:tcW w:w="6165" w:type="dxa"/>
            <w:gridSpan w:val="2"/>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jc w:val="both"/>
            </w:pPr>
            <w:r>
              <w:rPr>
                <w:rFonts w:hint="eastAsia" w:ascii="黑体" w:hAnsi="黑体" w:eastAsia="黑体" w:cs="黑体"/>
                <w:i w:val="0"/>
                <w:iCs w:val="0"/>
                <w:caps w:val="0"/>
                <w:color w:val="000000"/>
                <w:spacing w:val="0"/>
                <w:sz w:val="28"/>
                <w:szCs w:val="28"/>
                <w:bdr w:val="none" w:color="auto" w:sz="0" w:space="0"/>
              </w:rPr>
              <w:t>继电器输出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78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黑体" w:hAnsi="黑体" w:eastAsia="黑体" w:cs="黑体"/>
                <w:i w:val="0"/>
                <w:iCs w:val="0"/>
                <w:caps w:val="0"/>
                <w:color w:val="000000"/>
                <w:spacing w:val="0"/>
                <w:sz w:val="28"/>
                <w:szCs w:val="28"/>
                <w:bdr w:val="none" w:color="auto" w:sz="0" w:space="0"/>
              </w:rPr>
              <w:t>其他输出</w:t>
            </w:r>
          </w:p>
        </w:tc>
        <w:tc>
          <w:tcPr>
            <w:tcW w:w="6165" w:type="dxa"/>
            <w:gridSpan w:val="2"/>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黑体" w:hAnsi="黑体" w:eastAsia="黑体" w:cs="黑体"/>
                <w:i w:val="0"/>
                <w:iCs w:val="0"/>
                <w:caps w:val="0"/>
                <w:color w:val="000000"/>
                <w:spacing w:val="0"/>
                <w:sz w:val="28"/>
                <w:szCs w:val="28"/>
                <w:bdr w:val="none" w:color="auto" w:sz="0" w:space="0"/>
              </w:rPr>
              <w:t>微型打印机输出（选配）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78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黑体" w:hAnsi="黑体" w:eastAsia="黑体" w:cs="黑体"/>
                <w:i w:val="0"/>
                <w:iCs w:val="0"/>
                <w:caps w:val="0"/>
                <w:color w:val="000000"/>
                <w:spacing w:val="0"/>
                <w:sz w:val="28"/>
                <w:szCs w:val="28"/>
                <w:bdr w:val="none" w:color="auto" w:sz="0" w:space="0"/>
              </w:rPr>
              <w:t>数据存储</w:t>
            </w:r>
          </w:p>
        </w:tc>
        <w:tc>
          <w:tcPr>
            <w:tcW w:w="6165" w:type="dxa"/>
            <w:gridSpan w:val="2"/>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黑体" w:hAnsi="黑体" w:eastAsia="黑体" w:cs="黑体"/>
                <w:i w:val="0"/>
                <w:iCs w:val="0"/>
                <w:caps w:val="0"/>
                <w:color w:val="000000"/>
                <w:spacing w:val="0"/>
                <w:sz w:val="28"/>
                <w:szCs w:val="28"/>
                <w:bdr w:val="none" w:color="auto" w:sz="0" w:space="0"/>
              </w:rPr>
              <w:t>可以保存三年以上测量数据，数据可循环存储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78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黑体" w:hAnsi="黑体" w:eastAsia="黑体" w:cs="黑体"/>
                <w:i w:val="0"/>
                <w:iCs w:val="0"/>
                <w:caps w:val="0"/>
                <w:color w:val="000000"/>
                <w:spacing w:val="0"/>
                <w:sz w:val="28"/>
                <w:szCs w:val="28"/>
                <w:bdr w:val="none" w:color="auto" w:sz="0" w:space="0"/>
              </w:rPr>
              <w:t>数据导出</w:t>
            </w:r>
          </w:p>
        </w:tc>
        <w:tc>
          <w:tcPr>
            <w:tcW w:w="6165" w:type="dxa"/>
            <w:gridSpan w:val="2"/>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黑体" w:hAnsi="黑体" w:eastAsia="黑体" w:cs="黑体"/>
                <w:i w:val="0"/>
                <w:iCs w:val="0"/>
                <w:caps w:val="0"/>
                <w:color w:val="000000"/>
                <w:spacing w:val="0"/>
                <w:sz w:val="28"/>
                <w:szCs w:val="28"/>
                <w:bdr w:val="none" w:color="auto" w:sz="0" w:space="0"/>
              </w:rPr>
              <w:t>USB导出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78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黑体" w:hAnsi="黑体" w:eastAsia="黑体" w:cs="黑体"/>
                <w:i w:val="0"/>
                <w:iCs w:val="0"/>
                <w:caps w:val="0"/>
                <w:color w:val="000000"/>
                <w:spacing w:val="0"/>
                <w:sz w:val="28"/>
                <w:szCs w:val="28"/>
                <w:bdr w:val="none" w:color="auto" w:sz="0" w:space="0"/>
              </w:rPr>
              <w:t>电 源</w:t>
            </w:r>
          </w:p>
        </w:tc>
        <w:tc>
          <w:tcPr>
            <w:tcW w:w="6165" w:type="dxa"/>
            <w:gridSpan w:val="2"/>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黑体" w:hAnsi="黑体" w:eastAsia="黑体" w:cs="黑体"/>
                <w:i w:val="0"/>
                <w:iCs w:val="0"/>
                <w:caps w:val="0"/>
                <w:color w:val="000000"/>
                <w:spacing w:val="0"/>
                <w:sz w:val="28"/>
                <w:szCs w:val="28"/>
                <w:bdr w:val="none" w:color="auto" w:sz="0" w:space="0"/>
              </w:rPr>
              <w:t>AC220±10%V，50±10%Hz，1.5A</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78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黑体" w:hAnsi="黑体" w:eastAsia="黑体" w:cs="黑体"/>
                <w:i w:val="0"/>
                <w:iCs w:val="0"/>
                <w:caps w:val="0"/>
                <w:color w:val="000000"/>
                <w:spacing w:val="0"/>
                <w:sz w:val="28"/>
                <w:szCs w:val="28"/>
                <w:bdr w:val="none" w:color="auto" w:sz="0" w:space="0"/>
              </w:rPr>
              <w:t>尺 寸</w:t>
            </w:r>
          </w:p>
        </w:tc>
        <w:tc>
          <w:tcPr>
            <w:tcW w:w="6165" w:type="dxa"/>
            <w:gridSpan w:val="2"/>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黑体" w:hAnsi="黑体" w:eastAsia="黑体" w:cs="黑体"/>
                <w:i w:val="0"/>
                <w:iCs w:val="0"/>
                <w:caps w:val="0"/>
                <w:color w:val="000000"/>
                <w:spacing w:val="0"/>
                <w:sz w:val="28"/>
                <w:szCs w:val="28"/>
                <w:bdr w:val="none" w:color="auto" w:sz="0" w:space="0"/>
              </w:rPr>
              <w:t>高1430×宽500×深403（mm）</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default" w:ascii="Tahoma" w:hAnsi="Tahoma" w:eastAsia="Tahoma" w:cs="Tahoma"/>
          <w:i w:val="0"/>
          <w:iCs w:val="0"/>
          <w:caps w:val="0"/>
          <w:color w:val="333333"/>
          <w:spacing w:val="0"/>
          <w:sz w:val="18"/>
          <w:szCs w:val="1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b/>
          <w:bCs/>
          <w:i w:val="0"/>
          <w:iCs w:val="0"/>
          <w:caps w:val="0"/>
          <w:color w:val="008B8B"/>
          <w:spacing w:val="0"/>
          <w:sz w:val="28"/>
          <w:szCs w:val="28"/>
          <w:bdr w:val="none" w:color="auto" w:sz="0" w:space="0"/>
          <w:shd w:val="clear" w:fill="FFFFFF"/>
        </w:rPr>
        <w:t>三、产品特点</w:t>
      </w:r>
      <w:r>
        <w:rPr>
          <w:rFonts w:hint="eastAsia" w:ascii="黑体" w:hAnsi="黑体" w:eastAsia="黑体" w:cs="黑体"/>
          <w:i w:val="0"/>
          <w:iCs w:val="0"/>
          <w:caps w:val="0"/>
          <w:color w:val="333333"/>
          <w:spacing w:val="0"/>
          <w:sz w:val="28"/>
          <w:szCs w:val="2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1. 模块化设计，部件独立运行，运维简易；</w:t>
      </w:r>
      <w:r>
        <w:rPr>
          <w:rFonts w:hint="eastAsia" w:ascii="黑体" w:hAnsi="黑体" w:eastAsia="黑体" w:cs="黑体"/>
          <w:i w:val="0"/>
          <w:iCs w:val="0"/>
          <w:caps w:val="0"/>
          <w:color w:val="333333"/>
          <w:spacing w:val="0"/>
          <w:sz w:val="28"/>
          <w:szCs w:val="2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2. 打印机、RS485/RS232、4-20mA、继电器等多种信号输出；</w:t>
      </w:r>
      <w:r>
        <w:rPr>
          <w:rFonts w:hint="eastAsia" w:ascii="黑体" w:hAnsi="黑体" w:eastAsia="黑体" w:cs="黑体"/>
          <w:i w:val="0"/>
          <w:iCs w:val="0"/>
          <w:caps w:val="0"/>
          <w:color w:val="333333"/>
          <w:spacing w:val="0"/>
          <w:sz w:val="28"/>
          <w:szCs w:val="2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3. 自动、手动、定时、4-20mA、开关量等多种控制做样方式；</w:t>
      </w:r>
      <w:r>
        <w:rPr>
          <w:rFonts w:hint="eastAsia" w:ascii="黑体" w:hAnsi="黑体" w:eastAsia="黑体" w:cs="黑体"/>
          <w:i w:val="0"/>
          <w:iCs w:val="0"/>
          <w:caps w:val="0"/>
          <w:color w:val="333333"/>
          <w:spacing w:val="0"/>
          <w:sz w:val="28"/>
          <w:szCs w:val="2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4. 测量光源衰减自动补偿，稳定性好，漂移小；</w:t>
      </w:r>
      <w:r>
        <w:rPr>
          <w:rFonts w:hint="eastAsia" w:ascii="黑体" w:hAnsi="黑体" w:eastAsia="黑体" w:cs="黑体"/>
          <w:i w:val="0"/>
          <w:iCs w:val="0"/>
          <w:caps w:val="0"/>
          <w:color w:val="333333"/>
          <w:spacing w:val="0"/>
          <w:sz w:val="28"/>
          <w:szCs w:val="2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5. 量程范围宽，做样速度快，精度高；</w:t>
      </w:r>
      <w:r>
        <w:rPr>
          <w:rFonts w:hint="eastAsia" w:ascii="黑体" w:hAnsi="黑体" w:eastAsia="黑体" w:cs="黑体"/>
          <w:i w:val="0"/>
          <w:iCs w:val="0"/>
          <w:caps w:val="0"/>
          <w:color w:val="333333"/>
          <w:spacing w:val="0"/>
          <w:sz w:val="28"/>
          <w:szCs w:val="2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6. 药剂用量少，二次污染少，易维护；</w:t>
      </w:r>
      <w:r>
        <w:rPr>
          <w:rFonts w:hint="eastAsia" w:ascii="黑体" w:hAnsi="黑体" w:eastAsia="黑体" w:cs="黑体"/>
          <w:i w:val="0"/>
          <w:iCs w:val="0"/>
          <w:caps w:val="0"/>
          <w:color w:val="333333"/>
          <w:spacing w:val="0"/>
          <w:sz w:val="28"/>
          <w:szCs w:val="2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7. 光电计量精准度高，运行可靠性高；</w:t>
      </w:r>
      <w:r>
        <w:rPr>
          <w:rFonts w:hint="eastAsia" w:ascii="黑体" w:hAnsi="黑体" w:eastAsia="黑体" w:cs="黑体"/>
          <w:i w:val="0"/>
          <w:iCs w:val="0"/>
          <w:caps w:val="0"/>
          <w:color w:val="333333"/>
          <w:spacing w:val="0"/>
          <w:sz w:val="28"/>
          <w:szCs w:val="2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8. 工业级彩色触控屏，界面友好，组态设计，操作简单。</w:t>
      </w:r>
      <w:r>
        <w:rPr>
          <w:rFonts w:hint="eastAsia" w:ascii="黑体" w:hAnsi="黑体" w:eastAsia="黑体" w:cs="黑体"/>
          <w:i w:val="0"/>
          <w:iCs w:val="0"/>
          <w:caps w:val="0"/>
          <w:color w:val="333333"/>
          <w:spacing w:val="0"/>
          <w:sz w:val="28"/>
          <w:szCs w:val="2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9. 废液分为试剂废液和清洗废液两类收集。</w:t>
      </w:r>
      <w:r>
        <w:rPr>
          <w:rFonts w:hint="eastAsia" w:ascii="黑体" w:hAnsi="黑体" w:eastAsia="黑体" w:cs="黑体"/>
          <w:i w:val="0"/>
          <w:iCs w:val="0"/>
          <w:caps w:val="0"/>
          <w:color w:val="333333"/>
          <w:spacing w:val="0"/>
          <w:sz w:val="28"/>
          <w:szCs w:val="2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10.添加质控反控功能，减少维护人员工作量。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333333"/>
          <w:spacing w:val="0"/>
          <w:sz w:val="28"/>
          <w:szCs w:val="28"/>
          <w:bdr w:val="none" w:color="auto" w:sz="0" w:space="0"/>
          <w:shd w:val="clear" w:fill="FFFFFF"/>
        </w:rPr>
        <w:t>11.具体报价根据配置而定，可上门安装（收费）</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6531E8"/>
    <w:rsid w:val="055F095B"/>
    <w:rsid w:val="05852BC1"/>
    <w:rsid w:val="077334A5"/>
    <w:rsid w:val="09EC704D"/>
    <w:rsid w:val="0BA926A8"/>
    <w:rsid w:val="1226072E"/>
    <w:rsid w:val="13655257"/>
    <w:rsid w:val="1AF54BBF"/>
    <w:rsid w:val="1C341370"/>
    <w:rsid w:val="1E0A0EA4"/>
    <w:rsid w:val="1F8E6593"/>
    <w:rsid w:val="1FA20101"/>
    <w:rsid w:val="200638B1"/>
    <w:rsid w:val="20445A18"/>
    <w:rsid w:val="22A06ABF"/>
    <w:rsid w:val="246A48C6"/>
    <w:rsid w:val="24842CC9"/>
    <w:rsid w:val="26114254"/>
    <w:rsid w:val="2766029A"/>
    <w:rsid w:val="2F9B3324"/>
    <w:rsid w:val="334D6662"/>
    <w:rsid w:val="33C07FAB"/>
    <w:rsid w:val="34B960B4"/>
    <w:rsid w:val="3632386F"/>
    <w:rsid w:val="370C2AA0"/>
    <w:rsid w:val="392D18B1"/>
    <w:rsid w:val="3C2F6862"/>
    <w:rsid w:val="3D4B1463"/>
    <w:rsid w:val="3E8F1A1E"/>
    <w:rsid w:val="3EDD6B00"/>
    <w:rsid w:val="406417E9"/>
    <w:rsid w:val="43B42308"/>
    <w:rsid w:val="44E87BC5"/>
    <w:rsid w:val="47A16A68"/>
    <w:rsid w:val="47D735EB"/>
    <w:rsid w:val="49A87DC5"/>
    <w:rsid w:val="4B116291"/>
    <w:rsid w:val="4C893AF4"/>
    <w:rsid w:val="4EC80B2C"/>
    <w:rsid w:val="500B5474"/>
    <w:rsid w:val="50782804"/>
    <w:rsid w:val="51C02D05"/>
    <w:rsid w:val="52E65119"/>
    <w:rsid w:val="53DD2F85"/>
    <w:rsid w:val="558A7DEA"/>
    <w:rsid w:val="57DD1EF9"/>
    <w:rsid w:val="588D6BA2"/>
    <w:rsid w:val="612E3B55"/>
    <w:rsid w:val="63246BF0"/>
    <w:rsid w:val="6D272CE4"/>
    <w:rsid w:val="6D5E3F0D"/>
    <w:rsid w:val="70C221B1"/>
    <w:rsid w:val="7177226D"/>
    <w:rsid w:val="735D2F74"/>
    <w:rsid w:val="791B1B88"/>
    <w:rsid w:val="7DC60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2021-12-03T08:07:00Z</dcterms:created>
  <dc:creator>Administrator</dc:creator>
  <cp:lastModifiedBy>LE</cp:lastModifiedBy>
  <dcterms:modified xsi:type="dcterms:W3CDTF">2021-12-24T08:29:34Z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133A0A68E3C54FE2811AEBF06BF28514</vt:lpwstr>
  </property>
</Properties>
</file>