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eastAsia" w:ascii="Tahoma" w:hAnsi="Tahoma" w:eastAsia="Tahoma" w:cs="Tahoma"/>
          <w:color w:val="333333"/>
          <w:sz w:val="18"/>
          <w:szCs w:val="18"/>
        </w:rPr>
      </w:pPr>
      <w:r>
        <w:rPr>
          <w:rFonts w:ascii="黑体" w:hAnsi="黑体" w:eastAsia="黑体" w:cs="黑体"/>
          <w:color w:val="008B8B"/>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RJ-5工频电场（近区）场强仪，主要用于测量高压输变电系统，配电室，感应炉，地铁，电动机车，医疗设备，烘干设备，计算机等具有电磁辐射作业场所的电场强度。可供劳动保护，职业病防治，环境检测，环境卫生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ascii="Verdana" w:hAnsi="Verdana" w:cs="Verdana"/>
          <w:sz w:val="18"/>
          <w:szCs w:val="18"/>
        </w:rPr>
      </w:pPr>
      <w:r>
        <w:rPr>
          <w:rFonts w:hint="default" w:ascii="Verdana" w:hAnsi="Verdana" w:cs="Verdana"/>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二、产品参数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1、频率范围：30 Hz～2000Hz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2、量 程：1～20000V/m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3、测量误差：±1.5dB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4、使用条件：-10～40℃；＜80％RH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5、电 源：8.4V充电锂电池和1节9V积层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6、体 积：450mm × 100mm × 50mm </w:t>
      </w:r>
      <w:r>
        <w:rPr>
          <w:rFonts w:hint="default" w:ascii="Tahoma" w:hAnsi="Tahoma" w:eastAsia="Tahoma" w:cs="Tahoma"/>
          <w:color w:val="333333"/>
          <w:sz w:val="18"/>
          <w:szCs w:val="18"/>
          <w:bdr w:val="none" w:color="auto" w:sz="0" w:space="0"/>
          <w:shd w:val="clear" w:fill="FFFFFF"/>
        </w:rPr>
        <w:br w:type="textWrapping"/>
      </w:r>
      <w:r>
        <w:rPr>
          <w:rFonts w:hint="eastAsia" w:ascii="黑体" w:hAnsi="黑体" w:eastAsia="黑体" w:cs="黑体"/>
          <w:color w:val="333333"/>
          <w:sz w:val="28"/>
          <w:szCs w:val="28"/>
          <w:bdr w:val="none" w:color="auto" w:sz="0" w:space="0"/>
          <w:shd w:val="clear" w:fill="FFFFFF"/>
        </w:rPr>
        <w:t>7、重 量：550g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Verdana" w:hAnsi="Verdana" w:cs="Verdana"/>
          <w:sz w:val="18"/>
          <w:szCs w:val="18"/>
        </w:rPr>
      </w:pPr>
      <w:r>
        <w:rPr>
          <w:rFonts w:hint="default" w:ascii="Verdana" w:hAnsi="Verdana" w:cs="Verdana"/>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008B8B"/>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1、技术上接近国外的产品，性能同美国的HI-3604一样，且数据稳定。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2、是常用测量电场的前沿产品。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3、经国家计量研究院检测认证并可以对该产品出具产品检测报告。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4、是国家疾病预防控制中心和高等院校进行职业安全防治和科学研究的常用产品。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eastAsia" w:ascii="黑体" w:hAnsi="黑体" w:eastAsia="黑体" w:cs="黑体"/>
          <w:color w:val="333333"/>
          <w:sz w:val="28"/>
          <w:szCs w:val="28"/>
          <w:bdr w:val="none" w:color="auto" w:sz="0" w:space="0"/>
          <w:shd w:val="clear" w:fill="FFFFFF"/>
        </w:rPr>
        <w:t>5、主要特点：体积小，精度高 数字显示可直接读取V/m数；简单直观 测量频率宽，频率响应误差小。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default" w:ascii="Tahoma" w:hAnsi="Tahoma" w:eastAsia="Tahoma" w:cs="Tahoma"/>
          <w:color w:val="333333"/>
          <w:sz w:val="18"/>
          <w:szCs w:val="18"/>
        </w:rPr>
      </w:pPr>
      <w:r>
        <w:rPr>
          <w:rFonts w:hint="default" w:ascii="Tahoma" w:hAnsi="Tahoma" w:eastAsia="Tahoma" w:cs="Tahoma"/>
          <w:color w:val="333333"/>
          <w:sz w:val="18"/>
          <w:szCs w:val="18"/>
          <w:bdr w:val="none" w:color="auto" w:sz="0" w:space="0"/>
          <w:shd w:val="clear" w:fill="FFFFFF"/>
        </w:rPr>
        <w:t> </w:t>
      </w:r>
    </w:p>
    <w:tbl>
      <w:tblPr>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3"/>
        <w:gridCol w:w="3152"/>
        <w:gridCol w:w="716"/>
        <w:gridCol w:w="1886"/>
        <w:gridCol w:w="3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9420"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场强仪 系列型号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产品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型号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频率范围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color w:val="FF1493"/>
                <w:kern w:val="0"/>
                <w:sz w:val="28"/>
                <w:szCs w:val="28"/>
                <w:bdr w:val="none" w:color="auto" w:sz="0" w:space="0"/>
                <w:lang w:val="en-US" w:eastAsia="zh-CN" w:bidi="ar"/>
              </w:rPr>
              <w:t>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工频</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工频电场（近区）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RJ-5</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30Hz～2000Hz</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1～20000V/m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工频磁场（近区）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RJ-5H</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30Hz～5000Hz</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0.1uT～1999.0 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高频</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高频电场（近区）</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RJ-3</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20～200MHz</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0～450V/m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高频电磁场（近区）</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RJ-2</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200kHz－30MHz</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电场：1V/m-1500V/m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磁场：1A/m-300A/m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高频电磁场（近区）数字式</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RJ-2A</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100KHz－100MHz</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hint="eastAsia" w:ascii="黑体" w:hAnsi="黑体" w:eastAsia="黑体" w:cs="黑体"/>
                <w:kern w:val="0"/>
                <w:sz w:val="28"/>
                <w:szCs w:val="28"/>
                <w:bdr w:val="none" w:color="auto" w:sz="0" w:space="0"/>
                <w:lang w:val="en-US" w:eastAsia="zh-CN" w:bidi="ar"/>
              </w:rPr>
              <w:t>电场：0.1V/M－1999.9V/M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3"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240" w:afterAutospacing="0"/>
              <w:ind w:left="0" w:right="0"/>
              <w:jc w:val="center"/>
            </w:pPr>
            <w:r>
              <w:rPr>
                <w:rFonts w:hint="eastAsia" w:ascii="黑体" w:hAnsi="黑体" w:eastAsia="黑体" w:cs="黑体"/>
                <w:kern w:val="0"/>
                <w:sz w:val="28"/>
                <w:szCs w:val="28"/>
                <w:bdr w:val="none" w:color="auto" w:sz="0" w:space="0"/>
                <w:lang w:val="en-US" w:eastAsia="zh-CN" w:bidi="ar"/>
              </w:rPr>
              <w:t>磁场：0.1A/M－199</w:t>
            </w:r>
            <w:bookmarkStart w:id="0" w:name="_GoBack"/>
            <w:bookmarkEnd w:id="0"/>
            <w:r>
              <w:rPr>
                <w:rFonts w:hint="eastAsia" w:ascii="黑体" w:hAnsi="黑体" w:eastAsia="黑体" w:cs="黑体"/>
                <w:kern w:val="0"/>
                <w:sz w:val="28"/>
                <w:szCs w:val="28"/>
                <w:bdr w:val="none" w:color="auto" w:sz="0" w:space="0"/>
                <w:lang w:val="en-US" w:eastAsia="zh-CN" w:bidi="ar"/>
              </w:rPr>
              <w:t>9.9A/M</w:t>
            </w:r>
          </w:p>
        </w:tc>
      </w:tr>
    </w:tbl>
    <w:p>
      <w:pPr>
        <w:pStyle w:val="2"/>
        <w:keepNext w:val="0"/>
        <w:keepLines w:val="0"/>
        <w:widowControl/>
        <w:suppressLineNumbers w:val="0"/>
        <w:spacing w:before="75" w:beforeAutospacing="0" w:after="75" w:afterAutospacing="0"/>
        <w:ind w:left="0" w:right="0"/>
        <w:jc w:val="left"/>
      </w:pPr>
      <w:r>
        <w:drawing>
          <wp:inline distT="0" distB="0" distL="114300" distR="114300">
            <wp:extent cx="6238875" cy="6238875"/>
            <wp:effectExtent l="0" t="0" r="9525" b="9525"/>
            <wp:docPr id="2" name="图片 1" descr="66放详情页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6放详情页用.jpg"/>
                    <pic:cNvPicPr>
                      <a:picLocks noChangeAspect="1"/>
                    </pic:cNvPicPr>
                  </pic:nvPicPr>
                  <pic:blipFill>
                    <a:blip r:embed="rId4"/>
                    <a:stretch>
                      <a:fillRect/>
                    </a:stretch>
                  </pic:blipFill>
                  <pic:spPr>
                    <a:xfrm>
                      <a:off x="0" y="0"/>
                      <a:ext cx="6238875" cy="62388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left"/>
      </w:pPr>
      <w:r>
        <w:drawing>
          <wp:inline distT="0" distB="0" distL="114300" distR="114300">
            <wp:extent cx="6269990" cy="4883150"/>
            <wp:effectExtent l="0" t="0" r="16510" b="12700"/>
            <wp:docPr id="1" name="图片 2" descr="77放详情页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7放详情页用.jpg"/>
                    <pic:cNvPicPr>
                      <a:picLocks noChangeAspect="1"/>
                    </pic:cNvPicPr>
                  </pic:nvPicPr>
                  <pic:blipFill>
                    <a:blip r:embed="rId5"/>
                    <a:stretch>
                      <a:fillRect/>
                    </a:stretch>
                  </pic:blipFill>
                  <pic:spPr>
                    <a:xfrm>
                      <a:off x="0" y="0"/>
                      <a:ext cx="6269990" cy="48831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left"/>
      </w:pPr>
      <w:r>
        <w:drawing>
          <wp:inline distT="0" distB="0" distL="114300" distR="114300">
            <wp:extent cx="6363335" cy="12955270"/>
            <wp:effectExtent l="0" t="0" r="18415" b="17780"/>
            <wp:docPr id="3" name="图片 3" descr="88放详情页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放详情页用.jpg"/>
                    <pic:cNvPicPr>
                      <a:picLocks noChangeAspect="1"/>
                    </pic:cNvPicPr>
                  </pic:nvPicPr>
                  <pic:blipFill>
                    <a:blip r:embed="rId6"/>
                    <a:stretch>
                      <a:fillRect/>
                    </a:stretch>
                  </pic:blipFill>
                  <pic:spPr>
                    <a:xfrm>
                      <a:off x="0" y="0"/>
                      <a:ext cx="6363335" cy="1295527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141B42"/>
    <w:rsid w:val="3AF730A5"/>
    <w:rsid w:val="461B7D30"/>
    <w:rsid w:val="598F1113"/>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2021-11-08T06:14:04Z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