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topLinePunct w:val="0"/>
        <w:autoSpaceDE/>
        <w:autoSpaceDN/>
        <w:bidi w:val="0"/>
        <w:spacing w:line="560" w:lineRule="exact"/>
        <w:contextualSpacing/>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ageBreakBefore w:val="0"/>
        <w:widowControl w:val="0"/>
        <w:kinsoku/>
        <w:wordWrap/>
        <w:topLinePunct w:val="0"/>
        <w:autoSpaceDE/>
        <w:autoSpaceDN/>
        <w:bidi w:val="0"/>
        <w:spacing w:line="560" w:lineRule="exact"/>
        <w:contextualSpacing/>
        <w:jc w:val="both"/>
        <w:textAlignment w:val="auto"/>
        <w:rPr>
          <w:rFonts w:hint="eastAsia" w:eastAsia="宋体" w:asciiTheme="majorHAnsi" w:hAnsiTheme="majorHAnsi" w:cstheme="majorBidi"/>
          <w:b/>
          <w:bCs/>
          <w:sz w:val="44"/>
          <w:szCs w:val="32"/>
        </w:rPr>
      </w:pPr>
      <w:bookmarkStart w:id="0" w:name="_GoBack"/>
      <w:bookmarkEnd w:id="0"/>
    </w:p>
    <w:p>
      <w:pPr>
        <w:pageBreakBefore w:val="0"/>
        <w:widowControl w:val="0"/>
        <w:kinsoku/>
        <w:wordWrap/>
        <w:topLinePunct w:val="0"/>
        <w:autoSpaceDE/>
        <w:autoSpaceDN/>
        <w:bidi w:val="0"/>
        <w:spacing w:line="560" w:lineRule="exact"/>
        <w:contextualSpacing/>
        <w:jc w:val="center"/>
        <w:textAlignment w:val="auto"/>
        <w:rPr>
          <w:rFonts w:hint="eastAsia" w:eastAsia="宋体" w:asciiTheme="majorHAnsi" w:hAnsiTheme="majorHAnsi" w:cstheme="majorBidi"/>
          <w:b/>
          <w:bCs/>
          <w:sz w:val="44"/>
          <w:szCs w:val="32"/>
        </w:rPr>
      </w:pPr>
      <w:r>
        <w:rPr>
          <w:rFonts w:hint="eastAsia" w:eastAsia="宋体" w:asciiTheme="majorHAnsi" w:hAnsiTheme="majorHAnsi" w:cstheme="majorBidi"/>
          <w:b/>
          <w:bCs/>
          <w:sz w:val="44"/>
          <w:szCs w:val="32"/>
        </w:rPr>
        <w:t>深圳市促进生物医药产业集群发展的</w:t>
      </w:r>
    </w:p>
    <w:p>
      <w:pPr>
        <w:pageBreakBefore w:val="0"/>
        <w:widowControl w:val="0"/>
        <w:kinsoku/>
        <w:wordWrap/>
        <w:topLinePunct w:val="0"/>
        <w:autoSpaceDE/>
        <w:autoSpaceDN/>
        <w:bidi w:val="0"/>
        <w:spacing w:line="560" w:lineRule="exact"/>
        <w:contextualSpacing/>
        <w:jc w:val="center"/>
        <w:textAlignment w:val="auto"/>
        <w:rPr>
          <w:rFonts w:eastAsia="宋体" w:asciiTheme="majorHAnsi" w:hAnsiTheme="majorHAnsi" w:cstheme="majorBidi"/>
          <w:b/>
          <w:bCs/>
          <w:sz w:val="44"/>
          <w:szCs w:val="32"/>
        </w:rPr>
      </w:pPr>
      <w:r>
        <w:rPr>
          <w:rFonts w:hint="eastAsia" w:eastAsia="宋体" w:asciiTheme="majorHAnsi" w:hAnsiTheme="majorHAnsi" w:cstheme="majorBidi"/>
          <w:b/>
          <w:bCs/>
          <w:sz w:val="44"/>
          <w:szCs w:val="32"/>
        </w:rPr>
        <w:t>若干措施</w:t>
      </w:r>
      <w:r>
        <w:rPr>
          <w:rFonts w:hint="eastAsia" w:eastAsia="宋体" w:asciiTheme="majorHAnsi" w:hAnsiTheme="majorHAnsi" w:cstheme="majorBidi"/>
          <w:b/>
          <w:bCs/>
          <w:sz w:val="44"/>
          <w:szCs w:val="32"/>
          <w:lang w:eastAsia="zh-CN"/>
        </w:rPr>
        <w:t>（征求意见稿）</w:t>
      </w:r>
      <w:r>
        <w:rPr>
          <w:rFonts w:hint="eastAsia" w:eastAsia="宋体" w:asciiTheme="majorHAnsi" w:hAnsiTheme="majorHAnsi" w:cstheme="majorBidi"/>
          <w:b/>
          <w:bCs/>
          <w:sz w:val="44"/>
          <w:szCs w:val="32"/>
        </w:rPr>
        <w:t>起草说明</w:t>
      </w:r>
    </w:p>
    <w:p>
      <w:pPr>
        <w:pageBreakBefore w:val="0"/>
        <w:widowControl w:val="0"/>
        <w:kinsoku/>
        <w:wordWrap/>
        <w:topLinePunct w:val="0"/>
        <w:autoSpaceDE/>
        <w:autoSpaceDN/>
        <w:bidi w:val="0"/>
        <w:adjustRightInd w:val="0"/>
        <w:snapToGrid w:val="0"/>
        <w:spacing w:line="560" w:lineRule="exact"/>
        <w:ind w:firstLine="640" w:firstLineChars="200"/>
        <w:textAlignment w:val="auto"/>
        <w:rPr>
          <w:rFonts w:ascii="仿宋_GB2312"/>
          <w:szCs w:val="32"/>
        </w:rPr>
      </w:pPr>
    </w:p>
    <w:p>
      <w:pPr>
        <w:pageBreakBefore w:val="0"/>
        <w:widowControl w:val="0"/>
        <w:kinsoku/>
        <w:wordWrap/>
        <w:overflowPunct w:val="0"/>
        <w:topLinePunct w:val="0"/>
        <w:autoSpaceDE/>
        <w:autoSpaceDN/>
        <w:bidi w:val="0"/>
        <w:spacing w:line="560" w:lineRule="exact"/>
        <w:ind w:firstLine="640" w:firstLineChars="200"/>
        <w:textAlignment w:val="auto"/>
        <w:rPr>
          <w:rFonts w:ascii="仿宋_GB2312" w:cs="仿宋_GB2312"/>
          <w:szCs w:val="32"/>
        </w:rPr>
      </w:pPr>
      <w:r>
        <w:rPr>
          <w:rFonts w:hint="eastAsia"/>
          <w:color w:val="auto"/>
          <w:szCs w:val="32"/>
        </w:rPr>
        <w:t>为落实《中共中央 国务院关于支持深圳建设中国特色社会主义先行示范区的意见》</w:t>
      </w:r>
      <w:r>
        <w:rPr>
          <w:rFonts w:hint="eastAsia" w:ascii="仿宋_GB2312" w:eastAsia="仿宋_GB2312"/>
          <w:color w:val="auto"/>
          <w:sz w:val="32"/>
          <w:szCs w:val="32"/>
        </w:rPr>
        <w:t>《深圳市关于进一步加快发展战略性新兴产业的实施方案》</w:t>
      </w:r>
      <w:r>
        <w:rPr>
          <w:rFonts w:hint="eastAsia" w:ascii="仿宋_GB2312" w:eastAsia="仿宋_GB2312"/>
          <w:color w:val="auto"/>
          <w:sz w:val="32"/>
          <w:szCs w:val="32"/>
          <w:lang w:eastAsia="zh-CN"/>
        </w:rPr>
        <w:t>（深府〔2018〕84号）</w:t>
      </w:r>
      <w:r>
        <w:rPr>
          <w:rFonts w:hint="eastAsia"/>
          <w:color w:val="auto"/>
          <w:szCs w:val="32"/>
        </w:rPr>
        <w:t>等政策精神，充分衔接《深圳市促进生物医药产业集聚发展指导意见》及相关配套文件</w:t>
      </w:r>
      <w:r>
        <w:rPr>
          <w:rFonts w:hint="eastAsia" w:ascii="仿宋_GB2312" w:eastAsia="仿宋_GB2312"/>
          <w:color w:val="auto"/>
          <w:sz w:val="32"/>
          <w:szCs w:val="32"/>
          <w:lang w:eastAsia="zh-CN"/>
        </w:rPr>
        <w:t>（深府</w:t>
      </w:r>
      <w:r>
        <w:rPr>
          <w:rFonts w:hint="eastAsia" w:ascii="仿宋_GB2312" w:eastAsia="仿宋_GB2312"/>
          <w:color w:val="auto"/>
          <w:sz w:val="32"/>
          <w:szCs w:val="32"/>
          <w:lang w:val="en-US" w:eastAsia="zh-CN"/>
        </w:rPr>
        <w:t>办</w:t>
      </w:r>
      <w:r>
        <w:rPr>
          <w:rFonts w:hint="eastAsia" w:ascii="仿宋_GB2312" w:eastAsia="仿宋_GB2312"/>
          <w:color w:val="auto"/>
          <w:sz w:val="32"/>
          <w:szCs w:val="32"/>
          <w:lang w:eastAsia="zh-CN"/>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号）</w:t>
      </w:r>
      <w:r>
        <w:rPr>
          <w:rFonts w:hint="eastAsia" w:ascii="仿宋_GB2312" w:cs="仿宋_GB2312"/>
          <w:szCs w:val="32"/>
        </w:rPr>
        <w:t>，进一步促进深圳生物医药产业集群发展，</w:t>
      </w:r>
      <w:r>
        <w:rPr>
          <w:rFonts w:ascii="仿宋_GB2312" w:cs="仿宋_GB2312"/>
          <w:szCs w:val="32"/>
        </w:rPr>
        <w:t>加快把深圳打造成为竞争力影响力卓著的创新引领型城市，</w:t>
      </w:r>
      <w:r>
        <w:rPr>
          <w:rFonts w:hint="eastAsia" w:ascii="仿宋_GB2312" w:cs="仿宋_GB2312"/>
          <w:szCs w:val="32"/>
          <w:lang w:eastAsia="zh-CN"/>
        </w:rPr>
        <w:t>市发展改革委</w:t>
      </w:r>
      <w:r>
        <w:rPr>
          <w:rFonts w:hint="eastAsia" w:ascii="仿宋_GB2312" w:cs="仿宋_GB2312"/>
          <w:szCs w:val="32"/>
        </w:rPr>
        <w:t>研究起草了《深圳市促进生物医药产业集群发展的若干措施（征求意见稿）》（以下简称《若干措施》）。现将有关情况说明如下：</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0"/>
        <w:rPr>
          <w:rFonts w:ascii="黑体" w:hAnsi="黑体" w:eastAsia="黑体" w:cs="黑体"/>
          <w:szCs w:val="32"/>
        </w:rPr>
      </w:pPr>
      <w:r>
        <w:rPr>
          <w:rFonts w:hint="eastAsia" w:ascii="黑体" w:hAnsi="黑体" w:eastAsia="黑体" w:cs="黑体"/>
          <w:szCs w:val="32"/>
        </w:rPr>
        <w:t>一、起草背景</w:t>
      </w:r>
    </w:p>
    <w:p>
      <w:pPr>
        <w:pStyle w:val="39"/>
        <w:pageBreakBefore w:val="0"/>
        <w:widowControl w:val="0"/>
        <w:kinsoku/>
        <w:wordWrap/>
        <w:topLinePunct w:val="0"/>
        <w:autoSpaceDE/>
        <w:autoSpaceDN/>
        <w:bidi w:val="0"/>
        <w:adjustRightInd w:val="0"/>
        <w:snapToGrid w:val="0"/>
        <w:ind w:firstLine="640"/>
        <w:jc w:val="both"/>
        <w:textAlignment w:val="auto"/>
        <w:rPr>
          <w:rFonts w:hAnsi="Times New Roman"/>
        </w:rPr>
      </w:pPr>
      <w:r>
        <w:rPr>
          <w:rFonts w:hint="eastAsia" w:hAnsi="Times New Roman"/>
          <w:lang w:eastAsia="zh-CN"/>
        </w:rPr>
        <w:t>生物医药产业是我国重点发展的战略性新兴产业之一。“十三五”以来，国家层面相继出台了《国务院办公厅关于促进医药产业健康发展的指导意见（国办发〔2016〕11号）》、《“十三五”生物产业发展规划》等文件，提出要“抓紧建设生物经济强国”。</w:t>
      </w:r>
      <w:r>
        <w:rPr>
          <w:rFonts w:hint="eastAsia" w:hAnsi="Times New Roman"/>
        </w:rPr>
        <w:t>在此背景下，</w:t>
      </w:r>
      <w:r>
        <w:rPr>
          <w:rFonts w:hint="eastAsia" w:hAnsi="Times New Roman"/>
          <w:color w:val="000000"/>
        </w:rPr>
        <w:t>北京</w:t>
      </w:r>
      <w:r>
        <w:rPr>
          <w:rFonts w:hAnsi="Times New Roman"/>
          <w:color w:val="000000"/>
        </w:rPr>
        <w:t>、上海、</w:t>
      </w:r>
      <w:r>
        <w:rPr>
          <w:rFonts w:hint="eastAsia" w:hAnsi="Times New Roman"/>
          <w:color w:val="000000"/>
        </w:rPr>
        <w:t>苏州、成都</w:t>
      </w:r>
      <w:r>
        <w:rPr>
          <w:rFonts w:hAnsi="Times New Roman"/>
          <w:color w:val="000000"/>
        </w:rPr>
        <w:t>等</w:t>
      </w:r>
      <w:r>
        <w:rPr>
          <w:rFonts w:hint="eastAsia" w:hAnsi="Times New Roman"/>
          <w:color w:val="000000"/>
        </w:rPr>
        <w:t>全国生物医药强市已开展新一轮</w:t>
      </w:r>
      <w:r>
        <w:rPr>
          <w:rFonts w:hAnsi="Times New Roman"/>
          <w:color w:val="000000"/>
        </w:rPr>
        <w:t>产业</w:t>
      </w:r>
      <w:r>
        <w:rPr>
          <w:rFonts w:hint="eastAsia" w:hAnsi="Times New Roman"/>
          <w:color w:val="000000"/>
        </w:rPr>
        <w:t>布局</w:t>
      </w:r>
      <w:r>
        <w:rPr>
          <w:rFonts w:hint="eastAsia" w:hAnsi="Times New Roman"/>
          <w:color w:val="000000"/>
          <w:lang w:eastAsia="zh-CN"/>
        </w:rPr>
        <w:t>，出台了一系列扶持政策</w:t>
      </w:r>
      <w:r>
        <w:rPr>
          <w:rFonts w:hAnsi="Times New Roman"/>
          <w:color w:val="000000"/>
        </w:rPr>
        <w:t>，</w:t>
      </w:r>
      <w:r>
        <w:rPr>
          <w:rFonts w:hint="eastAsia" w:hAnsi="Times New Roman"/>
          <w:color w:val="000000"/>
        </w:rPr>
        <w:t>逐渐在生物医药产业竞争中斩获发展优势</w:t>
      </w:r>
      <w:r>
        <w:rPr>
          <w:rFonts w:hAnsi="Times New Roman"/>
          <w:color w:val="000000"/>
        </w:rPr>
        <w:t>。</w:t>
      </w:r>
    </w:p>
    <w:p>
      <w:pPr>
        <w:pStyle w:val="39"/>
        <w:pageBreakBefore w:val="0"/>
        <w:widowControl w:val="0"/>
        <w:kinsoku/>
        <w:wordWrap/>
        <w:topLinePunct w:val="0"/>
        <w:autoSpaceDE/>
        <w:autoSpaceDN/>
        <w:bidi w:val="0"/>
        <w:adjustRightInd w:val="0"/>
        <w:snapToGrid w:val="0"/>
        <w:ind w:firstLine="640"/>
        <w:jc w:val="both"/>
        <w:textAlignment w:val="auto"/>
        <w:rPr>
          <w:rFonts w:hint="eastAsia" w:hAnsi="Times New Roman" w:eastAsia="仿宋_GB2312"/>
          <w:lang w:val="en-US" w:eastAsia="zh-CN"/>
        </w:rPr>
      </w:pPr>
      <w:r>
        <w:rPr>
          <w:rFonts w:hint="eastAsia" w:hAnsi="Times New Roman"/>
        </w:rPr>
        <w:t>深圳作为首批国家生物医药产业基地和国家自主创新示范区，生物医药产业发展起步早、基础好，培育出一批优秀生物医药企业，产业规模不断扩大</w:t>
      </w:r>
      <w:r>
        <w:rPr>
          <w:rFonts w:hint="eastAsia" w:hAnsi="Times New Roman"/>
          <w:lang w:eastAsia="zh-CN"/>
        </w:rPr>
        <w:t>，新业态不断发展</w:t>
      </w:r>
      <w:r>
        <w:rPr>
          <w:rFonts w:hint="eastAsia" w:hAnsi="Times New Roman"/>
        </w:rPr>
        <w:t>。然而与上海、苏州等城市对比，深圳市产业发展状态还存在较大差距</w:t>
      </w:r>
      <w:r>
        <w:rPr>
          <w:rFonts w:hint="eastAsia" w:hAnsi="Times New Roman"/>
          <w:lang w:eastAsia="zh-CN"/>
        </w:rPr>
        <w:t>。根据科技部</w:t>
      </w:r>
      <w:r>
        <w:rPr>
          <w:rFonts w:hint="eastAsia" w:hAnsi="Times New Roman"/>
        </w:rPr>
        <w:t>中国生物技术发展中心发布的《中国生物医药产业园区竞争力评价及分析报告》</w:t>
      </w:r>
      <w:r>
        <w:rPr>
          <w:rFonts w:hint="eastAsia" w:hAnsi="Times New Roman"/>
          <w:lang w:eastAsia="zh-CN"/>
        </w:rPr>
        <w:t>，深圳市在全国生物医药产业园区排行中仅列第</w:t>
      </w:r>
      <w:r>
        <w:rPr>
          <w:rFonts w:hint="eastAsia" w:hAnsi="Times New Roman"/>
          <w:lang w:val="en-US" w:eastAsia="zh-CN"/>
        </w:rPr>
        <w:t>9，位居北京、上海、苏州、成都等城市之后。2012年以来，深圳市获批的I类创新药仅有2款，落后于同期上海和苏州的11款、5款。在进入临床试验阶段的新药数量上，深圳仅为上海和苏州的1/20、1/6。因此，通过制定出台促进生物医药产业发展的扶持政策，</w:t>
      </w:r>
      <w:r>
        <w:rPr>
          <w:rFonts w:hint="eastAsia" w:hAnsi="Times New Roman"/>
        </w:rPr>
        <w:t>集中资源加大产业支持力度，</w:t>
      </w:r>
      <w:r>
        <w:rPr>
          <w:rFonts w:hint="eastAsia" w:hAnsi="Times New Roman"/>
          <w:lang w:eastAsia="zh-CN"/>
        </w:rPr>
        <w:t>对于</w:t>
      </w:r>
      <w:r>
        <w:rPr>
          <w:rFonts w:hint="eastAsia" w:hAnsi="Times New Roman"/>
          <w:lang w:val="en-US" w:eastAsia="zh-CN"/>
        </w:rPr>
        <w:t>进一步</w:t>
      </w:r>
      <w:r>
        <w:rPr>
          <w:rFonts w:hint="eastAsia" w:hAnsi="Times New Roman"/>
          <w:lang w:eastAsia="zh-CN"/>
        </w:rPr>
        <w:t>补齐深圳市生物医药产业链薄弱环节，加快打造优质产业集群，具有重要意义。</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0"/>
        <w:rPr>
          <w:rFonts w:ascii="黑体" w:hAnsi="黑体" w:eastAsia="黑体" w:cs="黑体"/>
          <w:szCs w:val="32"/>
        </w:rPr>
      </w:pPr>
      <w:r>
        <w:rPr>
          <w:rFonts w:hint="eastAsia" w:ascii="黑体" w:hAnsi="黑体" w:eastAsia="黑体" w:cs="黑体"/>
          <w:szCs w:val="32"/>
        </w:rPr>
        <w:t>二、起草过程</w:t>
      </w:r>
    </w:p>
    <w:p>
      <w:pPr>
        <w:pStyle w:val="3"/>
        <w:pageBreakBefore w:val="0"/>
        <w:widowControl w:val="0"/>
        <w:kinsoku/>
        <w:wordWrap/>
        <w:topLinePunct w:val="0"/>
        <w:autoSpaceDE/>
        <w:autoSpaceDN/>
        <w:bidi w:val="0"/>
        <w:spacing w:line="560" w:lineRule="exact"/>
        <w:ind w:firstLine="643"/>
        <w:textAlignment w:val="auto"/>
        <w:rPr>
          <w:rFonts w:hint="eastAsia" w:ascii="楷体_GB2312" w:eastAsia="楷体_GB2312"/>
          <w:lang w:eastAsia="zh-CN"/>
        </w:rPr>
      </w:pPr>
      <w:r>
        <w:rPr>
          <w:rFonts w:hint="eastAsia" w:ascii="楷体_GB2312" w:eastAsia="楷体_GB2312"/>
        </w:rPr>
        <w:t>（一）前期研究</w:t>
      </w:r>
      <w:r>
        <w:rPr>
          <w:rFonts w:hint="eastAsia" w:ascii="楷体_GB2312" w:eastAsia="楷体_GB2312"/>
          <w:lang w:eastAsia="zh-CN"/>
        </w:rPr>
        <w:t>与初稿编制</w:t>
      </w:r>
    </w:p>
    <w:p>
      <w:pPr>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仿宋_GB2312"/>
          <w:szCs w:val="32"/>
          <w:lang w:eastAsia="zh-CN"/>
        </w:rPr>
      </w:pPr>
      <w:r>
        <w:rPr>
          <w:rFonts w:hint="eastAsia" w:ascii="仿宋_GB2312"/>
          <w:color w:val="000000"/>
          <w:szCs w:val="32"/>
        </w:rPr>
        <w:t>根据市政府工作部署，</w:t>
      </w:r>
      <w:r>
        <w:rPr>
          <w:rFonts w:hint="eastAsia" w:ascii="仿宋_GB2312"/>
          <w:color w:val="000000"/>
          <w:szCs w:val="32"/>
          <w:lang w:eastAsia="zh-CN"/>
        </w:rPr>
        <w:t>市发展改革委</w:t>
      </w:r>
      <w:r>
        <w:rPr>
          <w:rFonts w:hint="eastAsia" w:ascii="仿宋_GB2312"/>
          <w:color w:val="000000"/>
          <w:szCs w:val="32"/>
        </w:rPr>
        <w:t>于</w:t>
      </w:r>
      <w:r>
        <w:rPr>
          <w:rFonts w:hint="eastAsia" w:ascii="仿宋_GB2312"/>
          <w:color w:val="000000"/>
          <w:szCs w:val="32"/>
          <w:lang w:val="en-US" w:eastAsia="zh-CN"/>
        </w:rPr>
        <w:t>2021</w:t>
      </w:r>
      <w:r>
        <w:rPr>
          <w:rFonts w:hint="eastAsia" w:ascii="仿宋_GB2312"/>
          <w:color w:val="000000"/>
          <w:szCs w:val="32"/>
        </w:rPr>
        <w:t>年</w:t>
      </w:r>
      <w:r>
        <w:rPr>
          <w:rFonts w:hint="eastAsia" w:ascii="仿宋_GB2312"/>
          <w:color w:val="000000"/>
          <w:szCs w:val="32"/>
          <w:lang w:val="en-US" w:eastAsia="zh-CN"/>
        </w:rPr>
        <w:t>10</w:t>
      </w:r>
      <w:r>
        <w:rPr>
          <w:rFonts w:hint="eastAsia" w:ascii="仿宋_GB2312"/>
          <w:color w:val="000000"/>
          <w:szCs w:val="32"/>
        </w:rPr>
        <w:t>月</w:t>
      </w:r>
      <w:r>
        <w:rPr>
          <w:rFonts w:hint="eastAsia" w:ascii="仿宋_GB2312"/>
          <w:color w:val="000000"/>
          <w:szCs w:val="32"/>
          <w:lang w:eastAsia="zh-CN"/>
        </w:rPr>
        <w:t>成立了《若干措施》编制小组，</w:t>
      </w:r>
      <w:r>
        <w:rPr>
          <w:rFonts w:hint="eastAsia" w:ascii="仿宋_GB2312"/>
          <w:color w:val="000000"/>
          <w:szCs w:val="32"/>
        </w:rPr>
        <w:t>启动了专题研究工作</w:t>
      </w:r>
      <w:r>
        <w:rPr>
          <w:rFonts w:hint="eastAsia" w:ascii="仿宋_GB2312"/>
          <w:color w:val="000000"/>
          <w:szCs w:val="32"/>
          <w:lang w:eastAsia="zh-CN"/>
        </w:rPr>
        <w:t>。一是</w:t>
      </w:r>
      <w:r>
        <w:rPr>
          <w:rFonts w:hint="eastAsia" w:ascii="仿宋_GB2312"/>
          <w:color w:val="000000"/>
          <w:szCs w:val="32"/>
        </w:rPr>
        <w:t>全面梳理</w:t>
      </w:r>
      <w:r>
        <w:rPr>
          <w:rFonts w:hint="eastAsia" w:ascii="仿宋_GB2312"/>
          <w:color w:val="000000"/>
          <w:szCs w:val="32"/>
          <w:lang w:eastAsia="zh-CN"/>
        </w:rPr>
        <w:t>了</w:t>
      </w:r>
      <w:r>
        <w:rPr>
          <w:rFonts w:hint="eastAsia" w:ascii="仿宋_GB2312"/>
          <w:color w:val="000000"/>
          <w:szCs w:val="32"/>
        </w:rPr>
        <w:t>北京、上海、苏州、</w:t>
      </w:r>
      <w:r>
        <w:rPr>
          <w:rFonts w:hint="eastAsia" w:ascii="仿宋_GB2312"/>
          <w:color w:val="000000"/>
          <w:szCs w:val="32"/>
          <w:lang w:eastAsia="zh-CN"/>
        </w:rPr>
        <w:t>成都</w:t>
      </w:r>
      <w:r>
        <w:rPr>
          <w:rFonts w:hint="eastAsia" w:ascii="仿宋_GB2312"/>
          <w:color w:val="000000"/>
          <w:szCs w:val="32"/>
        </w:rPr>
        <w:t>等</w:t>
      </w:r>
      <w:r>
        <w:rPr>
          <w:rFonts w:hint="eastAsia" w:ascii="仿宋_GB2312"/>
          <w:color w:val="000000"/>
          <w:szCs w:val="32"/>
          <w:lang w:eastAsia="zh-CN"/>
        </w:rPr>
        <w:t>城市</w:t>
      </w:r>
      <w:r>
        <w:rPr>
          <w:rFonts w:hint="eastAsia" w:ascii="仿宋_GB2312"/>
          <w:color w:val="000000"/>
          <w:szCs w:val="32"/>
        </w:rPr>
        <w:t>最新出台的生物医药产业政策，</w:t>
      </w:r>
      <w:r>
        <w:rPr>
          <w:rFonts w:hint="eastAsia" w:ascii="仿宋_GB2312"/>
          <w:color w:val="000000"/>
          <w:szCs w:val="32"/>
          <w:lang w:eastAsia="zh-CN"/>
        </w:rPr>
        <w:t>对比分析</w:t>
      </w:r>
      <w:r>
        <w:rPr>
          <w:rFonts w:hint="eastAsia" w:ascii="仿宋_GB2312" w:hAnsi="宋体" w:cs="宋体"/>
          <w:color w:val="000000"/>
          <w:kern w:val="0"/>
          <w:szCs w:val="32"/>
        </w:rPr>
        <w:t>了</w:t>
      </w:r>
      <w:r>
        <w:rPr>
          <w:rFonts w:hint="eastAsia"/>
          <w:color w:val="000000"/>
        </w:rPr>
        <w:t>《</w:t>
      </w:r>
      <w:r>
        <w:rPr>
          <w:color w:val="000000"/>
        </w:rPr>
        <w:t>深圳市促进生物医药产业集聚发展的若干措施</w:t>
      </w:r>
      <w:r>
        <w:rPr>
          <w:rFonts w:hint="eastAsia"/>
          <w:color w:val="000000"/>
        </w:rPr>
        <w:t>》</w:t>
      </w:r>
      <w:r>
        <w:rPr>
          <w:rFonts w:hint="eastAsia" w:ascii="仿宋_GB2312"/>
          <w:szCs w:val="32"/>
        </w:rPr>
        <w:t>等</w:t>
      </w:r>
      <w:r>
        <w:rPr>
          <w:rFonts w:hint="eastAsia" w:ascii="仿宋_GB2312"/>
          <w:color w:val="000000"/>
          <w:szCs w:val="32"/>
        </w:rPr>
        <w:t>我市现行政策及产业发展情况</w:t>
      </w:r>
      <w:r>
        <w:rPr>
          <w:rFonts w:hint="eastAsia" w:ascii="仿宋_GB2312"/>
          <w:szCs w:val="32"/>
        </w:rPr>
        <w:t>，总结</w:t>
      </w:r>
      <w:r>
        <w:rPr>
          <w:rFonts w:hint="eastAsia" w:ascii="仿宋_GB2312"/>
          <w:szCs w:val="32"/>
          <w:lang w:eastAsia="zh-CN"/>
        </w:rPr>
        <w:t>了现行政策中存在的不足。二是通过问卷调查、实地走访、专家座谈等形式深入了解了我市生物医药产业发展的迫切需求及面临的主要问题。三是结合市发展改革委同期编制的培育发展生物医药产业集群发展的政策文件，</w:t>
      </w:r>
      <w:r>
        <w:rPr>
          <w:rFonts w:hint="eastAsia" w:cs="Times New Roman"/>
          <w:color w:val="000000"/>
          <w:szCs w:val="32"/>
          <w:lang w:eastAsia="zh-CN"/>
        </w:rPr>
        <w:t>围绕重点企业</w:t>
      </w:r>
      <w:r>
        <w:rPr>
          <w:rFonts w:hint="eastAsia" w:ascii="Times New Roman" w:hAnsi="Times New Roman" w:cs="Times New Roman"/>
          <w:color w:val="000000"/>
          <w:szCs w:val="32"/>
        </w:rPr>
        <w:t>、</w:t>
      </w:r>
      <w:r>
        <w:rPr>
          <w:rFonts w:hint="eastAsia" w:cs="Times New Roman"/>
          <w:color w:val="000000"/>
          <w:szCs w:val="32"/>
          <w:lang w:eastAsia="zh-CN"/>
        </w:rPr>
        <w:t>重大项目、重大载体等进行深入挖掘分析，</w:t>
      </w:r>
      <w:r>
        <w:rPr>
          <w:rFonts w:hint="eastAsia" w:ascii="仿宋_GB2312"/>
          <w:szCs w:val="32"/>
          <w:lang w:eastAsia="zh-CN"/>
        </w:rPr>
        <w:t>从土地空间、公共服务、资金支持等方面系统梳理了产业发展</w:t>
      </w:r>
      <w:r>
        <w:rPr>
          <w:rFonts w:hint="eastAsia" w:ascii="仿宋_GB2312"/>
          <w:szCs w:val="32"/>
        </w:rPr>
        <w:t>需要重点支持的环节</w:t>
      </w:r>
      <w:r>
        <w:rPr>
          <w:rFonts w:hint="eastAsia" w:ascii="仿宋_GB2312"/>
          <w:szCs w:val="32"/>
          <w:lang w:eastAsia="zh-CN"/>
        </w:rPr>
        <w:t>，为《若干措施》编制提供了依据</w:t>
      </w:r>
      <w:r>
        <w:rPr>
          <w:rFonts w:hint="eastAsia" w:ascii="仿宋_GB2312"/>
          <w:szCs w:val="32"/>
        </w:rPr>
        <w:t>。</w:t>
      </w:r>
      <w:r>
        <w:rPr>
          <w:rFonts w:hint="eastAsia" w:ascii="仿宋_GB2312"/>
          <w:szCs w:val="32"/>
          <w:lang w:eastAsia="zh-CN"/>
        </w:rPr>
        <w:t>在此基础上，市发展改革委起草形成了《若干措施》初稿。</w:t>
      </w:r>
    </w:p>
    <w:p>
      <w:pPr>
        <w:pStyle w:val="3"/>
        <w:pageBreakBefore w:val="0"/>
        <w:widowControl w:val="0"/>
        <w:kinsoku/>
        <w:wordWrap/>
        <w:topLinePunct w:val="0"/>
        <w:autoSpaceDE/>
        <w:autoSpaceDN/>
        <w:bidi w:val="0"/>
        <w:spacing w:line="560" w:lineRule="exact"/>
        <w:ind w:firstLine="643"/>
        <w:textAlignment w:val="auto"/>
        <w:rPr>
          <w:rFonts w:ascii="楷体_GB2312" w:eastAsia="楷体_GB2312"/>
        </w:rPr>
      </w:pPr>
      <w:r>
        <w:rPr>
          <w:rFonts w:hint="eastAsia" w:ascii="楷体_GB2312" w:eastAsia="楷体_GB2312"/>
        </w:rPr>
        <w:t>（</w:t>
      </w:r>
      <w:r>
        <w:rPr>
          <w:rFonts w:hint="eastAsia" w:ascii="楷体_GB2312" w:eastAsia="楷体_GB2312"/>
          <w:lang w:eastAsia="zh-CN"/>
        </w:rPr>
        <w:t>二</w:t>
      </w:r>
      <w:r>
        <w:rPr>
          <w:rFonts w:hint="eastAsia" w:ascii="楷体_GB2312" w:eastAsia="楷体_GB2312"/>
        </w:rPr>
        <w:t>）召开专家咨询论证会</w:t>
      </w:r>
    </w:p>
    <w:p>
      <w:pPr>
        <w:pageBreakBefore w:val="0"/>
        <w:widowControl w:val="0"/>
        <w:kinsoku/>
        <w:wordWrap/>
        <w:topLinePunct w:val="0"/>
        <w:autoSpaceDE/>
        <w:autoSpaceDN/>
        <w:bidi w:val="0"/>
        <w:adjustRightInd w:val="0"/>
        <w:snapToGrid w:val="0"/>
        <w:spacing w:line="560" w:lineRule="exact"/>
        <w:ind w:firstLine="640" w:firstLineChars="200"/>
        <w:textAlignment w:val="auto"/>
        <w:rPr>
          <w:rFonts w:ascii="仿宋_GB2312"/>
          <w:szCs w:val="32"/>
        </w:rPr>
      </w:pPr>
      <w:r>
        <w:rPr>
          <w:rFonts w:hint="eastAsia" w:ascii="仿宋_GB2312"/>
          <w:szCs w:val="32"/>
          <w:lang w:val="en-US" w:eastAsia="zh-CN"/>
        </w:rPr>
        <w:t>2021年11月</w:t>
      </w:r>
      <w:r>
        <w:rPr>
          <w:rFonts w:hint="eastAsia" w:ascii="仿宋_GB2312"/>
          <w:szCs w:val="32"/>
        </w:rPr>
        <w:t>，</w:t>
      </w:r>
      <w:r>
        <w:rPr>
          <w:rFonts w:hint="eastAsia" w:ascii="仿宋_GB2312"/>
          <w:szCs w:val="32"/>
          <w:lang w:eastAsia="zh-CN"/>
        </w:rPr>
        <w:t>市发展改革委组织召开了专家咨询论证会，</w:t>
      </w:r>
      <w:r>
        <w:rPr>
          <w:rFonts w:hint="eastAsia" w:ascii="仿宋_GB2312"/>
          <w:szCs w:val="32"/>
        </w:rPr>
        <w:t>邀请了</w:t>
      </w:r>
      <w:r>
        <w:rPr>
          <w:rFonts w:hint="eastAsia" w:ascii="仿宋_GB2312"/>
          <w:szCs w:val="32"/>
          <w:lang w:eastAsia="zh-CN"/>
        </w:rPr>
        <w:t>我市高校、科研机构、龙头企业代表、创新型企业代表、行业协会等</w:t>
      </w:r>
      <w:r>
        <w:rPr>
          <w:rFonts w:hint="eastAsia" w:ascii="仿宋_GB2312"/>
          <w:szCs w:val="32"/>
          <w:lang w:val="en-US" w:eastAsia="zh-CN"/>
        </w:rPr>
        <w:t>11位专家对《若干措施》研提意见。</w:t>
      </w:r>
      <w:r>
        <w:rPr>
          <w:rFonts w:hint="eastAsia"/>
          <w:color w:val="000000"/>
          <w:lang w:eastAsia="zh-CN"/>
        </w:rPr>
        <w:t>会后，市发展改革委根据</w:t>
      </w:r>
      <w:r>
        <w:rPr>
          <w:rFonts w:hint="eastAsia"/>
          <w:color w:val="000000"/>
        </w:rPr>
        <w:t>专家意见对《若干措施》进行了修改完善</w:t>
      </w:r>
      <w:r>
        <w:rPr>
          <w:rFonts w:hint="eastAsia"/>
          <w:color w:val="000000"/>
          <w:lang w:eastAsia="zh-CN"/>
        </w:rPr>
        <w:t>，形成了征求意见稿</w:t>
      </w:r>
      <w:r>
        <w:rPr>
          <w:rFonts w:hint="eastAsia"/>
          <w:color w:val="000000"/>
        </w:rPr>
        <w:t>。</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0"/>
        <w:rPr>
          <w:rFonts w:ascii="黑体" w:hAnsi="黑体" w:eastAsia="黑体" w:cs="黑体"/>
          <w:szCs w:val="32"/>
        </w:rPr>
      </w:pPr>
      <w:r>
        <w:rPr>
          <w:rFonts w:hint="eastAsia" w:ascii="黑体" w:hAnsi="黑体" w:eastAsia="黑体" w:cs="黑体"/>
          <w:szCs w:val="32"/>
        </w:rPr>
        <w:t>三、</w:t>
      </w:r>
      <w:r>
        <w:rPr>
          <w:rFonts w:hint="eastAsia" w:ascii="黑体" w:hAnsi="黑体" w:eastAsia="黑体" w:cs="黑体"/>
          <w:szCs w:val="32"/>
          <w:lang w:eastAsia="zh-CN"/>
        </w:rPr>
        <w:t>起草</w:t>
      </w:r>
      <w:r>
        <w:rPr>
          <w:rFonts w:hint="eastAsia" w:ascii="黑体" w:hAnsi="黑体" w:eastAsia="黑体" w:cs="黑体"/>
          <w:szCs w:val="32"/>
        </w:rPr>
        <w:t>思路和主要原则</w:t>
      </w:r>
    </w:p>
    <w:p>
      <w:pPr>
        <w:pageBreakBefore w:val="0"/>
        <w:widowControl w:val="0"/>
        <w:kinsoku/>
        <w:wordWrap/>
        <w:topLinePunct w:val="0"/>
        <w:autoSpaceDE/>
        <w:autoSpaceDN/>
        <w:bidi w:val="0"/>
        <w:adjustRightInd w:val="0"/>
        <w:snapToGrid w:val="0"/>
        <w:spacing w:line="560" w:lineRule="exact"/>
        <w:ind w:firstLine="640" w:firstLineChars="200"/>
        <w:textAlignment w:val="auto"/>
        <w:rPr>
          <w:rFonts w:ascii="仿宋_GB2312"/>
          <w:szCs w:val="32"/>
        </w:rPr>
      </w:pPr>
      <w:r>
        <w:rPr>
          <w:rFonts w:hint="eastAsia" w:ascii="仿宋_GB2312"/>
          <w:szCs w:val="32"/>
        </w:rPr>
        <w:t>《若干措施》编制坚持战略引领、问题导向和需求导向等基本原则，全面落实国家生物医药产业指导性文件要求，借鉴其他省市近年来出台的生物医药规划和政策，加大对战略性、基础性、原创性项目的资助力度。</w:t>
      </w:r>
    </w:p>
    <w:p>
      <w:pPr>
        <w:pageBreakBefore w:val="0"/>
        <w:widowControl w:val="0"/>
        <w:kinsoku/>
        <w:wordWrap/>
        <w:topLinePunct w:val="0"/>
        <w:autoSpaceDE/>
        <w:autoSpaceDN/>
        <w:bidi w:val="0"/>
        <w:spacing w:line="560" w:lineRule="exact"/>
        <w:ind w:firstLine="642" w:firstLineChars="200"/>
        <w:textAlignment w:val="auto"/>
        <w:rPr>
          <w:rFonts w:ascii="仿宋_GB2312" w:hAnsi="仿宋_GB2312" w:cs="仿宋_GB2312"/>
          <w:szCs w:val="32"/>
        </w:rPr>
      </w:pPr>
      <w:r>
        <w:rPr>
          <w:rFonts w:hint="eastAsia" w:ascii="仿宋_GB2312" w:hAnsi="仿宋_GB2312" w:cs="仿宋_GB2312"/>
          <w:b/>
          <w:szCs w:val="32"/>
        </w:rPr>
        <w:t>一是坚持战略引领。</w:t>
      </w:r>
      <w:r>
        <w:rPr>
          <w:rFonts w:hint="eastAsia" w:ascii="仿宋_GB2312" w:hAnsi="仿宋_GB2312" w:cs="仿宋_GB2312"/>
          <w:szCs w:val="32"/>
        </w:rPr>
        <w:t>发挥深圳打造中国特色社会主义先行示范区的引领作用，以建设粤港澳大湾区国际科技创新中心为契机，贯彻落实国家促进医药产业健康发展的系列文件精神，按照市委、市政府的决策部署，结合我市生物医药产业发展实际情况，完善升级产业政策扶持体系，在推动生物医药产业集群发展方面走在全国前列。</w:t>
      </w:r>
    </w:p>
    <w:p>
      <w:pPr>
        <w:pageBreakBefore w:val="0"/>
        <w:widowControl w:val="0"/>
        <w:kinsoku/>
        <w:wordWrap/>
        <w:topLinePunct w:val="0"/>
        <w:autoSpaceDE/>
        <w:autoSpaceDN/>
        <w:bidi w:val="0"/>
        <w:adjustRightInd w:val="0"/>
        <w:snapToGrid w:val="0"/>
        <w:spacing w:line="560" w:lineRule="exact"/>
        <w:ind w:firstLine="642" w:firstLineChars="200"/>
        <w:textAlignment w:val="auto"/>
        <w:rPr>
          <w:rFonts w:ascii="仿宋_GB2312"/>
          <w:szCs w:val="32"/>
        </w:rPr>
      </w:pPr>
      <w:r>
        <w:rPr>
          <w:rFonts w:hint="eastAsia" w:ascii="仿宋_GB2312"/>
          <w:b/>
          <w:szCs w:val="32"/>
        </w:rPr>
        <w:t>二是突出问题导向。</w:t>
      </w:r>
      <w:r>
        <w:rPr>
          <w:rFonts w:hint="eastAsia" w:ascii="仿宋_GB2312"/>
          <w:szCs w:val="32"/>
        </w:rPr>
        <w:t>聚焦我市药品领域各园区间存在同质竞争、产业土地空间缺乏保障、临床转化路径不畅、基础研究研发投入力度较弱、产业体系建设缺乏系统布局等瓶颈问题，《若干措施》在推进各园区错位协同发展、加强产业土地空间保障、补齐基础设施短板、促进产学研医深入融合等方面提出若干举措，解决影响生物医药行业发展的痛点、难点问题。</w:t>
      </w:r>
    </w:p>
    <w:p>
      <w:pPr>
        <w:pageBreakBefore w:val="0"/>
        <w:widowControl w:val="0"/>
        <w:kinsoku/>
        <w:wordWrap/>
        <w:topLinePunct w:val="0"/>
        <w:autoSpaceDE/>
        <w:autoSpaceDN/>
        <w:bidi w:val="0"/>
        <w:spacing w:line="560" w:lineRule="exact"/>
        <w:ind w:firstLine="642" w:firstLineChars="200"/>
        <w:textAlignment w:val="auto"/>
        <w:rPr>
          <w:rFonts w:ascii="仿宋_GB2312" w:hAnsi="仿宋_GB2312" w:cs="仿宋_GB2312"/>
          <w:szCs w:val="32"/>
        </w:rPr>
      </w:pPr>
      <w:r>
        <w:rPr>
          <w:rFonts w:hint="eastAsia" w:ascii="仿宋_GB2312" w:hAnsi="仿宋_GB2312" w:cs="仿宋_GB2312"/>
          <w:b/>
          <w:szCs w:val="32"/>
        </w:rPr>
        <w:t>三是坚持需求导向。</w:t>
      </w:r>
      <w:r>
        <w:rPr>
          <w:rFonts w:hint="eastAsia" w:ascii="仿宋_GB2312" w:hAnsi="仿宋_GB2312" w:cs="仿宋_GB2312"/>
          <w:szCs w:val="32"/>
        </w:rPr>
        <w:t>在调研中发现我市生物医药企业对药物临床前研究、中试、委托研发和生产等环节的公共服务平台需求迫切，《若干措施》提出全面夯实产业基础设施</w:t>
      </w:r>
      <w:r>
        <w:rPr>
          <w:rFonts w:hint="eastAsia" w:ascii="仿宋_GB2312" w:hAnsi="仿宋_GB2312" w:cs="仿宋_GB2312"/>
          <w:szCs w:val="32"/>
          <w:lang w:eastAsia="zh-CN"/>
        </w:rPr>
        <w:t>支撑</w:t>
      </w:r>
      <w:r>
        <w:rPr>
          <w:rFonts w:hint="eastAsia" w:ascii="仿宋_GB2312" w:hAnsi="仿宋_GB2312" w:cs="仿宋_GB2312"/>
          <w:szCs w:val="32"/>
        </w:rPr>
        <w:t>能力，进一步组建产业促进机构、创新平台、重大产业公共服务平台等产业基础设施，发挥国家药品监督管理局药品审评检查大湾区分中心审评审批职能，在政策覆盖范围和支持力度方面具有一定比较优势。</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0"/>
        <w:rPr>
          <w:rFonts w:ascii="黑体" w:hAnsi="黑体" w:eastAsia="黑体" w:cs="黑体"/>
          <w:szCs w:val="32"/>
        </w:rPr>
      </w:pPr>
      <w:r>
        <w:rPr>
          <w:rFonts w:hint="eastAsia" w:ascii="黑体" w:hAnsi="黑体" w:eastAsia="黑体" w:cs="黑体"/>
          <w:szCs w:val="32"/>
        </w:rPr>
        <w:t>四、主要内容</w:t>
      </w:r>
    </w:p>
    <w:p>
      <w:pPr>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仿宋_GB2312" w:hAnsi="宋体" w:cs="宋体"/>
          <w:color w:val="000000"/>
          <w:kern w:val="0"/>
          <w:szCs w:val="32"/>
        </w:rPr>
      </w:pPr>
      <w:r>
        <w:rPr>
          <w:rFonts w:hint="eastAsia" w:ascii="仿宋_GB2312" w:hAnsi="宋体" w:cs="宋体"/>
          <w:color w:val="000000"/>
          <w:kern w:val="0"/>
          <w:szCs w:val="32"/>
        </w:rPr>
        <w:t>《若干措施》</w:t>
      </w:r>
      <w:r>
        <w:rPr>
          <w:rFonts w:ascii="仿宋_GB2312" w:hAnsi="宋体" w:cs="宋体"/>
          <w:color w:val="000000"/>
          <w:kern w:val="0"/>
          <w:szCs w:val="32"/>
        </w:rPr>
        <w:t>主要包括以下</w:t>
      </w:r>
      <w:r>
        <w:rPr>
          <w:rFonts w:hint="eastAsia" w:ascii="仿宋_GB2312" w:hAnsi="宋体" w:cs="宋体"/>
          <w:color w:val="000000"/>
          <w:kern w:val="0"/>
          <w:szCs w:val="32"/>
        </w:rPr>
        <w:t>十</w:t>
      </w:r>
      <w:r>
        <w:rPr>
          <w:rFonts w:hint="eastAsia" w:ascii="仿宋_GB2312" w:hAnsi="宋体" w:cs="宋体"/>
          <w:color w:val="000000"/>
          <w:kern w:val="0"/>
          <w:szCs w:val="32"/>
          <w:lang w:eastAsia="zh-CN"/>
        </w:rPr>
        <w:t>一</w:t>
      </w:r>
      <w:r>
        <w:rPr>
          <w:rFonts w:ascii="仿宋_GB2312" w:hAnsi="宋体" w:cs="宋体"/>
          <w:color w:val="000000"/>
          <w:kern w:val="0"/>
          <w:szCs w:val="32"/>
        </w:rPr>
        <w:t>个部分的内容：</w:t>
      </w:r>
      <w:r>
        <w:rPr>
          <w:rFonts w:hint="eastAsia" w:ascii="仿宋_GB2312"/>
          <w:szCs w:val="32"/>
        </w:rPr>
        <w:t>总体要求、鼓励各区错位协同集群发展、全面夯实产业基础设施支撑能力、全面提升产品研制支持力度、强化临床研究转化与医企协同、加速医药审批进程、加快创新产品应用推广、优化发展环境</w:t>
      </w:r>
      <w:r>
        <w:rPr>
          <w:rFonts w:hint="eastAsia" w:ascii="仿宋_GB2312"/>
          <w:szCs w:val="32"/>
          <w:lang w:eastAsia="zh-CN"/>
        </w:rPr>
        <w:t>、</w:t>
      </w:r>
      <w:r>
        <w:rPr>
          <w:rFonts w:hint="eastAsia" w:ascii="仿宋_GB2312"/>
          <w:szCs w:val="32"/>
        </w:rPr>
        <w:t>优化产业空间供给能力</w:t>
      </w:r>
      <w:r>
        <w:rPr>
          <w:rFonts w:hint="eastAsia" w:ascii="仿宋_GB2312"/>
          <w:szCs w:val="32"/>
          <w:lang w:eastAsia="zh-CN"/>
        </w:rPr>
        <w:t>和附则</w:t>
      </w:r>
      <w:r>
        <w:rPr>
          <w:rFonts w:hint="eastAsia" w:ascii="仿宋_GB2312" w:hAnsi="宋体" w:cs="宋体"/>
          <w:color w:val="000000"/>
          <w:kern w:val="0"/>
          <w:szCs w:val="32"/>
        </w:rPr>
        <w:t>，具体说明如下：</w:t>
      </w:r>
    </w:p>
    <w:p>
      <w:pPr>
        <w:pStyle w:val="3"/>
        <w:pageBreakBefore w:val="0"/>
        <w:widowControl w:val="0"/>
        <w:kinsoku/>
        <w:wordWrap/>
        <w:topLinePunct w:val="0"/>
        <w:autoSpaceDE/>
        <w:autoSpaceDN/>
        <w:bidi w:val="0"/>
        <w:spacing w:line="560" w:lineRule="exact"/>
        <w:ind w:firstLine="643"/>
        <w:textAlignment w:val="auto"/>
        <w:rPr>
          <w:rFonts w:ascii="楷体_GB2312" w:eastAsia="楷体_GB2312"/>
        </w:rPr>
      </w:pPr>
      <w:r>
        <w:rPr>
          <w:rFonts w:hint="eastAsia" w:ascii="楷体_GB2312" w:eastAsia="楷体_GB2312"/>
        </w:rPr>
        <w:t>（一）总体要求</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2"/>
        <w:rPr>
          <w:rFonts w:ascii="仿宋_GB2312" w:hAnsi="宋体" w:cs="宋体"/>
          <w:color w:val="000000"/>
          <w:kern w:val="0"/>
          <w:szCs w:val="32"/>
        </w:rPr>
      </w:pPr>
      <w:r>
        <w:rPr>
          <w:rFonts w:hint="eastAsia" w:ascii="仿宋_GB2312"/>
          <w:color w:val="000000"/>
          <w:szCs w:val="32"/>
        </w:rPr>
        <w:t>本部分共提出两条内容</w:t>
      </w:r>
      <w:r>
        <w:rPr>
          <w:rFonts w:hint="eastAsia" w:ascii="仿宋_GB2312"/>
          <w:color w:val="000000"/>
          <w:szCs w:val="32"/>
          <w:lang w:eastAsia="zh-CN"/>
        </w:rPr>
        <w:t>。</w:t>
      </w:r>
      <w:r>
        <w:rPr>
          <w:rFonts w:hint="eastAsia" w:ascii="仿宋_GB2312" w:hAnsi="宋体" w:cs="宋体"/>
          <w:color w:val="000000"/>
          <w:kern w:val="0"/>
          <w:szCs w:val="32"/>
        </w:rPr>
        <w:t>一是根据习近平总书记关于</w:t>
      </w:r>
      <w:r>
        <w:rPr>
          <w:rFonts w:ascii="仿宋_GB2312" w:hAnsi="宋体" w:cs="宋体"/>
          <w:color w:val="000000"/>
          <w:kern w:val="0"/>
          <w:szCs w:val="32"/>
        </w:rPr>
        <w:t>坚持面向人民生命健康的重大战略</w:t>
      </w:r>
      <w:r>
        <w:rPr>
          <w:rFonts w:hint="eastAsia" w:ascii="仿宋_GB2312" w:hAnsi="宋体" w:cs="宋体"/>
          <w:color w:val="000000"/>
          <w:kern w:val="0"/>
          <w:szCs w:val="32"/>
        </w:rPr>
        <w:t>方向以及深圳市生物医药发展实际，提出了深圳市生物医药发展方向</w:t>
      </w:r>
      <w:r>
        <w:rPr>
          <w:rFonts w:ascii="仿宋_GB2312"/>
          <w:color w:val="000000"/>
          <w:szCs w:val="32"/>
        </w:rPr>
        <w:t>。</w:t>
      </w:r>
      <w:r>
        <w:rPr>
          <w:rFonts w:hint="eastAsia" w:ascii="仿宋_GB2312" w:hAnsi="宋体" w:cs="宋体"/>
          <w:color w:val="000000"/>
          <w:kern w:val="0"/>
          <w:szCs w:val="32"/>
        </w:rPr>
        <w:t>二是结合我市生物医药产业发展态势，明确《若干措施》适用对象</w:t>
      </w:r>
      <w:r>
        <w:rPr>
          <w:rFonts w:ascii="仿宋_GB2312"/>
          <w:color w:val="000000"/>
          <w:szCs w:val="32"/>
        </w:rPr>
        <w:t>。</w:t>
      </w:r>
    </w:p>
    <w:p>
      <w:pPr>
        <w:pStyle w:val="3"/>
        <w:pageBreakBefore w:val="0"/>
        <w:widowControl w:val="0"/>
        <w:kinsoku/>
        <w:wordWrap/>
        <w:topLinePunct w:val="0"/>
        <w:autoSpaceDE/>
        <w:autoSpaceDN/>
        <w:bidi w:val="0"/>
        <w:spacing w:line="560" w:lineRule="exact"/>
        <w:ind w:firstLine="643"/>
        <w:textAlignment w:val="auto"/>
        <w:rPr>
          <w:rFonts w:ascii="楷体_GB2312" w:eastAsia="楷体_GB2312"/>
        </w:rPr>
      </w:pPr>
      <w:r>
        <w:rPr>
          <w:rFonts w:hint="eastAsia" w:ascii="楷体_GB2312" w:eastAsia="楷体_GB2312"/>
        </w:rPr>
        <w:t>（二）鼓励各区错位协同集群发展</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2"/>
        <w:rPr>
          <w:rFonts w:ascii="仿宋_GB2312" w:hAnsi="宋体" w:cs="宋体"/>
          <w:color w:val="000000"/>
          <w:kern w:val="0"/>
          <w:szCs w:val="32"/>
        </w:rPr>
      </w:pPr>
      <w:r>
        <w:rPr>
          <w:rFonts w:hint="eastAsia" w:ascii="仿宋_GB2312"/>
          <w:color w:val="000000"/>
          <w:szCs w:val="32"/>
        </w:rPr>
        <w:t>本部分共提出两条内容</w:t>
      </w:r>
      <w:r>
        <w:rPr>
          <w:rFonts w:hint="eastAsia" w:ascii="仿宋_GB2312"/>
          <w:color w:val="000000"/>
          <w:szCs w:val="32"/>
          <w:lang w:eastAsia="zh-CN"/>
        </w:rPr>
        <w:t>。</w:t>
      </w:r>
      <w:r>
        <w:rPr>
          <w:rFonts w:hint="eastAsia" w:ascii="仿宋_GB2312" w:hAnsi="宋体" w:cs="宋体"/>
          <w:color w:val="000000"/>
          <w:kern w:val="0"/>
          <w:szCs w:val="32"/>
        </w:rPr>
        <w:t>一是</w:t>
      </w:r>
      <w:r>
        <w:rPr>
          <w:rFonts w:hint="eastAsia" w:ascii="仿宋_GB2312" w:hAnsi="KBCDEE+FZFSK--GBK1-0"/>
          <w:szCs w:val="32"/>
        </w:rPr>
        <w:t>引导各区突出功能定位，强调错位发展，鼓励打造多个生物医药产业集群，布局各具特色的生物医药产业园区</w:t>
      </w:r>
      <w:r>
        <w:rPr>
          <w:rFonts w:ascii="仿宋_GB2312"/>
          <w:color w:val="000000"/>
          <w:szCs w:val="32"/>
        </w:rPr>
        <w:t>。</w:t>
      </w:r>
      <w:r>
        <w:rPr>
          <w:rFonts w:hint="eastAsia" w:ascii="仿宋_GB2312" w:hAnsi="KBCDEE+FZFSK--GBK1-0"/>
          <w:szCs w:val="32"/>
        </w:rPr>
        <w:t>二是建立</w:t>
      </w:r>
      <w:r>
        <w:rPr>
          <w:rFonts w:hint="eastAsia"/>
        </w:rPr>
        <w:t>“市区联动”协调机制，</w:t>
      </w:r>
      <w:r>
        <w:rPr>
          <w:rFonts w:ascii="仿宋_GB2312" w:hAnsi="宋体" w:cs="宋体"/>
          <w:color w:val="000000"/>
          <w:kern w:val="0"/>
          <w:szCs w:val="32"/>
        </w:rPr>
        <w:t xml:space="preserve"> </w:t>
      </w:r>
      <w:r>
        <w:rPr>
          <w:rFonts w:hint="eastAsia"/>
        </w:rPr>
        <w:t>由市区两级生物医药产业主管部门组成协调专班，加速推进重点区特色园区建设落地</w:t>
      </w:r>
      <w:r>
        <w:rPr>
          <w:rFonts w:ascii="仿宋_GB2312"/>
          <w:color w:val="000000"/>
          <w:szCs w:val="32"/>
        </w:rPr>
        <w:t>，</w:t>
      </w:r>
      <w:r>
        <w:rPr>
          <w:rFonts w:hint="eastAsia" w:ascii="仿宋_GB2312"/>
          <w:color w:val="000000"/>
          <w:szCs w:val="32"/>
        </w:rPr>
        <w:t>特</w:t>
      </w:r>
      <w:r>
        <w:rPr>
          <w:rFonts w:ascii="仿宋_GB2312"/>
          <w:color w:val="000000"/>
          <w:szCs w:val="32"/>
        </w:rPr>
        <w:t>制定本条措施。</w:t>
      </w:r>
    </w:p>
    <w:p>
      <w:pPr>
        <w:pStyle w:val="3"/>
        <w:pageBreakBefore w:val="0"/>
        <w:widowControl w:val="0"/>
        <w:kinsoku/>
        <w:wordWrap/>
        <w:topLinePunct w:val="0"/>
        <w:autoSpaceDE/>
        <w:autoSpaceDN/>
        <w:bidi w:val="0"/>
        <w:spacing w:line="560" w:lineRule="exact"/>
        <w:ind w:firstLine="643"/>
        <w:textAlignment w:val="auto"/>
        <w:rPr>
          <w:rFonts w:ascii="楷体_GB2312" w:eastAsia="楷体_GB2312"/>
        </w:rPr>
      </w:pPr>
      <w:r>
        <w:rPr>
          <w:rFonts w:hint="eastAsia" w:ascii="楷体_GB2312" w:eastAsia="楷体_GB2312"/>
        </w:rPr>
        <w:t>（三）全面夯实产业基础设施支撑能力</w:t>
      </w:r>
    </w:p>
    <w:p>
      <w:pPr>
        <w:pageBreakBefore w:val="0"/>
        <w:widowControl w:val="0"/>
        <w:kinsoku/>
        <w:wordWrap/>
        <w:topLinePunct w:val="0"/>
        <w:autoSpaceDE/>
        <w:autoSpaceDN/>
        <w:bidi w:val="0"/>
        <w:spacing w:line="560" w:lineRule="exact"/>
        <w:ind w:firstLine="640"/>
        <w:textAlignment w:val="auto"/>
      </w:pPr>
      <w:r>
        <w:rPr>
          <w:rFonts w:hint="eastAsia" w:ascii="仿宋_GB2312"/>
          <w:color w:val="000000"/>
          <w:szCs w:val="32"/>
        </w:rPr>
        <w:t>本部分共提出三条内容</w:t>
      </w:r>
      <w:r>
        <w:rPr>
          <w:rFonts w:hint="eastAsia" w:ascii="仿宋_GB2312"/>
          <w:color w:val="000000"/>
          <w:szCs w:val="32"/>
          <w:lang w:eastAsia="zh-CN"/>
        </w:rPr>
        <w:t>。</w:t>
      </w:r>
      <w:r>
        <w:rPr>
          <w:rFonts w:hint="eastAsia" w:ascii="仿宋_GB2312"/>
          <w:color w:val="000000"/>
          <w:szCs w:val="32"/>
        </w:rPr>
        <w:t>一是借鉴</w:t>
      </w:r>
      <w:r>
        <w:rPr>
          <w:rFonts w:hint="eastAsia"/>
        </w:rPr>
        <w:t>苏州、成都发展经验，结合深圳市生物医药产业发展需求，设立相关生物医药产业促进中心，</w:t>
      </w:r>
      <w:r>
        <w:t>全方位协调推进</w:t>
      </w:r>
      <w:r>
        <w:rPr>
          <w:rFonts w:hint="eastAsia"/>
        </w:rPr>
        <w:t>深圳</w:t>
      </w:r>
      <w:r>
        <w:t>生物医药产业高质量发展</w:t>
      </w:r>
      <w:r>
        <w:rPr>
          <w:rFonts w:ascii="仿宋_GB2312"/>
          <w:color w:val="000000"/>
          <w:szCs w:val="32"/>
        </w:rPr>
        <w:t>，</w:t>
      </w:r>
      <w:r>
        <w:rPr>
          <w:rFonts w:hint="eastAsia" w:ascii="仿宋_GB2312"/>
          <w:color w:val="000000"/>
          <w:szCs w:val="32"/>
        </w:rPr>
        <w:t>特</w:t>
      </w:r>
      <w:r>
        <w:rPr>
          <w:rFonts w:ascii="仿宋_GB2312"/>
          <w:color w:val="000000"/>
          <w:szCs w:val="32"/>
        </w:rPr>
        <w:t>制定本条措施。</w:t>
      </w:r>
      <w:r>
        <w:rPr>
          <w:rFonts w:hint="eastAsia"/>
        </w:rPr>
        <w:t>二是引导和支持国家级生物医药产业技术创新中心、高级别实验室等国家级平台建设、运营，为其提供配套资金和稳定的运营经费</w:t>
      </w:r>
      <w:r>
        <w:rPr>
          <w:rFonts w:ascii="仿宋_GB2312"/>
          <w:color w:val="000000"/>
          <w:szCs w:val="32"/>
        </w:rPr>
        <w:t>。</w:t>
      </w:r>
      <w:r>
        <w:rPr>
          <w:rFonts w:hint="eastAsia"/>
        </w:rPr>
        <w:t>三是引导和支持省市级产业服务平台建设、运营，为平台服务提供补贴并对其新增投入予以资助</w:t>
      </w:r>
      <w:r>
        <w:rPr>
          <w:rFonts w:ascii="仿宋_GB2312"/>
          <w:color w:val="000000"/>
          <w:szCs w:val="32"/>
        </w:rPr>
        <w:t>，</w:t>
      </w:r>
      <w:r>
        <w:rPr>
          <w:rFonts w:hint="eastAsia" w:ascii="仿宋_GB2312"/>
          <w:color w:val="000000"/>
          <w:szCs w:val="32"/>
        </w:rPr>
        <w:t>特</w:t>
      </w:r>
      <w:r>
        <w:rPr>
          <w:rFonts w:ascii="仿宋_GB2312"/>
          <w:color w:val="000000"/>
          <w:szCs w:val="32"/>
        </w:rPr>
        <w:t>制定本条措施。</w:t>
      </w:r>
    </w:p>
    <w:p>
      <w:pPr>
        <w:pStyle w:val="3"/>
        <w:pageBreakBefore w:val="0"/>
        <w:widowControl w:val="0"/>
        <w:kinsoku/>
        <w:wordWrap/>
        <w:topLinePunct w:val="0"/>
        <w:autoSpaceDE/>
        <w:autoSpaceDN/>
        <w:bidi w:val="0"/>
        <w:spacing w:line="560" w:lineRule="exact"/>
        <w:ind w:firstLine="643"/>
        <w:textAlignment w:val="auto"/>
        <w:rPr>
          <w:rFonts w:ascii="楷体_GB2312" w:eastAsia="楷体_GB2312"/>
        </w:rPr>
      </w:pPr>
      <w:r>
        <w:rPr>
          <w:rFonts w:hint="eastAsia" w:ascii="楷体_GB2312" w:eastAsia="楷体_GB2312"/>
        </w:rPr>
        <w:t>（四）全面提升产品研制支持力度</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2"/>
        <w:rPr>
          <w:rFonts w:hint="eastAsia" w:ascii="仿宋_GB2312" w:hAnsi="宋体" w:cs="宋体"/>
          <w:bCs/>
          <w:color w:val="000000"/>
          <w:kern w:val="0"/>
          <w:szCs w:val="32"/>
        </w:rPr>
      </w:pPr>
      <w:r>
        <w:rPr>
          <w:rFonts w:hint="eastAsia" w:ascii="仿宋_GB2312" w:hAnsi="宋体" w:cs="宋体"/>
          <w:bCs/>
          <w:color w:val="000000"/>
          <w:kern w:val="0"/>
          <w:szCs w:val="32"/>
        </w:rPr>
        <w:t>本部分共提出两条内容</w:t>
      </w:r>
      <w:r>
        <w:rPr>
          <w:rFonts w:hint="eastAsia" w:ascii="仿宋_GB2312" w:hAnsi="宋体" w:cs="宋体"/>
          <w:bCs/>
          <w:color w:val="000000"/>
          <w:kern w:val="0"/>
          <w:szCs w:val="32"/>
          <w:lang w:eastAsia="zh-CN"/>
        </w:rPr>
        <w:t>。</w:t>
      </w:r>
      <w:r>
        <w:rPr>
          <w:rFonts w:hint="eastAsia" w:ascii="仿宋_GB2312" w:hAnsi="宋体" w:cs="宋体"/>
          <w:bCs/>
          <w:color w:val="000000"/>
          <w:kern w:val="0"/>
          <w:szCs w:val="32"/>
        </w:rPr>
        <w:t>一是支持重大技术攻关，对于生物医药“卡脖子”技术攻关和有望解决重大临床需求与市场需求的前沿领域高水平基础研究予以资金支持。二是支持药物研发成果转化，根据药品研发进度分阶段进行资助，尤其加大支持创新药研发支持力度</w:t>
      </w:r>
      <w:r>
        <w:rPr>
          <w:rFonts w:hint="eastAsia" w:ascii="仿宋_GB2312" w:hAnsi="宋体" w:cs="宋体"/>
          <w:bCs/>
          <w:color w:val="000000"/>
          <w:kern w:val="0"/>
          <w:szCs w:val="32"/>
          <w:lang w:eastAsia="zh-CN"/>
        </w:rPr>
        <w:t>，</w:t>
      </w:r>
      <w:r>
        <w:rPr>
          <w:rFonts w:hint="eastAsia" w:ascii="仿宋_GB2312" w:hAnsi="宋体" w:cs="宋体"/>
          <w:bCs/>
          <w:color w:val="000000"/>
          <w:kern w:val="0"/>
          <w:szCs w:val="32"/>
        </w:rPr>
        <w:t>提高我市创新药研发能力；支持企业在F</w:t>
      </w:r>
      <w:r>
        <w:rPr>
          <w:rFonts w:ascii="仿宋_GB2312" w:hAnsi="宋体" w:cs="宋体"/>
          <w:bCs/>
          <w:color w:val="000000"/>
          <w:kern w:val="0"/>
          <w:szCs w:val="32"/>
        </w:rPr>
        <w:t>DA</w:t>
      </w:r>
      <w:r>
        <w:rPr>
          <w:rFonts w:hint="eastAsia" w:ascii="仿宋_GB2312" w:hAnsi="宋体" w:cs="宋体"/>
          <w:bCs/>
          <w:color w:val="000000"/>
          <w:kern w:val="0"/>
          <w:szCs w:val="32"/>
        </w:rPr>
        <w:t>、E</w:t>
      </w:r>
      <w:r>
        <w:rPr>
          <w:rFonts w:ascii="仿宋_GB2312" w:hAnsi="宋体" w:cs="宋体"/>
          <w:bCs/>
          <w:color w:val="000000"/>
          <w:kern w:val="0"/>
          <w:szCs w:val="32"/>
        </w:rPr>
        <w:t>MA</w:t>
      </w:r>
      <w:r>
        <w:rPr>
          <w:rFonts w:hint="eastAsia" w:ascii="仿宋_GB2312" w:hAnsi="宋体" w:cs="宋体"/>
          <w:bCs/>
          <w:color w:val="000000"/>
          <w:kern w:val="0"/>
          <w:szCs w:val="32"/>
        </w:rPr>
        <w:t>、P</w:t>
      </w:r>
      <w:r>
        <w:rPr>
          <w:rFonts w:ascii="仿宋_GB2312" w:hAnsi="宋体" w:cs="宋体"/>
          <w:bCs/>
          <w:color w:val="000000"/>
          <w:kern w:val="0"/>
          <w:szCs w:val="32"/>
        </w:rPr>
        <w:t>MDA</w:t>
      </w:r>
      <w:r>
        <w:rPr>
          <w:rFonts w:hint="eastAsia" w:ascii="仿宋_GB2312" w:hAnsi="宋体" w:cs="宋体"/>
          <w:bCs/>
          <w:color w:val="000000"/>
          <w:kern w:val="0"/>
          <w:szCs w:val="32"/>
        </w:rPr>
        <w:t>获得境外上市资质，支持产品出海；对本市企业使用本市C</w:t>
      </w:r>
      <w:r>
        <w:rPr>
          <w:rFonts w:ascii="仿宋_GB2312" w:hAnsi="宋体" w:cs="宋体"/>
          <w:bCs/>
          <w:color w:val="000000"/>
          <w:kern w:val="0"/>
          <w:szCs w:val="32"/>
        </w:rPr>
        <w:t>RO</w:t>
      </w:r>
      <w:r>
        <w:rPr>
          <w:rFonts w:hint="eastAsia" w:ascii="仿宋_GB2312" w:hAnsi="宋体" w:cs="宋体"/>
          <w:bCs/>
          <w:color w:val="000000"/>
          <w:kern w:val="0"/>
          <w:szCs w:val="32"/>
        </w:rPr>
        <w:t>或临床试验机构服务的，予以奖励，做大做强本市临床服务和C</w:t>
      </w:r>
      <w:r>
        <w:rPr>
          <w:rFonts w:ascii="仿宋_GB2312" w:hAnsi="宋体" w:cs="宋体"/>
          <w:bCs/>
          <w:color w:val="000000"/>
          <w:kern w:val="0"/>
          <w:szCs w:val="32"/>
        </w:rPr>
        <w:t>RO</w:t>
      </w:r>
      <w:r>
        <w:rPr>
          <w:rFonts w:hint="eastAsia" w:ascii="仿宋_GB2312" w:hAnsi="宋体" w:cs="宋体"/>
          <w:bCs/>
          <w:color w:val="000000"/>
          <w:kern w:val="0"/>
          <w:szCs w:val="32"/>
        </w:rPr>
        <w:t>服务</w:t>
      </w:r>
      <w:r>
        <w:rPr>
          <w:rFonts w:hint="eastAsia" w:ascii="仿宋_GB2312"/>
          <w:color w:val="000000"/>
          <w:szCs w:val="32"/>
        </w:rPr>
        <w:t>。</w:t>
      </w:r>
    </w:p>
    <w:p>
      <w:pPr>
        <w:pStyle w:val="3"/>
        <w:pageBreakBefore w:val="0"/>
        <w:widowControl w:val="0"/>
        <w:kinsoku/>
        <w:wordWrap/>
        <w:topLinePunct w:val="0"/>
        <w:autoSpaceDE/>
        <w:autoSpaceDN/>
        <w:bidi w:val="0"/>
        <w:spacing w:line="560" w:lineRule="exact"/>
        <w:ind w:firstLine="643"/>
        <w:textAlignment w:val="auto"/>
        <w:rPr>
          <w:rFonts w:ascii="楷体_GB2312" w:eastAsia="楷体_GB2312"/>
        </w:rPr>
      </w:pPr>
      <w:r>
        <w:rPr>
          <w:rFonts w:hint="eastAsia" w:ascii="楷体_GB2312" w:eastAsia="楷体_GB2312"/>
        </w:rPr>
        <w:t>（五）强化临床研究转化与医企协同</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2"/>
        <w:rPr>
          <w:rFonts w:hint="eastAsia" w:ascii="仿宋_GB2312" w:hAnsi="宋体" w:cs="宋体"/>
          <w:bCs/>
          <w:color w:val="000000"/>
          <w:kern w:val="0"/>
          <w:szCs w:val="32"/>
        </w:rPr>
      </w:pPr>
      <w:r>
        <w:rPr>
          <w:rFonts w:hint="eastAsia" w:ascii="仿宋_GB2312" w:hAnsi="宋体" w:cs="宋体"/>
          <w:bCs/>
          <w:color w:val="000000"/>
          <w:kern w:val="0"/>
          <w:szCs w:val="32"/>
        </w:rPr>
        <w:t>本部分共提出四条内容</w:t>
      </w:r>
      <w:r>
        <w:rPr>
          <w:rFonts w:hint="eastAsia" w:ascii="仿宋_GB2312" w:hAnsi="宋体" w:cs="宋体"/>
          <w:bCs/>
          <w:color w:val="000000"/>
          <w:kern w:val="0"/>
          <w:szCs w:val="32"/>
          <w:lang w:eastAsia="zh-CN"/>
        </w:rPr>
        <w:t>。</w:t>
      </w:r>
      <w:r>
        <w:rPr>
          <w:rFonts w:hint="eastAsia" w:ascii="仿宋_GB2312" w:hAnsi="宋体" w:cs="宋体"/>
          <w:bCs/>
          <w:color w:val="000000"/>
          <w:kern w:val="0"/>
          <w:szCs w:val="32"/>
        </w:rPr>
        <w:t>一是支持临床试验机构资质认定，尤其是提高I期临床研究病房的补贴，并将临床试验机构的条件和能力纳入医疗机构等级评审；支持医疗机构使用创新药，提高创新药在本市使用比例，并且不</w:t>
      </w:r>
      <w:r>
        <w:rPr>
          <w:rFonts w:hint="eastAsia" w:ascii="仿宋_GB2312" w:hAnsi="宋体" w:cs="宋体"/>
          <w:bCs/>
          <w:color w:val="000000"/>
          <w:kern w:val="0"/>
          <w:szCs w:val="32"/>
          <w:lang w:eastAsia="zh-CN"/>
        </w:rPr>
        <w:t>将</w:t>
      </w:r>
      <w:r>
        <w:rPr>
          <w:rFonts w:hint="eastAsia" w:ascii="仿宋_GB2312" w:hAnsi="宋体" w:cs="宋体"/>
          <w:bCs/>
          <w:color w:val="000000"/>
          <w:kern w:val="0"/>
          <w:szCs w:val="32"/>
        </w:rPr>
        <w:t>创新药占比纳入考核，全面支持创新药进院；支持</w:t>
      </w:r>
      <w:r>
        <w:rPr>
          <w:rFonts w:hint="eastAsia" w:ascii="仿宋_GB2312"/>
          <w:color w:val="000000"/>
          <w:szCs w:val="32"/>
        </w:rPr>
        <w:t>“卫健—医保—企业”建立面对面沟通机制，提升沟通效率，对于生物医药产品责任险予以补贴，降低企业研发风险。二是建立医疗机构开展临床研究的激励机制，消除病床效益、周转率、使用率、医务人员绩效限制等束缚，激励医疗机构开展临床试验；支持组建专业临床研究联盟，提供</w:t>
      </w:r>
      <w:r>
        <w:rPr>
          <w:rFonts w:hint="eastAsia"/>
          <w:szCs w:val="32"/>
        </w:rPr>
        <w:t>试行伦理审查结果互认制度，有效减少临床试验重复审批，</w:t>
      </w:r>
      <w:r>
        <w:rPr>
          <w:rFonts w:hint="eastAsia" w:ascii="仿宋_GB2312"/>
          <w:color w:val="000000"/>
          <w:szCs w:val="32"/>
        </w:rPr>
        <w:t>缩短创新产品研发周期。</w:t>
      </w:r>
      <w:r>
        <w:rPr>
          <w:rFonts w:hint="eastAsia" w:ascii="仿宋_GB2312" w:hAnsi="宋体" w:cs="宋体"/>
          <w:bCs/>
          <w:color w:val="000000"/>
          <w:kern w:val="0"/>
          <w:szCs w:val="32"/>
        </w:rPr>
        <w:t>三是支持完善卫生健康大数据相关采集分类等标准，建设医疗大数据开放基础设施,优化样本共享机制</w:t>
      </w:r>
      <w:r>
        <w:rPr>
          <w:rFonts w:hint="eastAsia" w:ascii="仿宋_GB2312"/>
          <w:color w:val="000000"/>
          <w:szCs w:val="32"/>
        </w:rPr>
        <w:t>。</w:t>
      </w:r>
      <w:r>
        <w:rPr>
          <w:rFonts w:hint="eastAsia" w:ascii="仿宋_GB2312" w:hAnsi="宋体" w:cs="宋体"/>
          <w:bCs/>
          <w:color w:val="000000"/>
          <w:kern w:val="0"/>
          <w:szCs w:val="32"/>
        </w:rPr>
        <w:t>四是</w:t>
      </w:r>
      <w:r>
        <w:rPr>
          <w:rFonts w:hint="eastAsia" w:ascii="仿宋_GB2312"/>
          <w:color w:val="000000"/>
          <w:szCs w:val="32"/>
        </w:rPr>
        <w:t>支持企业与医疗机构共同完成临床试验，建设数字化临床试验管理平台，开展临床实验拓展性同情使用，支持医疗机构挂牌临床研究</w:t>
      </w:r>
      <w:r>
        <w:rPr>
          <w:rFonts w:hint="eastAsia" w:ascii="仿宋_GB2312"/>
          <w:color w:val="000000"/>
          <w:szCs w:val="32"/>
          <w:lang w:eastAsia="zh-CN"/>
        </w:rPr>
        <w:t>中心</w:t>
      </w:r>
      <w:r>
        <w:rPr>
          <w:rFonts w:hint="eastAsia" w:ascii="仿宋_GB2312"/>
          <w:color w:val="000000"/>
          <w:szCs w:val="32"/>
        </w:rPr>
        <w:t>，提升产医融合创新能力。</w:t>
      </w:r>
    </w:p>
    <w:p>
      <w:pPr>
        <w:pStyle w:val="3"/>
        <w:pageBreakBefore w:val="0"/>
        <w:widowControl w:val="0"/>
        <w:kinsoku/>
        <w:wordWrap/>
        <w:topLinePunct w:val="0"/>
        <w:autoSpaceDE/>
        <w:autoSpaceDN/>
        <w:bidi w:val="0"/>
        <w:spacing w:line="560" w:lineRule="exact"/>
        <w:ind w:firstLine="643"/>
        <w:textAlignment w:val="auto"/>
        <w:rPr>
          <w:rFonts w:ascii="楷体_GB2312" w:eastAsia="楷体_GB2312"/>
        </w:rPr>
      </w:pPr>
      <w:r>
        <w:rPr>
          <w:rFonts w:hint="eastAsia" w:ascii="楷体_GB2312" w:eastAsia="楷体_GB2312"/>
        </w:rPr>
        <w:t>（六）加速医药审批进程</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2"/>
        <w:rPr>
          <w:rFonts w:ascii="仿宋_GB2312" w:hAnsi="黑体"/>
          <w:szCs w:val="32"/>
        </w:rPr>
      </w:pPr>
      <w:r>
        <w:rPr>
          <w:rFonts w:hint="eastAsia" w:ascii="仿宋_GB2312" w:hAnsi="宋体" w:cs="宋体"/>
          <w:bCs/>
          <w:color w:val="000000"/>
          <w:kern w:val="0"/>
          <w:szCs w:val="32"/>
        </w:rPr>
        <w:t>本部分共提出两条内容</w:t>
      </w:r>
      <w:r>
        <w:rPr>
          <w:rFonts w:hint="eastAsia" w:ascii="仿宋_GB2312" w:hAnsi="宋体" w:cs="宋体"/>
          <w:bCs/>
          <w:color w:val="000000"/>
          <w:kern w:val="0"/>
          <w:szCs w:val="32"/>
          <w:lang w:eastAsia="zh-CN"/>
        </w:rPr>
        <w:t>。</w:t>
      </w:r>
      <w:r>
        <w:rPr>
          <w:rFonts w:hint="eastAsia" w:ascii="仿宋_GB2312" w:hAnsi="宋体" w:cs="宋体"/>
          <w:bCs/>
          <w:color w:val="000000"/>
          <w:kern w:val="0"/>
          <w:szCs w:val="32"/>
        </w:rPr>
        <w:t>一是充分发挥大湾区分中心优势，明确临床前会议沟通安排时限，畅通药品进入临床前的会议沟通机制</w:t>
      </w:r>
      <w:r>
        <w:rPr>
          <w:rFonts w:hint="eastAsia" w:ascii="仿宋_GB2312"/>
          <w:color w:val="000000"/>
          <w:szCs w:val="32"/>
        </w:rPr>
        <w:t>。</w:t>
      </w:r>
      <w:r>
        <w:rPr>
          <w:rFonts w:hint="eastAsia" w:ascii="仿宋_GB2312" w:hAnsi="宋体" w:cs="宋体"/>
          <w:bCs/>
          <w:color w:val="000000"/>
          <w:kern w:val="0"/>
          <w:szCs w:val="32"/>
        </w:rPr>
        <w:t>二是支持</w:t>
      </w:r>
      <w:r>
        <w:rPr>
          <w:rFonts w:hint="eastAsia" w:ascii="仿宋_GB2312" w:hAnsi="黑体"/>
          <w:szCs w:val="32"/>
        </w:rPr>
        <w:t>申请国家下放港澳已上市药品在本市上市的审批权限</w:t>
      </w:r>
      <w:r>
        <w:rPr>
          <w:rFonts w:hint="eastAsia" w:ascii="仿宋_GB2312"/>
          <w:color w:val="000000"/>
          <w:szCs w:val="32"/>
        </w:rPr>
        <w:t>，</w:t>
      </w:r>
      <w:r>
        <w:rPr>
          <w:rFonts w:hint="eastAsia" w:ascii="仿宋_GB2312" w:hAnsi="黑体"/>
          <w:szCs w:val="32"/>
        </w:rPr>
        <w:t>规范已在港澳上市未在内地上市的药品在本市上市的审评审批流程，推动港澳已上市药品在本市上市使用</w:t>
      </w:r>
      <w:r>
        <w:rPr>
          <w:rFonts w:hint="eastAsia" w:ascii="仿宋_GB2312"/>
          <w:color w:val="000000"/>
          <w:szCs w:val="32"/>
        </w:rPr>
        <w:t>。</w:t>
      </w:r>
    </w:p>
    <w:p>
      <w:pPr>
        <w:pStyle w:val="3"/>
        <w:pageBreakBefore w:val="0"/>
        <w:widowControl w:val="0"/>
        <w:kinsoku/>
        <w:wordWrap/>
        <w:topLinePunct w:val="0"/>
        <w:autoSpaceDE/>
        <w:autoSpaceDN/>
        <w:bidi w:val="0"/>
        <w:spacing w:line="560" w:lineRule="exact"/>
        <w:ind w:firstLine="643"/>
        <w:textAlignment w:val="auto"/>
        <w:rPr>
          <w:rFonts w:ascii="楷体_GB2312" w:eastAsia="楷体_GB2312"/>
        </w:rPr>
      </w:pPr>
      <w:r>
        <w:rPr>
          <w:rFonts w:hint="eastAsia" w:ascii="楷体_GB2312" w:eastAsia="楷体_GB2312"/>
        </w:rPr>
        <w:t>（七）大力提升“深圳制造”能力</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2"/>
        <w:rPr>
          <w:rFonts w:hint="eastAsia" w:ascii="仿宋_GB2312" w:hAnsi="宋体" w:cs="宋体"/>
          <w:bCs/>
          <w:color w:val="000000"/>
          <w:kern w:val="0"/>
          <w:szCs w:val="32"/>
        </w:rPr>
      </w:pPr>
      <w:r>
        <w:rPr>
          <w:rFonts w:hint="eastAsia" w:ascii="仿宋_GB2312" w:hAnsi="宋体" w:cs="宋体"/>
          <w:bCs/>
          <w:color w:val="000000"/>
          <w:kern w:val="0"/>
          <w:szCs w:val="32"/>
        </w:rPr>
        <w:t>本部分共提出五条内容</w:t>
      </w:r>
      <w:r>
        <w:rPr>
          <w:rFonts w:hint="eastAsia" w:ascii="仿宋_GB2312" w:hAnsi="宋体" w:cs="宋体"/>
          <w:bCs/>
          <w:color w:val="000000"/>
          <w:kern w:val="0"/>
          <w:szCs w:val="32"/>
          <w:lang w:eastAsia="zh-CN"/>
        </w:rPr>
        <w:t>。</w:t>
      </w:r>
      <w:r>
        <w:rPr>
          <w:rFonts w:hint="eastAsia" w:ascii="仿宋_GB2312" w:hAnsi="宋体" w:cs="宋体"/>
          <w:bCs/>
          <w:color w:val="000000"/>
          <w:kern w:val="0"/>
          <w:szCs w:val="32"/>
        </w:rPr>
        <w:t>一是支持生物医药技术及产品在本市产业化，根据产品的创新程度不同</w:t>
      </w:r>
      <w:r>
        <w:rPr>
          <w:rFonts w:hint="eastAsia" w:ascii="仿宋_GB2312" w:hAnsi="宋体" w:cs="宋体"/>
          <w:bCs/>
          <w:color w:val="000000"/>
          <w:kern w:val="0"/>
          <w:szCs w:val="32"/>
          <w:lang w:eastAsia="zh-CN"/>
        </w:rPr>
        <w:t>予以</w:t>
      </w:r>
      <w:r>
        <w:rPr>
          <w:rFonts w:hint="eastAsia" w:ascii="仿宋_GB2312" w:hAnsi="宋体" w:cs="宋体"/>
          <w:bCs/>
          <w:color w:val="000000"/>
          <w:kern w:val="0"/>
          <w:szCs w:val="32"/>
        </w:rPr>
        <w:t>差异化支持，并支持药品上市许可持有人委托本市企业实现产业化</w:t>
      </w:r>
      <w:r>
        <w:rPr>
          <w:rFonts w:hint="eastAsia" w:ascii="仿宋_GB2312"/>
          <w:color w:val="000000"/>
          <w:szCs w:val="32"/>
        </w:rPr>
        <w:t>。</w:t>
      </w:r>
      <w:r>
        <w:rPr>
          <w:rFonts w:hint="eastAsia" w:ascii="仿宋_GB2312" w:hAnsi="宋体" w:cs="宋体"/>
          <w:bCs/>
          <w:color w:val="000000"/>
          <w:kern w:val="0"/>
          <w:szCs w:val="32"/>
        </w:rPr>
        <w:t>二是支持产品进入带量采购，</w:t>
      </w:r>
      <w:r>
        <w:rPr>
          <w:rFonts w:hint="eastAsia" w:ascii="仿宋_GB2312" w:hAnsi="黑体"/>
          <w:szCs w:val="32"/>
        </w:rPr>
        <w:t>对于进入国家药品集中带量采购并有品种中标的企业予以采购金额的一定比例补贴，支持企业拓展全国市场</w:t>
      </w:r>
      <w:r>
        <w:rPr>
          <w:rFonts w:hint="eastAsia" w:ascii="仿宋_GB2312"/>
          <w:color w:val="000000"/>
          <w:szCs w:val="32"/>
        </w:rPr>
        <w:t>。</w:t>
      </w:r>
      <w:r>
        <w:rPr>
          <w:rFonts w:hint="eastAsia" w:ascii="仿宋_GB2312" w:hAnsi="宋体" w:cs="宋体"/>
          <w:bCs/>
          <w:color w:val="000000"/>
          <w:kern w:val="0"/>
          <w:szCs w:val="32"/>
        </w:rPr>
        <w:t>三是支持运用工业互联网、大数据、信息化、人工智能等技术改造工艺的企业</w:t>
      </w:r>
      <w:r>
        <w:rPr>
          <w:rFonts w:hint="eastAsia" w:ascii="仿宋_GB2312" w:hAnsi="黑体"/>
          <w:szCs w:val="32"/>
        </w:rPr>
        <w:t>，</w:t>
      </w:r>
      <w:r>
        <w:rPr>
          <w:rFonts w:hint="eastAsia" w:ascii="仿宋_GB2312" w:hAnsi="KBCDEE+FZFSK--GBK1-0"/>
          <w:szCs w:val="32"/>
        </w:rPr>
        <w:t>推动制造业绿色化、数字化、智能化转型；</w:t>
      </w:r>
      <w:r>
        <w:rPr>
          <w:rFonts w:hint="eastAsia" w:ascii="仿宋_GB2312" w:hAnsi="黑体"/>
          <w:szCs w:val="32"/>
        </w:rPr>
        <w:t>鼓励企业的</w:t>
      </w:r>
      <w:r>
        <w:rPr>
          <w:rFonts w:hint="eastAsia" w:ascii="仿宋_GB2312" w:hAnsi="KBCDEE+FZFSK--GBK1-0"/>
          <w:szCs w:val="32"/>
        </w:rPr>
        <w:t>生产装备与材料国产化，切实提升我国制造业产业链自主可控</w:t>
      </w:r>
      <w:r>
        <w:rPr>
          <w:rFonts w:hint="eastAsia" w:ascii="仿宋_GB2312"/>
          <w:color w:val="000000"/>
          <w:szCs w:val="32"/>
        </w:rPr>
        <w:t>。</w:t>
      </w:r>
      <w:r>
        <w:rPr>
          <w:rFonts w:hint="eastAsia" w:ascii="仿宋_GB2312" w:hAnsi="宋体" w:cs="宋体"/>
          <w:bCs/>
          <w:color w:val="000000"/>
          <w:kern w:val="0"/>
          <w:szCs w:val="32"/>
        </w:rPr>
        <w:t>四是支持生物医药企业通过发达国家生物医药G</w:t>
      </w:r>
      <w:r>
        <w:rPr>
          <w:rFonts w:ascii="仿宋_GB2312" w:hAnsi="宋体" w:cs="宋体"/>
          <w:bCs/>
          <w:color w:val="000000"/>
          <w:kern w:val="0"/>
          <w:szCs w:val="32"/>
        </w:rPr>
        <w:t>MP</w:t>
      </w:r>
      <w:r>
        <w:rPr>
          <w:rFonts w:hint="eastAsia" w:ascii="仿宋_GB2312" w:hAnsi="宋体" w:cs="宋体"/>
          <w:bCs/>
          <w:color w:val="000000"/>
          <w:kern w:val="0"/>
          <w:szCs w:val="32"/>
        </w:rPr>
        <w:t>认证，支持 “深圳制造”产品走向全球</w:t>
      </w:r>
      <w:r>
        <w:rPr>
          <w:rFonts w:hint="eastAsia" w:ascii="仿宋_GB2312"/>
          <w:color w:val="000000"/>
          <w:szCs w:val="32"/>
        </w:rPr>
        <w:t>。</w:t>
      </w:r>
      <w:r>
        <w:rPr>
          <w:rFonts w:hint="eastAsia" w:ascii="仿宋_GB2312" w:hAnsi="宋体" w:cs="宋体"/>
          <w:bCs/>
          <w:color w:val="000000"/>
          <w:kern w:val="0"/>
          <w:szCs w:val="32"/>
        </w:rPr>
        <w:t>五是支持国际化项目引进，</w:t>
      </w:r>
      <w:r>
        <w:rPr>
          <w:rFonts w:hint="eastAsia" w:ascii="仿宋_GB2312" w:hAnsi="黑体"/>
          <w:szCs w:val="32"/>
        </w:rPr>
        <w:t>推动“深圳制造”能力提升</w:t>
      </w:r>
      <w:r>
        <w:rPr>
          <w:rFonts w:hint="eastAsia" w:ascii="仿宋_GB2312"/>
          <w:color w:val="000000"/>
          <w:szCs w:val="32"/>
        </w:rPr>
        <w:t>。</w:t>
      </w:r>
    </w:p>
    <w:p>
      <w:pPr>
        <w:pStyle w:val="3"/>
        <w:pageBreakBefore w:val="0"/>
        <w:widowControl w:val="0"/>
        <w:kinsoku/>
        <w:wordWrap/>
        <w:topLinePunct w:val="0"/>
        <w:autoSpaceDE/>
        <w:autoSpaceDN/>
        <w:bidi w:val="0"/>
        <w:spacing w:line="560" w:lineRule="exact"/>
        <w:ind w:firstLine="643"/>
        <w:textAlignment w:val="auto"/>
        <w:rPr>
          <w:rFonts w:ascii="楷体_GB2312" w:eastAsia="楷体_GB2312"/>
        </w:rPr>
      </w:pPr>
      <w:r>
        <w:rPr>
          <w:rFonts w:hint="eastAsia" w:ascii="楷体_GB2312" w:eastAsia="楷体_GB2312"/>
        </w:rPr>
        <w:t>（八）加快创新产品应用推广</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2"/>
        <w:rPr>
          <w:rFonts w:hint="eastAsia" w:ascii="仿宋_GB2312" w:hAnsi="宋体" w:cs="宋体"/>
          <w:bCs/>
          <w:color w:val="000000"/>
          <w:kern w:val="0"/>
          <w:szCs w:val="32"/>
        </w:rPr>
      </w:pPr>
      <w:r>
        <w:rPr>
          <w:rFonts w:hint="eastAsia" w:ascii="仿宋_GB2312" w:hAnsi="宋体" w:cs="宋体"/>
          <w:bCs/>
          <w:color w:val="000000"/>
          <w:kern w:val="0"/>
          <w:szCs w:val="32"/>
        </w:rPr>
        <w:t>本部分共提出四条内容</w:t>
      </w:r>
      <w:r>
        <w:rPr>
          <w:rFonts w:hint="eastAsia" w:ascii="仿宋_GB2312" w:hAnsi="宋体" w:cs="宋体"/>
          <w:bCs/>
          <w:color w:val="000000"/>
          <w:kern w:val="0"/>
          <w:szCs w:val="32"/>
          <w:lang w:eastAsia="zh-CN"/>
        </w:rPr>
        <w:t>。</w:t>
      </w:r>
      <w:r>
        <w:rPr>
          <w:rFonts w:hint="eastAsia" w:ascii="仿宋_GB2312" w:hAnsi="宋体" w:cs="宋体"/>
          <w:bCs/>
          <w:color w:val="000000"/>
          <w:kern w:val="0"/>
          <w:szCs w:val="32"/>
        </w:rPr>
        <w:t>一是</w:t>
      </w:r>
      <w:r>
        <w:t>学习借鉴</w:t>
      </w:r>
      <w:r>
        <w:rPr>
          <w:rFonts w:hint="eastAsia"/>
        </w:rPr>
        <w:t>上海经验，支持成立医疗机构药事管理与药物治疗学委员会，推动“双通道”政策落地，加速本市创新药入院进程</w:t>
      </w:r>
      <w:r>
        <w:rPr>
          <w:rFonts w:hint="eastAsia" w:ascii="仿宋_GB2312"/>
          <w:color w:val="000000"/>
          <w:szCs w:val="32"/>
        </w:rPr>
        <w:t>。</w:t>
      </w:r>
      <w:r>
        <w:rPr>
          <w:rFonts w:hint="eastAsia" w:ascii="仿宋_GB2312" w:hAnsi="宋体" w:cs="宋体"/>
          <w:bCs/>
          <w:color w:val="000000"/>
          <w:kern w:val="0"/>
          <w:szCs w:val="32"/>
        </w:rPr>
        <w:t>二是对于药品年销售收入突破一定额度予以奖励</w:t>
      </w:r>
      <w:r>
        <w:rPr>
          <w:rFonts w:hint="eastAsia" w:ascii="仿宋_GB2312" w:hAnsi="黑体"/>
          <w:szCs w:val="32"/>
        </w:rPr>
        <w:t>，</w:t>
      </w:r>
      <w:r>
        <w:rPr>
          <w:rFonts w:hint="eastAsia" w:ascii="仿宋_GB2312" w:hAnsi="宋体" w:cs="宋体"/>
          <w:bCs/>
          <w:color w:val="000000"/>
          <w:kern w:val="0"/>
          <w:szCs w:val="32"/>
        </w:rPr>
        <w:t>支持品种做大做强</w:t>
      </w:r>
      <w:r>
        <w:rPr>
          <w:rFonts w:hint="eastAsia" w:ascii="仿宋_GB2312"/>
          <w:color w:val="000000"/>
          <w:szCs w:val="32"/>
        </w:rPr>
        <w:t>。</w:t>
      </w:r>
      <w:r>
        <w:rPr>
          <w:rFonts w:hint="eastAsia" w:ascii="仿宋_GB2312" w:hAnsi="宋体" w:cs="宋体"/>
          <w:bCs/>
          <w:color w:val="000000"/>
          <w:kern w:val="0"/>
          <w:szCs w:val="32"/>
        </w:rPr>
        <w:t>三是提高医保体系对创新产品的应用支撑作用，支持本市《深圳市重特大疾病补充医疗保险药品目录》纳入重大疾病治疗相关的本市创新药</w:t>
      </w:r>
      <w:r>
        <w:rPr>
          <w:rFonts w:hint="eastAsia" w:ascii="仿宋_GB2312" w:hAnsi="黑体"/>
          <w:szCs w:val="32"/>
        </w:rPr>
        <w:t>，丰富医疗保险产品供给</w:t>
      </w:r>
      <w:r>
        <w:rPr>
          <w:rFonts w:hint="eastAsia" w:ascii="仿宋_GB2312"/>
          <w:color w:val="000000"/>
          <w:szCs w:val="32"/>
        </w:rPr>
        <w:t>。</w:t>
      </w:r>
      <w:r>
        <w:rPr>
          <w:rFonts w:hint="eastAsia" w:ascii="仿宋_GB2312" w:hAnsi="宋体" w:cs="宋体"/>
          <w:bCs/>
          <w:color w:val="000000"/>
          <w:kern w:val="0"/>
          <w:szCs w:val="32"/>
        </w:rPr>
        <w:t>四是全国生物医药产业发展以“内循环”为主</w:t>
      </w:r>
      <w:r>
        <w:rPr>
          <w:rFonts w:hint="eastAsia" w:ascii="仿宋_GB2312" w:hAnsi="黑体"/>
          <w:szCs w:val="32"/>
        </w:rPr>
        <w:t>，出口“外循环”仍较弱，因此支持企业拓展国际业务，对产品出口额超过一定规模予以奖励，支持新冠疫苗产品获得国外紧急使用或审批清单</w:t>
      </w:r>
      <w:r>
        <w:rPr>
          <w:rFonts w:hint="eastAsia" w:ascii="仿宋_GB2312"/>
          <w:color w:val="000000"/>
          <w:szCs w:val="32"/>
        </w:rPr>
        <w:t>。</w:t>
      </w:r>
    </w:p>
    <w:p>
      <w:pPr>
        <w:pStyle w:val="3"/>
        <w:pageBreakBefore w:val="0"/>
        <w:widowControl w:val="0"/>
        <w:kinsoku/>
        <w:wordWrap/>
        <w:topLinePunct w:val="0"/>
        <w:autoSpaceDE/>
        <w:autoSpaceDN/>
        <w:bidi w:val="0"/>
        <w:spacing w:line="560" w:lineRule="exact"/>
        <w:ind w:firstLine="643"/>
        <w:textAlignment w:val="auto"/>
        <w:rPr>
          <w:rFonts w:ascii="楷体_GB2312" w:eastAsia="楷体_GB2312"/>
        </w:rPr>
      </w:pPr>
      <w:r>
        <w:rPr>
          <w:rFonts w:hint="eastAsia" w:ascii="楷体_GB2312" w:eastAsia="楷体_GB2312"/>
        </w:rPr>
        <w:t>（九）优化发展环境</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2"/>
        <w:rPr>
          <w:rFonts w:hint="eastAsia" w:ascii="仿宋_GB2312" w:hAnsi="KBCDEE+FZFSK--GBK1-0"/>
          <w:bCs/>
          <w:szCs w:val="32"/>
        </w:rPr>
      </w:pPr>
      <w:r>
        <w:rPr>
          <w:rFonts w:hint="eastAsia" w:ascii="仿宋_GB2312" w:hAnsi="宋体" w:cs="宋体"/>
          <w:bCs/>
          <w:color w:val="000000"/>
          <w:kern w:val="0"/>
          <w:szCs w:val="32"/>
        </w:rPr>
        <w:t>本部分共提出四条内容</w:t>
      </w:r>
      <w:r>
        <w:rPr>
          <w:rFonts w:hint="eastAsia" w:ascii="仿宋_GB2312" w:hAnsi="宋体" w:cs="宋体"/>
          <w:bCs/>
          <w:color w:val="000000"/>
          <w:kern w:val="0"/>
          <w:szCs w:val="32"/>
          <w:lang w:eastAsia="zh-CN"/>
        </w:rPr>
        <w:t>。</w:t>
      </w:r>
      <w:r>
        <w:rPr>
          <w:rFonts w:hint="eastAsia" w:ascii="仿宋_GB2312" w:hAnsi="宋体" w:cs="宋体"/>
          <w:bCs/>
          <w:color w:val="000000"/>
          <w:kern w:val="0"/>
          <w:szCs w:val="32"/>
        </w:rPr>
        <w:t>一是</w:t>
      </w:r>
      <w:r>
        <w:rPr>
          <w:rFonts w:hint="eastAsia"/>
        </w:rPr>
        <w:t>支持建立生物医药试点企业和物品“白名单”制度，简化清单内企业相关物品前置审批手续,便利企业通</w:t>
      </w:r>
      <w:r>
        <w:rPr>
          <w:rFonts w:hint="eastAsia"/>
          <w:lang w:eastAsia="zh-CN"/>
        </w:rPr>
        <w:t>关</w:t>
      </w:r>
      <w:r>
        <w:rPr>
          <w:rFonts w:hint="eastAsia"/>
        </w:rPr>
        <w:t>。二是针对本市生物医药人才集聚程度低，人才招聘困难，人才引进需求大等问题，支持通过人才补贴、住房保障、子女就学、医疗保健、职称评审等，为企业提供人才中介补贴，支持建设生物医药高技能人才实训基地，为不同层次的人才引进提供支持。</w:t>
      </w:r>
      <w:r>
        <w:rPr>
          <w:rFonts w:hint="eastAsia" w:ascii="仿宋_GB2312" w:hAnsi="宋体" w:cs="宋体"/>
          <w:bCs/>
          <w:color w:val="000000"/>
          <w:kern w:val="0"/>
          <w:szCs w:val="32"/>
        </w:rPr>
        <w:t>三是为解决特色园区排污指标有限、排污困难等问题，支持统筹全市污染排放指标，支持建设生物医药园区内危险废弃物专业机构和危废处理设施</w:t>
      </w:r>
      <w:r>
        <w:rPr>
          <w:rFonts w:hint="eastAsia"/>
          <w:bCs/>
        </w:rPr>
        <w:t>。</w:t>
      </w:r>
      <w:r>
        <w:rPr>
          <w:rFonts w:hint="eastAsia" w:ascii="仿宋_GB2312" w:hAnsi="宋体" w:cs="宋体"/>
          <w:bCs/>
          <w:color w:val="000000"/>
          <w:kern w:val="0"/>
          <w:szCs w:val="32"/>
        </w:rPr>
        <w:t>四是针对生物医药企业科技创新投入高、资金需求量大等问题，支持设立产业引导基金、产业股权投资基金、风险补偿基金等，为企业提供信贷支持。</w:t>
      </w:r>
    </w:p>
    <w:p>
      <w:pPr>
        <w:pStyle w:val="3"/>
        <w:pageBreakBefore w:val="0"/>
        <w:widowControl w:val="0"/>
        <w:kinsoku/>
        <w:wordWrap/>
        <w:topLinePunct w:val="0"/>
        <w:autoSpaceDE/>
        <w:autoSpaceDN/>
        <w:bidi w:val="0"/>
        <w:spacing w:line="560" w:lineRule="exact"/>
        <w:ind w:firstLine="643"/>
        <w:textAlignment w:val="auto"/>
        <w:rPr>
          <w:rFonts w:ascii="楷体_GB2312" w:eastAsia="楷体_GB2312"/>
        </w:rPr>
      </w:pPr>
      <w:r>
        <w:rPr>
          <w:rFonts w:hint="eastAsia" w:ascii="楷体_GB2312" w:eastAsia="楷体_GB2312"/>
        </w:rPr>
        <w:t>（十）优化产业空间供给能力</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2"/>
        <w:rPr>
          <w:rFonts w:hint="eastAsia"/>
        </w:rPr>
      </w:pPr>
      <w:r>
        <w:rPr>
          <w:rFonts w:hint="eastAsia" w:ascii="仿宋_GB2312" w:hAnsi="宋体" w:cs="宋体"/>
          <w:bCs/>
          <w:color w:val="000000"/>
          <w:kern w:val="0"/>
          <w:szCs w:val="32"/>
        </w:rPr>
        <w:t>本部分共提出两条内容</w:t>
      </w:r>
      <w:r>
        <w:rPr>
          <w:rFonts w:hint="eastAsia" w:ascii="仿宋_GB2312" w:hAnsi="宋体" w:cs="宋体"/>
          <w:bCs/>
          <w:color w:val="000000"/>
          <w:kern w:val="0"/>
          <w:szCs w:val="32"/>
          <w:lang w:eastAsia="zh-CN"/>
        </w:rPr>
        <w:t>。</w:t>
      </w:r>
      <w:r>
        <w:rPr>
          <w:rFonts w:hint="eastAsia" w:ascii="仿宋_GB2312" w:hAnsi="宋体" w:cs="宋体"/>
          <w:bCs/>
          <w:color w:val="000000"/>
          <w:kern w:val="0"/>
          <w:szCs w:val="32"/>
        </w:rPr>
        <w:t>一是针对本市符合条件的产业用地严重不足</w:t>
      </w:r>
      <w:r>
        <w:rPr>
          <w:rFonts w:hint="eastAsia"/>
        </w:rPr>
        <w:t>、</w:t>
      </w:r>
      <w:r>
        <w:rPr>
          <w:rFonts w:hint="eastAsia" w:ascii="仿宋_GB2312" w:hAnsi="宋体" w:cs="宋体"/>
          <w:bCs/>
          <w:color w:val="000000"/>
          <w:kern w:val="0"/>
          <w:szCs w:val="32"/>
        </w:rPr>
        <w:t>新增产业空间难以保障、企业发展受空间限制严重等问题，支持每年新增一定面积的产业发展用地和产业载体服务空间</w:t>
      </w:r>
      <w:r>
        <w:rPr>
          <w:rFonts w:hint="eastAsia" w:ascii="仿宋_GB2312" w:hAnsi="宋体" w:cs="宋体"/>
          <w:bCs/>
          <w:color w:val="000000"/>
          <w:kern w:val="0"/>
          <w:szCs w:val="32"/>
          <w:lang w:eastAsia="zh-CN"/>
        </w:rPr>
        <w:t>。</w:t>
      </w:r>
      <w:r>
        <w:rPr>
          <w:rFonts w:hint="eastAsia"/>
        </w:rPr>
        <w:t>二是规范市级确定的优先发展产业且用地集约的重大招商引资工业项目的土地获取成本，规定土地出让底价，特制定本条措施。</w:t>
      </w:r>
    </w:p>
    <w:p>
      <w:pPr>
        <w:pStyle w:val="3"/>
        <w:pageBreakBefore w:val="0"/>
        <w:widowControl w:val="0"/>
        <w:kinsoku/>
        <w:wordWrap/>
        <w:topLinePunct w:val="0"/>
        <w:autoSpaceDE/>
        <w:autoSpaceDN/>
        <w:bidi w:val="0"/>
        <w:spacing w:line="560" w:lineRule="exact"/>
        <w:ind w:firstLine="643"/>
        <w:textAlignment w:val="auto"/>
        <w:rPr>
          <w:rFonts w:hint="eastAsia" w:ascii="楷体_GB2312" w:eastAsia="楷体_GB2312"/>
          <w:lang w:eastAsia="zh-CN"/>
        </w:rPr>
      </w:pPr>
      <w:r>
        <w:rPr>
          <w:rFonts w:hint="eastAsia" w:ascii="楷体_GB2312" w:eastAsia="楷体_GB2312"/>
        </w:rPr>
        <w:t>（十</w:t>
      </w:r>
      <w:r>
        <w:rPr>
          <w:rFonts w:hint="eastAsia" w:ascii="楷体_GB2312" w:eastAsia="楷体_GB2312"/>
          <w:lang w:eastAsia="zh-CN"/>
        </w:rPr>
        <w:t>一</w:t>
      </w:r>
      <w:r>
        <w:rPr>
          <w:rFonts w:hint="eastAsia" w:ascii="楷体_GB2312" w:eastAsia="楷体_GB2312"/>
        </w:rPr>
        <w:t>）</w:t>
      </w:r>
      <w:r>
        <w:rPr>
          <w:rFonts w:hint="eastAsia" w:ascii="楷体_GB2312" w:eastAsia="楷体_GB2312"/>
          <w:lang w:eastAsia="zh-CN"/>
        </w:rPr>
        <w:t>附则</w:t>
      </w:r>
    </w:p>
    <w:p>
      <w:pPr>
        <w:pageBreakBefore w:val="0"/>
        <w:widowControl w:val="0"/>
        <w:kinsoku/>
        <w:wordWrap/>
        <w:topLinePunct w:val="0"/>
        <w:autoSpaceDE/>
        <w:autoSpaceDN/>
        <w:bidi w:val="0"/>
        <w:adjustRightInd w:val="0"/>
        <w:snapToGrid w:val="0"/>
        <w:spacing w:line="560" w:lineRule="exact"/>
        <w:ind w:firstLine="640" w:firstLineChars="200"/>
        <w:textAlignment w:val="auto"/>
        <w:outlineLvl w:val="2"/>
        <w:rPr>
          <w:rFonts w:hint="eastAsia" w:eastAsia="仿宋_GB2312"/>
          <w:lang w:eastAsia="zh-CN"/>
        </w:rPr>
      </w:pPr>
      <w:r>
        <w:rPr>
          <w:rFonts w:hint="eastAsia" w:ascii="仿宋_GB2312" w:hAnsi="宋体" w:cs="宋体"/>
          <w:bCs/>
          <w:color w:val="000000"/>
          <w:kern w:val="0"/>
          <w:szCs w:val="32"/>
        </w:rPr>
        <w:t>本部分</w:t>
      </w:r>
      <w:r>
        <w:rPr>
          <w:rFonts w:hint="eastAsia" w:ascii="仿宋_GB2312" w:hAnsi="宋体" w:cs="宋体"/>
          <w:bCs/>
          <w:color w:val="000000"/>
          <w:kern w:val="0"/>
          <w:szCs w:val="32"/>
          <w:lang w:eastAsia="zh-CN"/>
        </w:rPr>
        <w:t>主要包括四点内容。一是《若干措施》的生效时间和有效期。二是文件执行期间可根据国家、省、市有关政策及规定进行相应调整。三是鼓励各区、各产业园区制定补充配套措施。四是对于本市同类优惠措施，可按照“就高不就低”的原则自主选择申报，不重复资助。</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公文小标宋简">
    <w:altName w:val="方正小标宋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KBCDEE+FZFSK--GBK1-0">
    <w:altName w:val="URW Bookman"/>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12</w:t>
    </w:r>
    <w:r>
      <w:rPr>
        <w:lang w:val="zh-CN"/>
      </w:rPr>
      <w:fldChar w:fldCharType="end"/>
    </w:r>
  </w:p>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3C"/>
    <w:rsid w:val="000107D9"/>
    <w:rsid w:val="00013B01"/>
    <w:rsid w:val="000516A2"/>
    <w:rsid w:val="00060B87"/>
    <w:rsid w:val="000703E4"/>
    <w:rsid w:val="00083516"/>
    <w:rsid w:val="000876F2"/>
    <w:rsid w:val="00090AAA"/>
    <w:rsid w:val="000B264B"/>
    <w:rsid w:val="001178C5"/>
    <w:rsid w:val="00177DA5"/>
    <w:rsid w:val="00193486"/>
    <w:rsid w:val="001B45D0"/>
    <w:rsid w:val="001C36E2"/>
    <w:rsid w:val="00211431"/>
    <w:rsid w:val="002174D6"/>
    <w:rsid w:val="00235D70"/>
    <w:rsid w:val="00237BC1"/>
    <w:rsid w:val="00253E92"/>
    <w:rsid w:val="00262289"/>
    <w:rsid w:val="00282590"/>
    <w:rsid w:val="002D3E1E"/>
    <w:rsid w:val="002E1544"/>
    <w:rsid w:val="00350546"/>
    <w:rsid w:val="00371DAA"/>
    <w:rsid w:val="00377095"/>
    <w:rsid w:val="003C4770"/>
    <w:rsid w:val="003D0622"/>
    <w:rsid w:val="00434FD6"/>
    <w:rsid w:val="00477B5F"/>
    <w:rsid w:val="004835E6"/>
    <w:rsid w:val="004C2D86"/>
    <w:rsid w:val="004F40DE"/>
    <w:rsid w:val="0050104D"/>
    <w:rsid w:val="00503CD7"/>
    <w:rsid w:val="005302A6"/>
    <w:rsid w:val="0053324C"/>
    <w:rsid w:val="00544B45"/>
    <w:rsid w:val="00566043"/>
    <w:rsid w:val="005765B4"/>
    <w:rsid w:val="005B7CAC"/>
    <w:rsid w:val="005E4BA1"/>
    <w:rsid w:val="005F0CDF"/>
    <w:rsid w:val="006323BA"/>
    <w:rsid w:val="006D5601"/>
    <w:rsid w:val="006E73DB"/>
    <w:rsid w:val="007043ED"/>
    <w:rsid w:val="007139D0"/>
    <w:rsid w:val="00720C4B"/>
    <w:rsid w:val="00735FEA"/>
    <w:rsid w:val="00747E6E"/>
    <w:rsid w:val="00756809"/>
    <w:rsid w:val="007978C3"/>
    <w:rsid w:val="007C745C"/>
    <w:rsid w:val="007F35F3"/>
    <w:rsid w:val="008068FA"/>
    <w:rsid w:val="00841500"/>
    <w:rsid w:val="008451AB"/>
    <w:rsid w:val="00851EE2"/>
    <w:rsid w:val="008677E5"/>
    <w:rsid w:val="00891DF3"/>
    <w:rsid w:val="00897746"/>
    <w:rsid w:val="008B33EF"/>
    <w:rsid w:val="008C2EA1"/>
    <w:rsid w:val="008D4CAA"/>
    <w:rsid w:val="008F3C83"/>
    <w:rsid w:val="008F49A8"/>
    <w:rsid w:val="00904730"/>
    <w:rsid w:val="009429A4"/>
    <w:rsid w:val="00991149"/>
    <w:rsid w:val="009A7653"/>
    <w:rsid w:val="00A024A0"/>
    <w:rsid w:val="00A56DF1"/>
    <w:rsid w:val="00A75D19"/>
    <w:rsid w:val="00B21763"/>
    <w:rsid w:val="00B3513C"/>
    <w:rsid w:val="00B35813"/>
    <w:rsid w:val="00BA498D"/>
    <w:rsid w:val="00BB5A9C"/>
    <w:rsid w:val="00BC0F90"/>
    <w:rsid w:val="00BE2C19"/>
    <w:rsid w:val="00BE400E"/>
    <w:rsid w:val="00C03B87"/>
    <w:rsid w:val="00C331F6"/>
    <w:rsid w:val="00C33674"/>
    <w:rsid w:val="00C36093"/>
    <w:rsid w:val="00C43FF7"/>
    <w:rsid w:val="00C6739B"/>
    <w:rsid w:val="00C94B68"/>
    <w:rsid w:val="00CA45DA"/>
    <w:rsid w:val="00D16210"/>
    <w:rsid w:val="00D93101"/>
    <w:rsid w:val="00DB4718"/>
    <w:rsid w:val="00DC31CD"/>
    <w:rsid w:val="00DE1988"/>
    <w:rsid w:val="00DF6E73"/>
    <w:rsid w:val="00E2232F"/>
    <w:rsid w:val="00E64875"/>
    <w:rsid w:val="00EB3B00"/>
    <w:rsid w:val="00ED2BE0"/>
    <w:rsid w:val="00F0371B"/>
    <w:rsid w:val="00F41A86"/>
    <w:rsid w:val="00F67637"/>
    <w:rsid w:val="00F772A3"/>
    <w:rsid w:val="00F83701"/>
    <w:rsid w:val="441B7D7E"/>
    <w:rsid w:val="6FD543E7"/>
    <w:rsid w:val="77BF0C7F"/>
    <w:rsid w:val="782026B4"/>
    <w:rsid w:val="7D5BE929"/>
    <w:rsid w:val="7EF9803E"/>
    <w:rsid w:val="7FFF937E"/>
    <w:rsid w:val="AF7E4CBF"/>
    <w:rsid w:val="BDFFB8FA"/>
    <w:rsid w:val="BE7F67F3"/>
    <w:rsid w:val="BF7E137C"/>
    <w:rsid w:val="BFFDF38C"/>
    <w:rsid w:val="DDDF18C6"/>
    <w:rsid w:val="EEDFDEEE"/>
    <w:rsid w:val="F5F581C6"/>
    <w:rsid w:val="FBEE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3"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3"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30"/>
    <w:qFormat/>
    <w:uiPriority w:val="0"/>
    <w:pPr>
      <w:keepNext/>
      <w:keepLines/>
      <w:spacing w:line="600" w:lineRule="exact"/>
      <w:ind w:firstLine="200" w:firstLineChars="200"/>
      <w:outlineLvl w:val="0"/>
    </w:pPr>
    <w:rPr>
      <w:rFonts w:ascii="仿宋_GB2312" w:hAnsi="仿宋_GB2312" w:cs="仿宋_GB2312"/>
      <w:b/>
      <w:bCs/>
      <w:kern w:val="44"/>
      <w:szCs w:val="44"/>
    </w:rPr>
  </w:style>
  <w:style w:type="paragraph" w:styleId="4">
    <w:name w:val="heading 2"/>
    <w:basedOn w:val="1"/>
    <w:next w:val="5"/>
    <w:link w:val="31"/>
    <w:qFormat/>
    <w:uiPriority w:val="3"/>
    <w:pPr>
      <w:widowControl/>
      <w:jc w:val="center"/>
      <w:outlineLvl w:val="1"/>
    </w:pPr>
    <w:rPr>
      <w:rFonts w:ascii="方正小标宋简体" w:hAnsi="仿宋_GB2312" w:eastAsia="方正小标宋简体" w:cs="仿宋_GB2312"/>
      <w:sz w:val="36"/>
      <w:szCs w:val="32"/>
    </w:rPr>
  </w:style>
  <w:style w:type="paragraph" w:styleId="6">
    <w:name w:val="heading 3"/>
    <w:basedOn w:val="1"/>
    <w:next w:val="5"/>
    <w:link w:val="32"/>
    <w:qFormat/>
    <w:uiPriority w:val="0"/>
    <w:pPr>
      <w:keepNext/>
      <w:keepLines/>
      <w:spacing w:before="1620" w:after="400" w:line="540" w:lineRule="exact"/>
      <w:ind w:firstLine="622" w:firstLineChars="200"/>
      <w:jc w:val="center"/>
      <w:outlineLvl w:val="2"/>
    </w:pPr>
    <w:rPr>
      <w:rFonts w:ascii="公文小标宋简" w:eastAsia="公文小标宋简"/>
      <w:sz w:val="44"/>
    </w:rPr>
  </w:style>
  <w:style w:type="paragraph" w:styleId="7">
    <w:name w:val="heading 4"/>
    <w:basedOn w:val="1"/>
    <w:next w:val="5"/>
    <w:link w:val="33"/>
    <w:qFormat/>
    <w:uiPriority w:val="0"/>
    <w:pPr>
      <w:keepNext/>
      <w:tabs>
        <w:tab w:val="left" w:pos="2488"/>
        <w:tab w:val="left" w:pos="4976"/>
      </w:tabs>
      <w:spacing w:line="540" w:lineRule="exact"/>
      <w:ind w:firstLine="622" w:firstLineChars="200"/>
      <w:jc w:val="center"/>
      <w:outlineLvl w:val="3"/>
    </w:pPr>
    <w:rPr>
      <w:sz w:val="44"/>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macro"/>
    <w:link w:val="4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622" w:firstLineChars="200"/>
    </w:pPr>
    <w:rPr>
      <w:rFonts w:ascii="Courier New" w:hAnsi="Courier New" w:eastAsia="宋体" w:cs="Courier New"/>
      <w:kern w:val="2"/>
      <w:sz w:val="24"/>
      <w:szCs w:val="24"/>
      <w:lang w:val="en-US" w:eastAsia="zh-CN" w:bidi="ar-SA"/>
    </w:rPr>
  </w:style>
  <w:style w:type="paragraph" w:styleId="5">
    <w:name w:val="Normal Indent"/>
    <w:basedOn w:val="1"/>
    <w:qFormat/>
    <w:uiPriority w:val="0"/>
    <w:pPr>
      <w:spacing w:line="540" w:lineRule="exact"/>
      <w:ind w:firstLine="630" w:firstLineChars="200"/>
    </w:pPr>
    <w:rPr>
      <w:kern w:val="0"/>
    </w:rPr>
  </w:style>
  <w:style w:type="paragraph" w:styleId="8">
    <w:name w:val="Document Map"/>
    <w:basedOn w:val="1"/>
    <w:link w:val="53"/>
    <w:semiHidden/>
    <w:qFormat/>
    <w:uiPriority w:val="0"/>
    <w:pPr>
      <w:shd w:val="clear" w:color="auto" w:fill="000080"/>
      <w:spacing w:line="540" w:lineRule="exact"/>
      <w:ind w:firstLine="622" w:firstLineChars="200"/>
    </w:pPr>
  </w:style>
  <w:style w:type="paragraph" w:styleId="9">
    <w:name w:val="annotation text"/>
    <w:basedOn w:val="1"/>
    <w:link w:val="63"/>
    <w:unhideWhenUsed/>
    <w:qFormat/>
    <w:uiPriority w:val="99"/>
    <w:pPr>
      <w:spacing w:line="560" w:lineRule="exact"/>
      <w:ind w:firstLine="200" w:firstLineChars="200"/>
      <w:contextualSpacing/>
      <w:jc w:val="left"/>
    </w:pPr>
    <w:rPr>
      <w:rFonts w:ascii="仿宋_GB2312" w:hAnsiTheme="minorHAnsi" w:cstheme="minorBidi"/>
      <w:szCs w:val="22"/>
    </w:rPr>
  </w:style>
  <w:style w:type="paragraph" w:styleId="10">
    <w:name w:val="Salutation"/>
    <w:basedOn w:val="1"/>
    <w:next w:val="1"/>
    <w:link w:val="60"/>
    <w:qFormat/>
    <w:uiPriority w:val="0"/>
    <w:pPr>
      <w:spacing w:line="540" w:lineRule="exact"/>
      <w:ind w:firstLine="622" w:firstLineChars="200"/>
    </w:pPr>
  </w:style>
  <w:style w:type="paragraph" w:styleId="11">
    <w:name w:val="Body Text"/>
    <w:basedOn w:val="1"/>
    <w:link w:val="51"/>
    <w:qFormat/>
    <w:uiPriority w:val="3"/>
    <w:pPr>
      <w:spacing w:line="540" w:lineRule="exact"/>
      <w:jc w:val="left"/>
    </w:pPr>
    <w:rPr>
      <w:rFonts w:ascii="楷体_GB2312" w:eastAsia="楷体_GB2312"/>
    </w:rPr>
  </w:style>
  <w:style w:type="paragraph" w:styleId="12">
    <w:name w:val="Body Text Indent"/>
    <w:basedOn w:val="1"/>
    <w:link w:val="50"/>
    <w:qFormat/>
    <w:uiPriority w:val="0"/>
    <w:pPr>
      <w:widowControl/>
      <w:spacing w:before="100" w:beforeAutospacing="1" w:after="100" w:afterAutospacing="1" w:line="540" w:lineRule="exact"/>
      <w:ind w:firstLine="622" w:firstLineChars="200"/>
      <w:jc w:val="left"/>
    </w:pPr>
    <w:rPr>
      <w:rFonts w:ascii="宋体" w:hAnsi="宋体" w:eastAsia="宋体"/>
      <w:kern w:val="0"/>
      <w:sz w:val="24"/>
      <w:szCs w:val="24"/>
    </w:rPr>
  </w:style>
  <w:style w:type="paragraph" w:styleId="13">
    <w:name w:val="Block Text"/>
    <w:basedOn w:val="1"/>
    <w:qFormat/>
    <w:uiPriority w:val="0"/>
    <w:pPr>
      <w:spacing w:after="120" w:line="540" w:lineRule="exact"/>
      <w:ind w:left="1440" w:leftChars="700" w:right="1440" w:rightChars="700" w:firstLine="622" w:firstLineChars="200"/>
    </w:pPr>
  </w:style>
  <w:style w:type="paragraph" w:styleId="14">
    <w:name w:val="Body Text Indent 2"/>
    <w:basedOn w:val="1"/>
    <w:link w:val="56"/>
    <w:qFormat/>
    <w:uiPriority w:val="0"/>
    <w:pPr>
      <w:spacing w:after="120" w:line="480" w:lineRule="auto"/>
      <w:ind w:left="420" w:leftChars="200" w:firstLine="622" w:firstLineChars="200"/>
    </w:pPr>
  </w:style>
  <w:style w:type="paragraph" w:styleId="15">
    <w:name w:val="Balloon Text"/>
    <w:basedOn w:val="1"/>
    <w:link w:val="36"/>
    <w:semiHidden/>
    <w:qFormat/>
    <w:uiPriority w:val="0"/>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54"/>
    <w:qFormat/>
    <w:uiPriority w:val="2"/>
    <w:pPr>
      <w:spacing w:line="540" w:lineRule="exact"/>
    </w:pPr>
    <w:rPr>
      <w:rFonts w:ascii="仿宋_GB2312" w:hAnsi="仿宋_GB2312" w:cs="仿宋_GB2312"/>
      <w:szCs w:val="32"/>
    </w:rPr>
  </w:style>
  <w:style w:type="paragraph" w:styleId="19">
    <w:name w:val="Body Text Indent 3"/>
    <w:basedOn w:val="1"/>
    <w:link w:val="55"/>
    <w:qFormat/>
    <w:uiPriority w:val="0"/>
    <w:pPr>
      <w:spacing w:after="120" w:line="540" w:lineRule="exact"/>
      <w:ind w:left="420" w:leftChars="200" w:firstLine="622" w:firstLineChars="200"/>
    </w:pPr>
    <w:rPr>
      <w:sz w:val="16"/>
      <w:szCs w:val="16"/>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link w:val="38"/>
    <w:qFormat/>
    <w:uiPriority w:val="10"/>
    <w:pPr>
      <w:spacing w:line="600" w:lineRule="exact"/>
      <w:jc w:val="center"/>
      <w:outlineLvl w:val="0"/>
    </w:pPr>
    <w:rPr>
      <w:rFonts w:ascii="Cambria" w:hAnsi="Cambria" w:eastAsia="宋体"/>
      <w:b/>
      <w:bCs/>
      <w:sz w:val="36"/>
      <w:szCs w:val="32"/>
    </w:rPr>
  </w:style>
  <w:style w:type="character" w:styleId="24">
    <w:name w:val="Strong"/>
    <w:basedOn w:val="25"/>
    <w:qFormat/>
    <w:uiPriority w:val="0"/>
    <w:rPr>
      <w:rFonts w:eastAsia="黑体"/>
      <w:bCs/>
      <w:sz w:val="32"/>
    </w:rPr>
  </w:style>
  <w:style w:type="character" w:styleId="25">
    <w:name w:val="line number"/>
    <w:basedOn w:val="23"/>
    <w:qFormat/>
    <w:uiPriority w:val="0"/>
  </w:style>
  <w:style w:type="character" w:styleId="26">
    <w:name w:val="page number"/>
    <w:basedOn w:val="23"/>
    <w:qFormat/>
    <w:uiPriority w:val="0"/>
    <w:rPr>
      <w:rFonts w:eastAsia="宋体"/>
      <w:sz w:val="28"/>
    </w:rPr>
  </w:style>
  <w:style w:type="character" w:styleId="27">
    <w:name w:val="Emphasis"/>
    <w:basedOn w:val="23"/>
    <w:qFormat/>
    <w:uiPriority w:val="20"/>
    <w:rPr>
      <w:i/>
      <w:iCs/>
    </w:rPr>
  </w:style>
  <w:style w:type="character" w:styleId="28">
    <w:name w:val="Hyperlink"/>
    <w:basedOn w:val="23"/>
    <w:qFormat/>
    <w:uiPriority w:val="0"/>
    <w:rPr>
      <w:color w:val="3366CC"/>
      <w:u w:val="single"/>
    </w:rPr>
  </w:style>
  <w:style w:type="character" w:styleId="29">
    <w:name w:val="annotation reference"/>
    <w:basedOn w:val="23"/>
    <w:unhideWhenUsed/>
    <w:qFormat/>
    <w:uiPriority w:val="99"/>
    <w:rPr>
      <w:sz w:val="21"/>
      <w:szCs w:val="21"/>
    </w:rPr>
  </w:style>
  <w:style w:type="character" w:customStyle="1" w:styleId="30">
    <w:name w:val="标题 1 字符"/>
    <w:basedOn w:val="23"/>
    <w:link w:val="3"/>
    <w:qFormat/>
    <w:uiPriority w:val="0"/>
    <w:rPr>
      <w:rFonts w:ascii="仿宋_GB2312" w:hAnsi="仿宋_GB2312" w:eastAsia="仿宋_GB2312" w:cs="仿宋_GB2312"/>
      <w:b/>
      <w:bCs/>
      <w:kern w:val="44"/>
      <w:sz w:val="32"/>
      <w:szCs w:val="44"/>
    </w:rPr>
  </w:style>
  <w:style w:type="character" w:customStyle="1" w:styleId="31">
    <w:name w:val="标题 2 字符"/>
    <w:basedOn w:val="23"/>
    <w:link w:val="4"/>
    <w:qFormat/>
    <w:uiPriority w:val="9"/>
    <w:rPr>
      <w:rFonts w:ascii="方正小标宋简体" w:hAnsi="仿宋_GB2312" w:eastAsia="方正小标宋简体" w:cs="仿宋_GB2312"/>
      <w:sz w:val="36"/>
      <w:szCs w:val="32"/>
    </w:rPr>
  </w:style>
  <w:style w:type="character" w:customStyle="1" w:styleId="32">
    <w:name w:val="标题 3 字符"/>
    <w:basedOn w:val="23"/>
    <w:link w:val="6"/>
    <w:qFormat/>
    <w:uiPriority w:val="0"/>
    <w:rPr>
      <w:rFonts w:ascii="公文小标宋简" w:hAnsi="Times New Roman" w:eastAsia="公文小标宋简" w:cs="Times New Roman"/>
      <w:sz w:val="44"/>
      <w:szCs w:val="20"/>
    </w:rPr>
  </w:style>
  <w:style w:type="character" w:customStyle="1" w:styleId="33">
    <w:name w:val="标题 4 字符"/>
    <w:basedOn w:val="23"/>
    <w:link w:val="7"/>
    <w:qFormat/>
    <w:uiPriority w:val="0"/>
    <w:rPr>
      <w:rFonts w:ascii="Times New Roman" w:hAnsi="Times New Roman" w:eastAsia="仿宋_GB2312" w:cs="Times New Roman"/>
      <w:sz w:val="44"/>
      <w:szCs w:val="20"/>
    </w:rPr>
  </w:style>
  <w:style w:type="character" w:customStyle="1" w:styleId="34">
    <w:name w:val="页眉 字符"/>
    <w:basedOn w:val="23"/>
    <w:link w:val="17"/>
    <w:qFormat/>
    <w:uiPriority w:val="0"/>
    <w:rPr>
      <w:rFonts w:ascii="Times New Roman" w:hAnsi="Times New Roman" w:eastAsia="仿宋_GB2312" w:cs="Times New Roman"/>
      <w:sz w:val="18"/>
      <w:szCs w:val="18"/>
    </w:rPr>
  </w:style>
  <w:style w:type="character" w:customStyle="1" w:styleId="35">
    <w:name w:val="页脚 字符"/>
    <w:basedOn w:val="23"/>
    <w:link w:val="16"/>
    <w:qFormat/>
    <w:uiPriority w:val="99"/>
    <w:rPr>
      <w:rFonts w:ascii="Times New Roman" w:hAnsi="Times New Roman" w:eastAsia="仿宋_GB2312" w:cs="Times New Roman"/>
      <w:sz w:val="18"/>
      <w:szCs w:val="18"/>
    </w:rPr>
  </w:style>
  <w:style w:type="character" w:customStyle="1" w:styleId="36">
    <w:name w:val="批注框文本 字符"/>
    <w:basedOn w:val="23"/>
    <w:link w:val="15"/>
    <w:semiHidden/>
    <w:qFormat/>
    <w:uiPriority w:val="0"/>
    <w:rPr>
      <w:rFonts w:ascii="Times New Roman" w:hAnsi="Times New Roman" w:eastAsia="仿宋_GB2312" w:cs="Times New Roman"/>
      <w:sz w:val="18"/>
      <w:szCs w:val="18"/>
    </w:rPr>
  </w:style>
  <w:style w:type="paragraph" w:customStyle="1" w:styleId="37">
    <w:name w:val="列出段落1"/>
    <w:basedOn w:val="1"/>
    <w:qFormat/>
    <w:uiPriority w:val="34"/>
    <w:pPr>
      <w:spacing w:line="600" w:lineRule="exact"/>
      <w:ind w:firstLine="420" w:firstLineChars="200"/>
    </w:pPr>
    <w:rPr>
      <w:rFonts w:ascii="仿宋_GB2312" w:hAnsi="仿宋_GB2312" w:cs="仿宋_GB2312"/>
      <w:szCs w:val="32"/>
    </w:rPr>
  </w:style>
  <w:style w:type="character" w:customStyle="1" w:styleId="38">
    <w:name w:val="标题 字符"/>
    <w:basedOn w:val="23"/>
    <w:link w:val="21"/>
    <w:qFormat/>
    <w:uiPriority w:val="10"/>
    <w:rPr>
      <w:rFonts w:ascii="Cambria" w:hAnsi="Cambria" w:eastAsia="宋体" w:cs="Times New Roman"/>
      <w:b/>
      <w:bCs/>
      <w:sz w:val="36"/>
      <w:szCs w:val="32"/>
    </w:rPr>
  </w:style>
  <w:style w:type="paragraph" w:customStyle="1" w:styleId="39">
    <w:name w:val="文件正文"/>
    <w:qFormat/>
    <w:uiPriority w:val="2"/>
    <w:pPr>
      <w:spacing w:line="560" w:lineRule="exact"/>
      <w:ind w:firstLine="622" w:firstLineChars="200"/>
    </w:pPr>
    <w:rPr>
      <w:rFonts w:ascii="仿宋_GB2312" w:hAnsi="仿宋_GB2312" w:eastAsia="仿宋_GB2312" w:cs="仿宋_GB2312"/>
      <w:kern w:val="2"/>
      <w:sz w:val="32"/>
      <w:szCs w:val="32"/>
      <w:lang w:val="en-US" w:eastAsia="zh-CN" w:bidi="ar-SA"/>
    </w:rPr>
  </w:style>
  <w:style w:type="paragraph" w:customStyle="1" w:styleId="40">
    <w:name w:val="无间隔1"/>
    <w:qFormat/>
    <w:uiPriority w:val="1"/>
    <w:pPr>
      <w:widowControl w:val="0"/>
      <w:jc w:val="both"/>
    </w:pPr>
    <w:rPr>
      <w:rFonts w:ascii="Times New Roman" w:hAnsi="Times New Roman" w:eastAsia="仿宋_GB2312" w:cs="Times New Roman"/>
      <w:kern w:val="2"/>
      <w:sz w:val="32"/>
      <w:lang w:val="en-US" w:eastAsia="zh-CN" w:bidi="ar-SA"/>
    </w:rPr>
  </w:style>
  <w:style w:type="paragraph" w:customStyle="1" w:styleId="41">
    <w:name w:val="附件"/>
    <w:basedOn w:val="1"/>
    <w:qFormat/>
    <w:uiPriority w:val="3"/>
    <w:pPr>
      <w:spacing w:line="540" w:lineRule="exact"/>
      <w:ind w:left="1014" w:hanging="1014" w:hangingChars="326"/>
    </w:pPr>
    <w:rPr>
      <w:rFonts w:ascii="黑体" w:hAnsi="黑体" w:eastAsia="黑体"/>
      <w:szCs w:val="32"/>
    </w:rPr>
  </w:style>
  <w:style w:type="paragraph" w:customStyle="1" w:styleId="42">
    <w:name w:val="主题词"/>
    <w:basedOn w:val="1"/>
    <w:qFormat/>
    <w:uiPriority w:val="0"/>
    <w:pPr>
      <w:spacing w:before="74" w:after="74" w:line="540" w:lineRule="exact"/>
      <w:ind w:left="1247" w:hanging="1247" w:firstLineChars="200"/>
    </w:pPr>
    <w:rPr>
      <w:rFonts w:eastAsia="公文小标宋简"/>
    </w:rPr>
  </w:style>
  <w:style w:type="paragraph" w:customStyle="1" w:styleId="43">
    <w:name w:val="默认段落字体 Para Char Char"/>
    <w:basedOn w:val="1"/>
    <w:qFormat/>
    <w:uiPriority w:val="0"/>
    <w:pPr>
      <w:spacing w:line="540" w:lineRule="exact"/>
      <w:ind w:firstLine="622" w:firstLineChars="200"/>
    </w:pPr>
    <w:rPr>
      <w:rFonts w:eastAsia="宋体"/>
      <w:sz w:val="21"/>
      <w:szCs w:val="24"/>
    </w:rPr>
  </w:style>
  <w:style w:type="character" w:customStyle="1" w:styleId="44">
    <w:name w:val="宏文本 字符"/>
    <w:basedOn w:val="23"/>
    <w:link w:val="2"/>
    <w:qFormat/>
    <w:uiPriority w:val="0"/>
    <w:rPr>
      <w:rFonts w:ascii="Courier New" w:hAnsi="Courier New" w:eastAsia="宋体" w:cs="Courier New"/>
      <w:sz w:val="24"/>
      <w:szCs w:val="24"/>
    </w:rPr>
  </w:style>
  <w:style w:type="paragraph" w:customStyle="1" w:styleId="45">
    <w:name w:val="秘密紧急"/>
    <w:basedOn w:val="1"/>
    <w:link w:val="46"/>
    <w:qFormat/>
    <w:uiPriority w:val="0"/>
    <w:pPr>
      <w:spacing w:line="540" w:lineRule="exact"/>
      <w:ind w:firstLine="622" w:firstLineChars="200"/>
      <w:jc w:val="right"/>
    </w:pPr>
    <w:rPr>
      <w:rFonts w:ascii="黑体" w:eastAsia="黑体"/>
    </w:rPr>
  </w:style>
  <w:style w:type="character" w:customStyle="1" w:styleId="46">
    <w:name w:val="秘密紧急 Char"/>
    <w:basedOn w:val="23"/>
    <w:link w:val="45"/>
    <w:qFormat/>
    <w:uiPriority w:val="0"/>
    <w:rPr>
      <w:rFonts w:ascii="黑体" w:hAnsi="Times New Roman" w:eastAsia="黑体" w:cs="Times New Roman"/>
      <w:sz w:val="32"/>
      <w:szCs w:val="20"/>
    </w:rPr>
  </w:style>
  <w:style w:type="paragraph" w:customStyle="1" w:styleId="47">
    <w:name w:val="抄 送"/>
    <w:basedOn w:val="42"/>
    <w:qFormat/>
    <w:uiPriority w:val="0"/>
    <w:pPr>
      <w:spacing w:line="580" w:lineRule="exact"/>
      <w:ind w:left="0" w:firstLine="0"/>
    </w:pPr>
    <w:rPr>
      <w:rFonts w:eastAsia="仿宋_GB2312"/>
    </w:rPr>
  </w:style>
  <w:style w:type="paragraph" w:customStyle="1" w:styleId="48">
    <w:name w:val="机关字号"/>
    <w:basedOn w:val="1"/>
    <w:qFormat/>
    <w:uiPriority w:val="0"/>
    <w:pPr>
      <w:spacing w:line="580" w:lineRule="exact"/>
      <w:ind w:firstLine="622" w:firstLineChars="200"/>
      <w:jc w:val="left"/>
    </w:pPr>
  </w:style>
  <w:style w:type="paragraph" w:customStyle="1" w:styleId="49">
    <w:name w:val="Char Char Char Char"/>
    <w:basedOn w:val="1"/>
    <w:qFormat/>
    <w:uiPriority w:val="0"/>
    <w:pPr>
      <w:spacing w:line="540" w:lineRule="exact"/>
      <w:ind w:firstLine="622" w:firstLineChars="200"/>
    </w:pPr>
    <w:rPr>
      <w:rFonts w:eastAsia="宋体"/>
      <w:sz w:val="21"/>
      <w:szCs w:val="24"/>
    </w:rPr>
  </w:style>
  <w:style w:type="character" w:customStyle="1" w:styleId="50">
    <w:name w:val="正文文本缩进 字符"/>
    <w:basedOn w:val="23"/>
    <w:link w:val="12"/>
    <w:qFormat/>
    <w:uiPriority w:val="0"/>
    <w:rPr>
      <w:rFonts w:ascii="宋体" w:hAnsi="宋体" w:eastAsia="宋体" w:cs="Times New Roman"/>
      <w:kern w:val="0"/>
      <w:sz w:val="24"/>
      <w:szCs w:val="24"/>
    </w:rPr>
  </w:style>
  <w:style w:type="character" w:customStyle="1" w:styleId="51">
    <w:name w:val="正文文本 字符"/>
    <w:basedOn w:val="23"/>
    <w:link w:val="11"/>
    <w:qFormat/>
    <w:uiPriority w:val="3"/>
    <w:rPr>
      <w:rFonts w:ascii="楷体_GB2312" w:hAnsi="Times New Roman" w:eastAsia="楷体_GB2312" w:cs="Times New Roman"/>
      <w:sz w:val="32"/>
      <w:szCs w:val="20"/>
    </w:rPr>
  </w:style>
  <w:style w:type="paragraph" w:customStyle="1" w:styleId="52">
    <w:name w:val="Char"/>
    <w:basedOn w:val="8"/>
    <w:qFormat/>
    <w:uiPriority w:val="0"/>
  </w:style>
  <w:style w:type="character" w:customStyle="1" w:styleId="53">
    <w:name w:val="文档结构图 字符"/>
    <w:basedOn w:val="23"/>
    <w:link w:val="8"/>
    <w:semiHidden/>
    <w:qFormat/>
    <w:uiPriority w:val="0"/>
    <w:rPr>
      <w:rFonts w:ascii="Times New Roman" w:hAnsi="Times New Roman" w:eastAsia="仿宋_GB2312" w:cs="Times New Roman"/>
      <w:sz w:val="32"/>
      <w:szCs w:val="20"/>
      <w:shd w:val="clear" w:color="auto" w:fill="000080"/>
    </w:rPr>
  </w:style>
  <w:style w:type="character" w:customStyle="1" w:styleId="54">
    <w:name w:val="副标题 字符"/>
    <w:basedOn w:val="23"/>
    <w:link w:val="18"/>
    <w:qFormat/>
    <w:uiPriority w:val="2"/>
    <w:rPr>
      <w:rFonts w:ascii="仿宋_GB2312" w:hAnsi="仿宋_GB2312" w:eastAsia="仿宋_GB2312" w:cs="仿宋_GB2312"/>
      <w:sz w:val="32"/>
      <w:szCs w:val="32"/>
    </w:rPr>
  </w:style>
  <w:style w:type="character" w:customStyle="1" w:styleId="55">
    <w:name w:val="正文文本缩进 3 字符"/>
    <w:basedOn w:val="23"/>
    <w:link w:val="19"/>
    <w:qFormat/>
    <w:uiPriority w:val="0"/>
    <w:rPr>
      <w:rFonts w:ascii="Times New Roman" w:hAnsi="Times New Roman" w:eastAsia="仿宋_GB2312" w:cs="Times New Roman"/>
      <w:sz w:val="16"/>
      <w:szCs w:val="16"/>
    </w:rPr>
  </w:style>
  <w:style w:type="character" w:customStyle="1" w:styleId="56">
    <w:name w:val="正文文本缩进 2 字符"/>
    <w:basedOn w:val="23"/>
    <w:link w:val="14"/>
    <w:qFormat/>
    <w:uiPriority w:val="0"/>
    <w:rPr>
      <w:rFonts w:ascii="Times New Roman" w:hAnsi="Times New Roman" w:eastAsia="仿宋_GB2312" w:cs="Times New Roman"/>
      <w:sz w:val="32"/>
      <w:szCs w:val="20"/>
    </w:rPr>
  </w:style>
  <w:style w:type="paragraph" w:customStyle="1" w:styleId="57">
    <w:name w:val="发文格式"/>
    <w:basedOn w:val="45"/>
    <w:link w:val="58"/>
    <w:qFormat/>
    <w:uiPriority w:val="0"/>
    <w:rPr>
      <w:rFonts w:ascii="方正小标宋简体" w:eastAsia="方正小标宋简体"/>
    </w:rPr>
  </w:style>
  <w:style w:type="character" w:customStyle="1" w:styleId="58">
    <w:name w:val="发文格式 Char"/>
    <w:basedOn w:val="46"/>
    <w:link w:val="57"/>
    <w:qFormat/>
    <w:uiPriority w:val="0"/>
    <w:rPr>
      <w:rFonts w:ascii="方正小标宋简体" w:hAnsi="Times New Roman" w:eastAsia="方正小标宋简体" w:cs="Times New Roman"/>
      <w:sz w:val="32"/>
      <w:szCs w:val="20"/>
    </w:rPr>
  </w:style>
  <w:style w:type="paragraph" w:customStyle="1" w:styleId="59">
    <w:name w:val="文件标题"/>
    <w:basedOn w:val="1"/>
    <w:qFormat/>
    <w:uiPriority w:val="0"/>
    <w:pPr>
      <w:spacing w:line="540" w:lineRule="exact"/>
      <w:jc w:val="center"/>
    </w:pPr>
    <w:rPr>
      <w:rFonts w:eastAsia="宋体"/>
      <w:b/>
      <w:sz w:val="36"/>
    </w:rPr>
  </w:style>
  <w:style w:type="character" w:customStyle="1" w:styleId="60">
    <w:name w:val="称呼 字符"/>
    <w:basedOn w:val="23"/>
    <w:link w:val="10"/>
    <w:qFormat/>
    <w:uiPriority w:val="0"/>
    <w:rPr>
      <w:rFonts w:ascii="Times New Roman" w:hAnsi="Times New Roman" w:eastAsia="仿宋_GB2312" w:cs="Times New Roman"/>
      <w:sz w:val="32"/>
      <w:szCs w:val="20"/>
    </w:rPr>
  </w:style>
  <w:style w:type="paragraph" w:customStyle="1" w:styleId="61">
    <w:name w:val="Revision"/>
    <w:hidden/>
    <w:unhideWhenUsed/>
    <w:qFormat/>
    <w:uiPriority w:val="99"/>
    <w:rPr>
      <w:rFonts w:ascii="Times New Roman" w:hAnsi="Times New Roman" w:eastAsia="仿宋_GB2312" w:cs="Times New Roman"/>
      <w:kern w:val="2"/>
      <w:sz w:val="32"/>
      <w:lang w:val="en-US" w:eastAsia="zh-CN" w:bidi="ar-SA"/>
    </w:rPr>
  </w:style>
  <w:style w:type="paragraph" w:styleId="62">
    <w:name w:val="List Paragraph"/>
    <w:basedOn w:val="1"/>
    <w:qFormat/>
    <w:uiPriority w:val="99"/>
    <w:pPr>
      <w:ind w:firstLine="420" w:firstLineChars="200"/>
    </w:pPr>
  </w:style>
  <w:style w:type="character" w:customStyle="1" w:styleId="63">
    <w:name w:val="批注文字 字符"/>
    <w:basedOn w:val="23"/>
    <w:link w:val="9"/>
    <w:qFormat/>
    <w:uiPriority w:val="99"/>
    <w:rPr>
      <w:rFonts w:ascii="仿宋_GB2312" w:eastAsia="仿宋_GB2312"/>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741</Words>
  <Characters>4230</Characters>
  <Lines>35</Lines>
  <Paragraphs>9</Paragraphs>
  <TotalTime>0</TotalTime>
  <ScaleCrop>false</ScaleCrop>
  <LinksUpToDate>false</LinksUpToDate>
  <CharactersWithSpaces>4962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2021-11-14T08:22:00Z</dcterms:created>
  <dc:creator>肖娟兰</dc:creator>
  <cp:lastModifiedBy>覃巍</cp:lastModifiedBy>
  <dcterms:modified xsi:type="dcterms:W3CDTF">2021-11-16T19:31:02Z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