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eastAsia" w:ascii="Tahoma" w:hAnsi="Tahoma" w:eastAsia="Tahoma" w:cs="Tahoma"/>
          <w:color w:val="333333"/>
          <w:sz w:val="18"/>
          <w:szCs w:val="18"/>
        </w:rPr>
      </w:pPr>
      <w:r>
        <w:rPr>
          <w:rFonts w:ascii="黑体" w:hAnsi="黑体" w:eastAsia="黑体" w:cs="黑体"/>
          <w:color w:val="008B8B"/>
          <w:sz w:val="28"/>
          <w:szCs w:val="28"/>
          <w:bdr w:val="none" w:color="auto" w:sz="0" w:space="0"/>
          <w:shd w:val="clear" w:fill="FFFFFF"/>
        </w:rPr>
        <w:t>一、产品介绍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FA-1型六级筛孔撞击式空气微生物采样器，是一种双功能阶式多级撞击采样器，可广泛地用于卫生防疫、生物洁净、制药、发酵工业等环境中的监测以及有关研究教学部门作空气微生物的采样研究，为评价空气环境微生物污染危害及其防治措施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用于卫生防疫、生物洁净、制药、发酵工业以及有关研究教学部门等环境中。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default" w:ascii="Tahoma" w:hAnsi="Tahoma" w:eastAsia="Tahoma" w:cs="Tahoma"/>
          <w:color w:val="333333"/>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008B8B"/>
          <w:sz w:val="28"/>
          <w:szCs w:val="28"/>
          <w:bdr w:val="none" w:color="auto" w:sz="0" w:space="0"/>
          <w:shd w:val="clear" w:fill="FFFFFF"/>
        </w:rPr>
        <w:t>二、产品参数</w:t>
      </w:r>
    </w:p>
    <w:tbl>
      <w:tblPr>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293"/>
        <w:gridCol w:w="6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71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捕获率：</w:t>
            </w:r>
          </w:p>
        </w:tc>
        <w:tc>
          <w:tcPr>
            <w:tcW w:w="525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捕获粒子范围：</w:t>
            </w:r>
          </w:p>
        </w:tc>
        <w:tc>
          <w:tcPr>
            <w:tcW w:w="525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第一级 &gt;7.0μm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525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第二级 4.7~7.0μm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525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第三级 3.3 ~4.7μm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525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第四级 2.1~3.3μm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525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第五级 1.1~2.1μm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525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第六级 0.65~1.1μm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采样流量：</w:t>
            </w:r>
          </w:p>
        </w:tc>
        <w:tc>
          <w:tcPr>
            <w:tcW w:w="525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28.3升/min (可调)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电源：</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体积：</w:t>
            </w:r>
          </w:p>
        </w:tc>
        <w:tc>
          <w:tcPr>
            <w:tcW w:w="525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撞击器 Φ108×192mm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主机 200×150×125mm</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重量：</w:t>
            </w:r>
          </w:p>
        </w:tc>
        <w:tc>
          <w:tcPr>
            <w:tcW w:w="525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撞击器1kg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主机3kg</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default" w:ascii="Tahoma" w:hAnsi="Tahoma" w:eastAsia="Tahoma" w:cs="Tahoma"/>
          <w:color w:val="333333"/>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008B8B"/>
          <w:sz w:val="28"/>
          <w:szCs w:val="28"/>
          <w:bdr w:val="none" w:color="auto" w:sz="0" w:space="0"/>
          <w:shd w:val="clear" w:fill="FFFFFF"/>
        </w:rPr>
        <w:t>三、产品特点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本采样器的特点是能同时测定出空气微生物污染的数量和其粒子大小分布，此两参数是判定空气微生物污染的危害所缺一不可的，而其它的采样器都仅能测其浓度而不能测定粒子大小。它是由六个撞击器组合在一起，每一级实际是一个采样器，利用6次反复撞击原理，决大部分粒子特别是在气管及肺部沉降的粒子基本都撞击下来，因此它采集到粒子大小范围自然比单级的广，这是一些单级撞击采样器所无法比拟的。撞击器的圆形喷口比裂隙式等喷口有更高的采样效率。采样时其内部相对湿度逐级增高（由第一级的29%增至第六级的88%），这十分有利于脆弱的病原微生物，特别是病毒粒子的存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default" w:ascii="Tahoma" w:hAnsi="Tahoma" w:eastAsia="Tahoma" w:cs="Tahoma"/>
          <w:color w:val="333333"/>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008B8B"/>
          <w:sz w:val="28"/>
          <w:szCs w:val="28"/>
          <w:bdr w:val="none" w:color="auto" w:sz="0" w:space="0"/>
          <w:shd w:val="clear" w:fill="FFFFFF"/>
        </w:rPr>
        <w:t>四、产品实拍（版权图片）</w:t>
      </w:r>
    </w:p>
    <w:p>
      <w:pPr>
        <w:pStyle w:val="2"/>
        <w:keepNext w:val="0"/>
        <w:keepLines w:val="0"/>
        <w:widowControl/>
        <w:suppressLineNumbers w:val="0"/>
        <w:spacing w:before="75" w:beforeAutospacing="0" w:after="75" w:afterAutospacing="0"/>
        <w:ind w:left="0" w:right="0"/>
        <w:jc w:val="left"/>
      </w:pPr>
      <w:r>
        <w:drawing>
          <wp:inline distT="0" distB="0" distL="114300" distR="114300">
            <wp:extent cx="6369685" cy="4362450"/>
            <wp:effectExtent l="0" t="0" r="12065" b="0"/>
            <wp:docPr id="2" name="图片 1"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1.jpg"/>
                    <pic:cNvPicPr>
                      <a:picLocks noChangeAspect="1"/>
                    </pic:cNvPicPr>
                  </pic:nvPicPr>
                  <pic:blipFill>
                    <a:blip r:embed="rId4"/>
                    <a:stretch>
                      <a:fillRect/>
                    </a:stretch>
                  </pic:blipFill>
                  <pic:spPr>
                    <a:xfrm>
                      <a:off x="0" y="0"/>
                      <a:ext cx="6369685" cy="43624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jc w:val="left"/>
      </w:pPr>
      <w:r>
        <w:drawing>
          <wp:inline distT="0" distB="0" distL="114300" distR="114300">
            <wp:extent cx="6106160" cy="3625215"/>
            <wp:effectExtent l="0" t="0" r="8890" b="13335"/>
            <wp:docPr id="1" name="图片 2"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2.jpg"/>
                    <pic:cNvPicPr>
                      <a:picLocks noChangeAspect="1"/>
                    </pic:cNvPicPr>
                  </pic:nvPicPr>
                  <pic:blipFill>
                    <a:blip r:embed="rId5"/>
                    <a:stretch>
                      <a:fillRect/>
                    </a:stretch>
                  </pic:blipFill>
                  <pic:spPr>
                    <a:xfrm>
                      <a:off x="0" y="0"/>
                      <a:ext cx="6106160" cy="3625215"/>
                    </a:xfrm>
                    <a:prstGeom prst="rect">
                      <a:avLst/>
                    </a:prstGeom>
                    <a:noFill/>
                    <a:ln w="9525">
                      <a:noFill/>
                    </a:ln>
                  </pic:spPr>
                </pic:pic>
              </a:graphicData>
            </a:graphic>
          </wp:inline>
        </w:drawing>
      </w:r>
    </w:p>
    <w:tbl>
      <w:tblPr>
        <w:tblW w:w="9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532"/>
        <w:gridCol w:w="1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5" w:hRule="atLeast"/>
        </w:trPr>
        <w:tc>
          <w:tcPr>
            <w:tcW w:w="9440" w:type="dxa"/>
            <w:gridSpan w:val="2"/>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center"/>
              <w:rPr>
                <w:rFonts w:ascii="Verdana" w:hAnsi="Verdana" w:cs="Verdana"/>
              </w:rPr>
            </w:pPr>
            <w:r>
              <w:rPr>
                <w:rFonts w:hint="eastAsia" w:ascii="黑体" w:hAnsi="黑体" w:eastAsia="黑体" w:cs="黑体"/>
                <w:color w:val="FF0000"/>
                <w:kern w:val="0"/>
                <w:sz w:val="28"/>
                <w:szCs w:val="28"/>
                <w:bdr w:val="none" w:color="auto" w:sz="0" w:space="0"/>
                <w:lang w:val="en-US" w:eastAsia="zh-CN" w:bidi="ar"/>
              </w:rPr>
              <w:t>浮游菌微生物采样器 其他型号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产品</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浮游空气尘菌采样器</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FKC-1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浮游空气尘菌采样器</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FKC-II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浮游空气尘菌采样器</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FKC-Ⅲ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六级筛孔撞击式空气微生物采样器</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FA-1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二级筛孔撞击式空气微生物采样器</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FA-2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气溶胶粒度分布采样器</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FA-3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微生物气溶胶浓缩器</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FA-4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智能微生物采样器</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left"/>
              <w:rPr>
                <w:rFonts w:hint="default" w:ascii="Verdana" w:hAnsi="Verdana" w:cs="Verdana"/>
              </w:rPr>
            </w:pPr>
            <w:r>
              <w:rPr>
                <w:rFonts w:hint="eastAsia" w:ascii="黑体" w:hAnsi="黑体" w:eastAsia="黑体" w:cs="黑体"/>
                <w:kern w:val="0"/>
                <w:sz w:val="28"/>
                <w:szCs w:val="28"/>
                <w:bdr w:val="none" w:color="auto" w:sz="0" w:space="0"/>
                <w:lang w:val="en-US" w:eastAsia="zh-CN" w:bidi="ar"/>
              </w:rPr>
              <w:t>FA-1H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8" w:hRule="atLeast"/>
        </w:trPr>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jc w:val="center"/>
              <w:rPr>
                <w:rFonts w:hint="default" w:ascii="Verdana" w:hAnsi="Verdana" w:cs="Verdana"/>
              </w:rPr>
            </w:pPr>
            <w:r>
              <w:rPr>
                <w:rFonts w:hint="eastAsia" w:ascii="黑体" w:hAnsi="黑体" w:eastAsia="黑体" w:cs="黑体"/>
                <w:kern w:val="0"/>
                <w:sz w:val="28"/>
                <w:szCs w:val="28"/>
                <w:bdr w:val="none" w:color="auto" w:sz="0" w:space="0"/>
                <w:lang w:val="en-US" w:eastAsia="zh-CN" w:bidi="ar"/>
              </w:rPr>
              <w:t>具体洽谈</w:t>
            </w:r>
          </w:p>
        </w:tc>
      </w:tr>
    </w:tbl>
    <w:p>
      <w:pPr>
        <w:pStyle w:val="2"/>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F730A5"/>
    <w:rsid w:val="7DEF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2021-11-08T01:03:00Z</dcterms:created>
  <dc:creator>Administrator</dc:creator>
  <cp:lastModifiedBy>LE</cp:lastModifiedBy>
  <dcterms:modified xsi:type="dcterms:W3CDTF">2021-11-08T02:55:54Z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FE05CE1C8D454E1E92B84C692C1A16B8</vt:lpwstr>
  </property>
</Properties>
</file>