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sz w:val="24"/>
        </w:rPr>
      </w:pPr>
      <w:r>
        <w:rPr>
          <w:rFonts w:hint="eastAsia" w:ascii="宋体" w:hAnsi="宋体" w:cs="宋体"/>
          <w:sz w:val="24"/>
        </w:rPr>
        <w:t>复旦大学泰州健康科学研究院高通量基因分型芯片检测服务项目</w:t>
      </w:r>
    </w:p>
    <w:p>
      <w:pPr>
        <w:jc w:val="center"/>
        <w:rPr>
          <w:rFonts w:hint="eastAsia" w:ascii="宋体" w:hAnsi="宋体" w:cs="宋体"/>
          <w:sz w:val="24"/>
          <w:lang w:val="en-US" w:eastAsia="zh-CN"/>
        </w:rPr>
      </w:pPr>
    </w:p>
    <w:p>
      <w:pPr>
        <w:jc w:val="center"/>
        <w:rPr>
          <w:rFonts w:hint="eastAsia" w:eastAsia="宋体"/>
          <w:lang w:val="en-US" w:eastAsia="zh-CN"/>
        </w:rPr>
      </w:pPr>
      <w:r>
        <w:rPr>
          <w:rFonts w:hint="eastAsia" w:ascii="宋体" w:hAnsi="宋体" w:cs="宋体"/>
          <w:sz w:val="24"/>
          <w:lang w:val="en-US" w:eastAsia="zh-CN"/>
        </w:rPr>
        <w:t>招标公告</w:t>
      </w:r>
    </w:p>
    <w:p/>
    <w:p>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u w:val="single"/>
        </w:rPr>
        <w:t>复旦大学泰州健康科学研究院高通量基因分型芯片检测服务项目</w:t>
      </w:r>
      <w:r>
        <w:rPr>
          <w:rFonts w:hint="eastAsia" w:ascii="宋体" w:hAnsi="宋体" w:cs="宋体"/>
          <w:sz w:val="24"/>
        </w:rPr>
        <w:t>的潜在投标人应在</w:t>
      </w:r>
      <w:r>
        <w:rPr>
          <w:rFonts w:hint="eastAsia" w:ascii="宋体" w:hAnsi="宋体" w:cs="宋体"/>
          <w:sz w:val="24"/>
          <w:u w:val="single"/>
        </w:rPr>
        <w:t>江苏经纬会计师事务所有限公司（泰州市海陵区财政局202室），泰州市人民东路37号</w:t>
      </w:r>
      <w:r>
        <w:rPr>
          <w:rFonts w:hint="eastAsia" w:ascii="宋体" w:hAnsi="宋体" w:cs="宋体"/>
          <w:sz w:val="24"/>
        </w:rPr>
        <w:t>获取招标文件，并于</w:t>
      </w:r>
      <w:r>
        <w:rPr>
          <w:rFonts w:hint="eastAsia" w:ascii="宋体" w:hAnsi="宋体" w:cs="宋体"/>
          <w:sz w:val="24"/>
          <w:u w:val="single"/>
        </w:rPr>
        <w:t xml:space="preserve"> 2021</w:t>
      </w:r>
      <w:r>
        <w:rPr>
          <w:rFonts w:hint="eastAsia" w:ascii="宋体" w:hAnsi="宋体" w:cs="宋体"/>
          <w:bCs/>
          <w:sz w:val="24"/>
          <w:u w:val="single"/>
        </w:rPr>
        <w:t>年11月</w:t>
      </w:r>
      <w:r>
        <w:rPr>
          <w:rFonts w:hint="eastAsia" w:ascii="宋体" w:hAnsi="宋体" w:cs="宋体"/>
          <w:bCs/>
          <w:sz w:val="24"/>
          <w:u w:val="single"/>
          <w:lang w:val="en-US" w:eastAsia="zh-CN"/>
        </w:rPr>
        <w:t>18</w:t>
      </w:r>
      <w:r>
        <w:rPr>
          <w:rFonts w:hint="eastAsia" w:ascii="宋体" w:hAnsi="宋体" w:cs="宋体"/>
          <w:bCs/>
          <w:sz w:val="24"/>
          <w:u w:val="single"/>
        </w:rPr>
        <w:t>日</w:t>
      </w:r>
      <w:r>
        <w:rPr>
          <w:rFonts w:hint="eastAsia" w:ascii="宋体" w:hAnsi="宋体" w:cs="宋体"/>
          <w:bCs/>
          <w:sz w:val="24"/>
          <w:u w:val="single"/>
          <w:lang w:val="en-US" w:eastAsia="zh-CN"/>
        </w:rPr>
        <w:t>15</w:t>
      </w:r>
      <w:r>
        <w:rPr>
          <w:rFonts w:hint="eastAsia" w:ascii="宋体" w:hAnsi="宋体" w:cs="宋体"/>
          <w:bCs/>
          <w:sz w:val="24"/>
          <w:u w:val="single"/>
        </w:rPr>
        <w:t>点00分（</w:t>
      </w:r>
      <w:r>
        <w:rPr>
          <w:rFonts w:hint="eastAsia" w:ascii="宋体" w:hAnsi="宋体" w:cs="宋体"/>
          <w:bCs/>
          <w:sz w:val="24"/>
        </w:rPr>
        <w:t>北京时间）前递交投标文件</w:t>
      </w:r>
      <w:r>
        <w:rPr>
          <w:rFonts w:hint="eastAsia" w:ascii="宋体" w:hAnsi="宋体" w:cs="宋体"/>
          <w:sz w:val="24"/>
        </w:rPr>
        <w:t>。</w:t>
      </w:r>
    </w:p>
    <w:p>
      <w:pPr>
        <w:spacing w:line="360" w:lineRule="auto"/>
        <w:ind w:firstLine="482" w:firstLineChars="200"/>
        <w:rPr>
          <w:rFonts w:hint="eastAsia" w:ascii="宋体" w:hAnsi="宋体" w:cs="宋体"/>
          <w:b/>
          <w:bCs/>
          <w:sz w:val="24"/>
        </w:rPr>
      </w:pPr>
      <w:bookmarkStart w:id="0" w:name="_Toc35393621"/>
      <w:bookmarkStart w:id="1" w:name="_Toc35393790"/>
      <w:bookmarkStart w:id="2" w:name="_Toc28359079"/>
      <w:bookmarkStart w:id="3" w:name="_Toc28359002"/>
      <w:bookmarkStart w:id="4" w:name="_Hlk24379207"/>
      <w:r>
        <w:rPr>
          <w:rFonts w:hint="eastAsia" w:ascii="宋体" w:hAnsi="宋体" w:cs="宋体"/>
          <w:b/>
          <w:bCs/>
          <w:sz w:val="24"/>
        </w:rPr>
        <w:t>一、项目基本情况</w:t>
      </w:r>
      <w:bookmarkEnd w:id="0"/>
      <w:bookmarkEnd w:id="1"/>
      <w:bookmarkEnd w:id="2"/>
      <w:bookmarkEnd w:id="3"/>
    </w:p>
    <w:p>
      <w:pPr>
        <w:spacing w:line="360" w:lineRule="auto"/>
        <w:ind w:firstLine="480" w:firstLineChars="200"/>
        <w:rPr>
          <w:rFonts w:hint="eastAsia" w:ascii="宋体" w:hAnsi="宋体" w:cs="宋体"/>
          <w:sz w:val="24"/>
        </w:rPr>
      </w:pPr>
      <w:r>
        <w:rPr>
          <w:rFonts w:hint="eastAsia" w:ascii="宋体" w:hAnsi="宋体" w:cs="宋体"/>
          <w:sz w:val="24"/>
        </w:rPr>
        <w:t>项目编号：JSJWZBDL2021-62</w:t>
      </w:r>
    </w:p>
    <w:p>
      <w:pPr>
        <w:spacing w:line="360" w:lineRule="auto"/>
        <w:ind w:firstLine="480" w:firstLineChars="200"/>
        <w:rPr>
          <w:rFonts w:hint="eastAsia" w:ascii="宋体" w:hAnsi="宋体" w:cs="宋体"/>
          <w:sz w:val="24"/>
        </w:rPr>
      </w:pPr>
      <w:r>
        <w:rPr>
          <w:rFonts w:hint="eastAsia" w:ascii="宋体" w:hAnsi="宋体" w:cs="宋体"/>
          <w:sz w:val="24"/>
        </w:rPr>
        <w:t>项目名称：</w:t>
      </w:r>
      <w:bookmarkEnd w:id="4"/>
      <w:r>
        <w:rPr>
          <w:rFonts w:hint="eastAsia" w:ascii="宋体" w:hAnsi="宋体" w:cs="宋体"/>
          <w:sz w:val="24"/>
        </w:rPr>
        <w:t>复旦大学泰州健康科学研究院高通量基因分型芯片检测服务项目</w:t>
      </w:r>
    </w:p>
    <w:p>
      <w:pPr>
        <w:spacing w:line="360" w:lineRule="auto"/>
        <w:ind w:firstLine="480" w:firstLineChars="200"/>
        <w:rPr>
          <w:rFonts w:hint="eastAsia" w:ascii="宋体" w:hAnsi="宋体" w:cs="宋体"/>
          <w:sz w:val="24"/>
        </w:rPr>
      </w:pPr>
      <w:r>
        <w:rPr>
          <w:rFonts w:hint="eastAsia" w:ascii="宋体" w:hAnsi="宋体" w:cs="宋体"/>
          <w:sz w:val="24"/>
        </w:rPr>
        <w:t>采购预算：人民币1125万元</w:t>
      </w:r>
    </w:p>
    <w:p>
      <w:pPr>
        <w:spacing w:line="360" w:lineRule="auto"/>
        <w:ind w:firstLine="480" w:firstLineChars="200"/>
        <w:rPr>
          <w:rFonts w:ascii="宋体" w:hAnsi="宋体" w:cs="宋体"/>
          <w:sz w:val="24"/>
        </w:rPr>
      </w:pPr>
      <w:r>
        <w:rPr>
          <w:rFonts w:hint="eastAsia" w:ascii="宋体" w:hAnsi="宋体" w:cs="宋体"/>
          <w:sz w:val="24"/>
        </w:rPr>
        <w:t>最高限价：人民币1125万元</w:t>
      </w:r>
    </w:p>
    <w:p>
      <w:pPr>
        <w:spacing w:line="360" w:lineRule="auto"/>
        <w:ind w:firstLine="480" w:firstLineChars="200"/>
        <w:rPr>
          <w:rFonts w:hint="eastAsia" w:ascii="宋体" w:hAnsi="宋体" w:cs="宋体"/>
          <w:sz w:val="24"/>
        </w:rPr>
      </w:pPr>
      <w:r>
        <w:rPr>
          <w:rFonts w:hint="eastAsia" w:ascii="宋体" w:hAnsi="宋体" w:cs="宋体"/>
          <w:sz w:val="24"/>
        </w:rPr>
        <w:t>采购需求：具体详见招标文件</w:t>
      </w:r>
    </w:p>
    <w:p>
      <w:pPr>
        <w:spacing w:line="360" w:lineRule="auto"/>
        <w:ind w:firstLine="480" w:firstLineChars="200"/>
        <w:rPr>
          <w:highlight w:val="none"/>
        </w:rPr>
      </w:pPr>
      <w:r>
        <w:rPr>
          <w:rFonts w:hint="eastAsia" w:ascii="宋体" w:hAnsi="宋体" w:cs="宋体"/>
          <w:sz w:val="24"/>
        </w:rPr>
        <w:t>合同履行期限</w:t>
      </w:r>
      <w:r>
        <w:rPr>
          <w:rFonts w:hint="eastAsia" w:ascii="宋体" w:hAnsi="宋体" w:cs="宋体"/>
          <w:sz w:val="24"/>
          <w:highlight w:val="none"/>
        </w:rPr>
        <w:t>：合同签订相关服务启动后一年内完成全部工作</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本项目不接受联合体</w:t>
      </w:r>
    </w:p>
    <w:p>
      <w:pPr>
        <w:spacing w:line="360" w:lineRule="auto"/>
        <w:ind w:firstLine="482" w:firstLineChars="200"/>
        <w:rPr>
          <w:rFonts w:hint="eastAsia" w:ascii="宋体" w:hAnsi="宋体" w:cs="宋体"/>
          <w:b/>
          <w:bCs/>
          <w:sz w:val="24"/>
        </w:rPr>
      </w:pPr>
      <w:bookmarkStart w:id="5" w:name="_Toc28359003"/>
      <w:bookmarkStart w:id="6" w:name="_Toc35393791"/>
      <w:bookmarkStart w:id="7" w:name="_Toc35393622"/>
      <w:bookmarkStart w:id="8" w:name="_Toc28359080"/>
      <w:r>
        <w:rPr>
          <w:rFonts w:hint="eastAsia" w:ascii="宋体" w:hAnsi="宋体" w:cs="宋体"/>
          <w:b/>
          <w:bCs/>
          <w:sz w:val="24"/>
        </w:rPr>
        <w:t>二、申请人的资格要求</w:t>
      </w:r>
      <w:bookmarkEnd w:id="5"/>
      <w:bookmarkEnd w:id="6"/>
      <w:bookmarkEnd w:id="7"/>
      <w:bookmarkEnd w:id="8"/>
    </w:p>
    <w:p>
      <w:pPr>
        <w:spacing w:line="360" w:lineRule="auto"/>
        <w:ind w:firstLine="480" w:firstLineChars="200"/>
        <w:rPr>
          <w:rFonts w:hint="eastAsia" w:ascii="宋体" w:hAnsi="宋体" w:cs="宋体"/>
          <w:sz w:val="24"/>
        </w:rPr>
      </w:pPr>
      <w:r>
        <w:rPr>
          <w:rFonts w:hint="eastAsia" w:ascii="宋体" w:hAnsi="宋体" w:cs="宋体"/>
          <w:sz w:val="24"/>
        </w:rPr>
        <w:t>（一）满足《中华人民共和国政府采购法》第二十二条规定并提供以下证明材料：</w:t>
      </w:r>
    </w:p>
    <w:p>
      <w:pPr>
        <w:spacing w:line="360" w:lineRule="auto"/>
        <w:ind w:firstLine="480" w:firstLineChars="200"/>
        <w:rPr>
          <w:rFonts w:hint="eastAsia" w:ascii="宋体" w:hAnsi="宋体" w:cs="宋体"/>
          <w:sz w:val="24"/>
        </w:rPr>
      </w:pPr>
      <w:r>
        <w:rPr>
          <w:rFonts w:hint="eastAsia" w:ascii="宋体" w:hAnsi="宋体" w:cs="宋体"/>
          <w:sz w:val="24"/>
        </w:rPr>
        <w:t>1、法人或者其他组织的营业执照等证明文件。</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2、2020年度的财务状况报告（提供审计报告或财务报表，成立不满一年不需提供）。</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3、依法缴纳税收和社会保障资金的相关材料。</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4、具备履行合同所必需的设备和专业技术能力的证明材料。</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5、参加政府采购活动前3年内在经营活动中没有重大违法记录的书面声明。</w:t>
      </w:r>
    </w:p>
    <w:p>
      <w:pPr>
        <w:numPr>
          <w:ilvl w:val="0"/>
          <w:numId w:val="2"/>
        </w:numPr>
        <w:spacing w:line="360" w:lineRule="auto"/>
        <w:ind w:firstLine="480" w:firstLineChars="200"/>
        <w:rPr>
          <w:rFonts w:hint="eastAsia" w:ascii="宋体" w:hAnsi="宋体" w:cs="宋体"/>
          <w:sz w:val="24"/>
          <w:u w:val="single"/>
        </w:rPr>
      </w:pPr>
      <w:bookmarkStart w:id="9" w:name="_Toc28359004"/>
      <w:bookmarkStart w:id="10" w:name="_Toc28359081"/>
      <w:r>
        <w:rPr>
          <w:rFonts w:hint="eastAsia" w:ascii="宋体" w:hAnsi="宋体" w:cs="宋体"/>
          <w:sz w:val="24"/>
        </w:rPr>
        <w:t>落实政府采购政策需满足的资格要求：</w:t>
      </w:r>
      <w:r>
        <w:rPr>
          <w:rFonts w:hint="eastAsia" w:ascii="宋体" w:hAnsi="宋体" w:cs="宋体"/>
          <w:sz w:val="24"/>
          <w:u w:val="single"/>
        </w:rPr>
        <w:t>无</w:t>
      </w:r>
    </w:p>
    <w:p>
      <w:pPr>
        <w:pStyle w:val="4"/>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rPr>
        <w:t>本项目的特定资格要</w:t>
      </w:r>
      <w:bookmarkStart w:id="31" w:name="_GoBack"/>
      <w:bookmarkEnd w:id="31"/>
      <w:r>
        <w:rPr>
          <w:rFonts w:hint="eastAsia" w:ascii="宋体" w:hAnsi="宋体" w:cs="宋体"/>
          <w:sz w:val="24"/>
          <w:szCs w:val="24"/>
        </w:rPr>
        <w:t>求：无</w:t>
      </w:r>
    </w:p>
    <w:p>
      <w:pPr>
        <w:pStyle w:val="4"/>
        <w:spacing w:line="360" w:lineRule="auto"/>
        <w:ind w:firstLine="480" w:firstLineChars="200"/>
        <w:rPr>
          <w:rFonts w:hint="eastAsia" w:ascii="宋体" w:hAnsi="宋体" w:cs="宋体"/>
          <w:sz w:val="24"/>
          <w:szCs w:val="24"/>
        </w:rPr>
      </w:pPr>
      <w:r>
        <w:rPr>
          <w:rFonts w:hint="eastAsia" w:ascii="宋体" w:hAnsi="宋体" w:cs="宋体"/>
          <w:sz w:val="24"/>
        </w:rPr>
        <w:t>（四）未被“信用中国”网站（www.creditchina.gov.cn）列入失信被执行人、重大税收违法案件当事人名单、政府采购严重失信行为记录名单。</w:t>
      </w:r>
    </w:p>
    <w:p>
      <w:pPr>
        <w:spacing w:line="360" w:lineRule="auto"/>
        <w:ind w:firstLine="482" w:firstLineChars="200"/>
        <w:rPr>
          <w:rFonts w:hint="eastAsia" w:ascii="宋体" w:hAnsi="宋体" w:cs="宋体"/>
          <w:b/>
          <w:sz w:val="24"/>
        </w:rPr>
      </w:pPr>
      <w:r>
        <w:rPr>
          <w:rFonts w:hint="eastAsia" w:ascii="宋体" w:hAnsi="宋体" w:cs="宋体"/>
          <w:b/>
          <w:sz w:val="24"/>
        </w:rPr>
        <w:t>注：1、凡为本采购项目提供整体设计、规范编制或者项目管理、监理、检测等服务的供应商，不得再参加本采购项目的其他采购活动；</w:t>
      </w:r>
    </w:p>
    <w:p>
      <w:pPr>
        <w:spacing w:line="360" w:lineRule="auto"/>
        <w:ind w:firstLine="482" w:firstLineChars="200"/>
        <w:rPr>
          <w:rFonts w:hint="eastAsia" w:ascii="宋体" w:hAnsi="宋体" w:cs="宋体"/>
          <w:sz w:val="24"/>
        </w:rPr>
      </w:pPr>
      <w:r>
        <w:rPr>
          <w:rFonts w:hint="eastAsia" w:ascii="宋体" w:hAnsi="宋体" w:cs="宋体"/>
          <w:b/>
          <w:sz w:val="24"/>
        </w:rPr>
        <w:t>2、单位法定代表人/负责人为同一人或者存在直接控股、管理关系的不同供应商，不得参加同一合同项下的政府采购活动。</w:t>
      </w:r>
    </w:p>
    <w:p>
      <w:pPr>
        <w:spacing w:line="360" w:lineRule="auto"/>
        <w:ind w:firstLine="482" w:firstLineChars="200"/>
        <w:rPr>
          <w:rFonts w:hint="eastAsia" w:ascii="宋体" w:hAnsi="宋体" w:cs="宋体"/>
          <w:b/>
          <w:bCs/>
          <w:sz w:val="24"/>
        </w:rPr>
      </w:pPr>
      <w:bookmarkStart w:id="11" w:name="_Toc35393792"/>
      <w:bookmarkStart w:id="12" w:name="_Toc35393623"/>
      <w:r>
        <w:rPr>
          <w:rFonts w:hint="eastAsia" w:ascii="宋体" w:hAnsi="宋体" w:cs="宋体"/>
          <w:b/>
          <w:bCs/>
          <w:sz w:val="24"/>
        </w:rPr>
        <w:t>三、获取招标文件</w:t>
      </w:r>
      <w:bookmarkEnd w:id="9"/>
      <w:bookmarkEnd w:id="10"/>
      <w:bookmarkEnd w:id="11"/>
      <w:bookmarkEnd w:id="12"/>
    </w:p>
    <w:p>
      <w:pPr>
        <w:spacing w:line="360" w:lineRule="auto"/>
        <w:ind w:firstLine="480" w:firstLineChars="200"/>
        <w:rPr>
          <w:rFonts w:hint="eastAsia" w:ascii="宋体" w:hAnsi="宋体" w:cs="宋体"/>
          <w:sz w:val="24"/>
        </w:rPr>
      </w:pPr>
      <w:r>
        <w:rPr>
          <w:rFonts w:hint="eastAsia" w:ascii="宋体" w:hAnsi="宋体" w:cs="宋体"/>
          <w:sz w:val="24"/>
        </w:rPr>
        <w:t>时间：2021年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29</w:t>
      </w:r>
      <w:r>
        <w:rPr>
          <w:rFonts w:hint="eastAsia" w:ascii="宋体" w:hAnsi="宋体" w:cs="宋体"/>
          <w:sz w:val="24"/>
        </w:rPr>
        <w:t>日至2021年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4</w:t>
      </w:r>
      <w:r>
        <w:rPr>
          <w:rFonts w:hint="eastAsia" w:ascii="宋体" w:hAnsi="宋体" w:cs="宋体"/>
          <w:sz w:val="24"/>
        </w:rPr>
        <w:t>日，每天上午09：00至11：00，下14：30至17：00（北京时间，法定节假日除外）</w:t>
      </w:r>
    </w:p>
    <w:p>
      <w:pPr>
        <w:spacing w:line="360" w:lineRule="auto"/>
        <w:ind w:firstLine="480" w:firstLineChars="200"/>
        <w:rPr>
          <w:rFonts w:hint="eastAsia" w:ascii="宋体" w:hAnsi="宋体" w:cs="宋体"/>
          <w:sz w:val="24"/>
          <w:u w:val="single"/>
        </w:rPr>
      </w:pPr>
      <w:r>
        <w:rPr>
          <w:rFonts w:hint="eastAsia" w:ascii="宋体" w:hAnsi="宋体" w:cs="宋体"/>
          <w:sz w:val="24"/>
        </w:rPr>
        <w:t>地点：江苏经纬会计师事务所有限公司（泰州市海陵区财政局202室）</w:t>
      </w:r>
    </w:p>
    <w:p>
      <w:pPr>
        <w:spacing w:line="360" w:lineRule="auto"/>
        <w:ind w:firstLine="480" w:firstLineChars="200"/>
        <w:rPr>
          <w:rFonts w:hint="eastAsia" w:ascii="宋体" w:hAnsi="宋体" w:cs="宋体"/>
          <w:sz w:val="24"/>
        </w:rPr>
      </w:pPr>
      <w:bookmarkStart w:id="13" w:name="_Toc28359005"/>
      <w:bookmarkStart w:id="14" w:name="_Toc28359082"/>
      <w:bookmarkStart w:id="15" w:name="_Toc35393624"/>
      <w:bookmarkStart w:id="16" w:name="_Toc35393793"/>
      <w:r>
        <w:rPr>
          <w:rFonts w:hint="eastAsia" w:ascii="宋体" w:hAnsi="宋体" w:cs="宋体"/>
          <w:sz w:val="24"/>
        </w:rPr>
        <w:t>方式：1、现场领取；2、邮箱领取（提供转账截图）,邮箱地址：jsjwzbdl@163.com</w:t>
      </w:r>
    </w:p>
    <w:p>
      <w:pPr>
        <w:spacing w:line="360" w:lineRule="auto"/>
        <w:ind w:firstLine="480" w:firstLineChars="200"/>
        <w:rPr>
          <w:rFonts w:hint="eastAsia" w:ascii="宋体" w:hAnsi="宋体" w:cs="宋体"/>
          <w:sz w:val="24"/>
        </w:rPr>
      </w:pPr>
      <w:r>
        <w:rPr>
          <w:rFonts w:hint="eastAsia" w:ascii="宋体" w:hAnsi="宋体" w:cs="宋体"/>
          <w:sz w:val="24"/>
        </w:rPr>
        <w:t>售价：500元/份，售后不退（标书费收款账户：江苏经纬会计师事务所有限公司，开户行：工商银行泰州分行营业部；账号：1115020109000156263）</w:t>
      </w:r>
    </w:p>
    <w:p>
      <w:pPr>
        <w:spacing w:line="360" w:lineRule="auto"/>
        <w:ind w:firstLine="482" w:firstLineChars="200"/>
        <w:rPr>
          <w:rFonts w:hint="eastAsia" w:ascii="宋体" w:hAnsi="宋体" w:cs="宋体"/>
          <w:b/>
          <w:bCs/>
          <w:sz w:val="24"/>
        </w:rPr>
      </w:pPr>
      <w:r>
        <w:rPr>
          <w:rFonts w:hint="eastAsia" w:ascii="宋体" w:hAnsi="宋体" w:cs="宋体"/>
          <w:b/>
          <w:bCs/>
          <w:sz w:val="24"/>
        </w:rPr>
        <w:t>四、提交投标文件</w:t>
      </w:r>
      <w:bookmarkEnd w:id="13"/>
      <w:bookmarkEnd w:id="14"/>
      <w:r>
        <w:rPr>
          <w:rFonts w:hint="eastAsia" w:ascii="宋体" w:hAnsi="宋体" w:cs="宋体"/>
          <w:b/>
          <w:bCs/>
          <w:sz w:val="24"/>
        </w:rPr>
        <w:t>截止时间、开标时间和地点</w:t>
      </w:r>
      <w:bookmarkEnd w:id="15"/>
      <w:bookmarkEnd w:id="16"/>
    </w:p>
    <w:p>
      <w:pPr>
        <w:pStyle w:val="6"/>
        <w:spacing w:line="360" w:lineRule="auto"/>
        <w:ind w:firstLine="480" w:firstLineChars="200"/>
        <w:rPr>
          <w:rFonts w:hint="eastAsia" w:hAnsi="宋体" w:cs="宋体"/>
          <w:bCs/>
          <w:sz w:val="24"/>
          <w:szCs w:val="24"/>
        </w:rPr>
      </w:pPr>
      <w:r>
        <w:rPr>
          <w:rFonts w:hint="eastAsia" w:hAnsi="宋体" w:cs="宋体"/>
          <w:bCs/>
          <w:sz w:val="24"/>
          <w:szCs w:val="24"/>
        </w:rPr>
        <w:t>投标文件接收时间:2021年11月</w:t>
      </w:r>
      <w:r>
        <w:rPr>
          <w:rFonts w:hint="eastAsia" w:hAnsi="宋体" w:cs="宋体"/>
          <w:bCs/>
          <w:sz w:val="24"/>
          <w:szCs w:val="24"/>
          <w:lang w:val="en-US" w:eastAsia="zh-CN"/>
        </w:rPr>
        <w:t>18</w:t>
      </w:r>
      <w:r>
        <w:rPr>
          <w:rFonts w:hint="eastAsia" w:hAnsi="宋体" w:cs="宋体"/>
          <w:bCs/>
          <w:sz w:val="24"/>
          <w:szCs w:val="24"/>
        </w:rPr>
        <w:t>日</w:t>
      </w:r>
      <w:r>
        <w:rPr>
          <w:rFonts w:hint="eastAsia" w:hAnsi="宋体" w:cs="宋体"/>
          <w:bCs/>
          <w:sz w:val="24"/>
          <w:szCs w:val="24"/>
          <w:lang w:val="en-US" w:eastAsia="zh-CN"/>
        </w:rPr>
        <w:t>下</w:t>
      </w:r>
      <w:r>
        <w:rPr>
          <w:rFonts w:hint="eastAsia" w:hAnsi="宋体" w:cs="宋体"/>
          <w:bCs/>
          <w:sz w:val="24"/>
          <w:szCs w:val="24"/>
        </w:rPr>
        <w:t>午</w:t>
      </w:r>
      <w:r>
        <w:rPr>
          <w:rFonts w:hint="eastAsia" w:hAnsi="宋体" w:cs="宋体"/>
          <w:bCs/>
          <w:sz w:val="24"/>
          <w:szCs w:val="24"/>
          <w:lang w:val="en-US" w:eastAsia="zh-CN"/>
        </w:rPr>
        <w:t>14</w:t>
      </w:r>
      <w:r>
        <w:rPr>
          <w:rFonts w:hint="eastAsia" w:hAnsi="宋体" w:cs="宋体"/>
          <w:bCs/>
          <w:sz w:val="24"/>
          <w:szCs w:val="24"/>
        </w:rPr>
        <w:t>：30-</w:t>
      </w:r>
      <w:r>
        <w:rPr>
          <w:rFonts w:hint="eastAsia" w:hAnsi="宋体" w:cs="宋体"/>
          <w:bCs/>
          <w:sz w:val="24"/>
          <w:szCs w:val="24"/>
          <w:lang w:val="en-US" w:eastAsia="zh-CN"/>
        </w:rPr>
        <w:t>15</w:t>
      </w:r>
      <w:r>
        <w:rPr>
          <w:rFonts w:hint="eastAsia" w:hAnsi="宋体" w:cs="宋体"/>
          <w:bCs/>
          <w:sz w:val="24"/>
          <w:szCs w:val="24"/>
        </w:rPr>
        <w:t>：00整</w:t>
      </w:r>
    </w:p>
    <w:p>
      <w:pPr>
        <w:pStyle w:val="6"/>
        <w:spacing w:line="360" w:lineRule="auto"/>
        <w:ind w:firstLine="480" w:firstLineChars="200"/>
        <w:rPr>
          <w:rFonts w:hint="eastAsia" w:hAnsi="宋体" w:cs="宋体"/>
          <w:sz w:val="24"/>
          <w:szCs w:val="24"/>
        </w:rPr>
      </w:pPr>
      <w:r>
        <w:rPr>
          <w:rFonts w:hint="eastAsia" w:hAnsi="宋体" w:cs="宋体"/>
          <w:bCs/>
          <w:sz w:val="24"/>
          <w:szCs w:val="24"/>
        </w:rPr>
        <w:t>开标时间：2021年11月</w:t>
      </w:r>
      <w:r>
        <w:rPr>
          <w:rFonts w:hint="eastAsia" w:hAnsi="宋体" w:cs="宋体"/>
          <w:bCs/>
          <w:sz w:val="24"/>
          <w:szCs w:val="24"/>
          <w:lang w:val="en-US" w:eastAsia="zh-CN"/>
        </w:rPr>
        <w:t>18</w:t>
      </w:r>
      <w:r>
        <w:rPr>
          <w:rFonts w:hint="eastAsia" w:hAnsi="宋体" w:cs="宋体"/>
          <w:bCs/>
          <w:sz w:val="24"/>
          <w:szCs w:val="24"/>
        </w:rPr>
        <w:t>日</w:t>
      </w:r>
      <w:r>
        <w:rPr>
          <w:rFonts w:hint="eastAsia" w:hAnsi="宋体" w:cs="宋体"/>
          <w:bCs/>
          <w:sz w:val="24"/>
          <w:szCs w:val="24"/>
          <w:lang w:val="en-US" w:eastAsia="zh-CN"/>
        </w:rPr>
        <w:t>下</w:t>
      </w:r>
      <w:r>
        <w:rPr>
          <w:rFonts w:hint="eastAsia" w:hAnsi="宋体" w:cs="宋体"/>
          <w:bCs/>
          <w:sz w:val="24"/>
          <w:szCs w:val="24"/>
        </w:rPr>
        <w:t>午</w:t>
      </w:r>
      <w:r>
        <w:rPr>
          <w:rFonts w:hint="eastAsia" w:hAnsi="宋体" w:cs="宋体"/>
          <w:bCs/>
          <w:sz w:val="24"/>
          <w:szCs w:val="24"/>
          <w:lang w:val="en-US" w:eastAsia="zh-CN"/>
        </w:rPr>
        <w:t>15</w:t>
      </w:r>
      <w:r>
        <w:rPr>
          <w:rFonts w:hint="eastAsia" w:hAnsi="宋体" w:cs="宋体"/>
          <w:bCs/>
          <w:sz w:val="24"/>
          <w:szCs w:val="24"/>
        </w:rPr>
        <w:t>：00整</w:t>
      </w:r>
    </w:p>
    <w:p>
      <w:pPr>
        <w:spacing w:line="360" w:lineRule="auto"/>
        <w:ind w:firstLine="480" w:firstLineChars="200"/>
        <w:rPr>
          <w:rFonts w:hint="eastAsia" w:ascii="宋体" w:hAnsi="宋体" w:cs="宋体"/>
          <w:sz w:val="24"/>
        </w:rPr>
      </w:pPr>
      <w:r>
        <w:rPr>
          <w:rFonts w:hint="eastAsia" w:ascii="宋体" w:hAnsi="宋体" w:cs="宋体"/>
          <w:sz w:val="24"/>
        </w:rPr>
        <w:t>地点：江苏经纬会计师事务所有限公司开标室（泰州市海陵区财政局），泰州市人民东路37号</w:t>
      </w:r>
    </w:p>
    <w:p>
      <w:pPr>
        <w:spacing w:line="360" w:lineRule="auto"/>
        <w:ind w:firstLine="480" w:firstLineChars="200"/>
        <w:rPr>
          <w:rFonts w:hint="eastAsia" w:ascii="宋体" w:hAnsi="宋体" w:cs="宋体"/>
          <w:sz w:val="24"/>
        </w:rPr>
      </w:pPr>
      <w:r>
        <w:rPr>
          <w:rFonts w:hint="eastAsia" w:ascii="宋体" w:hAnsi="宋体" w:cs="宋体"/>
          <w:sz w:val="24"/>
        </w:rPr>
        <w:t>本项目不接受投标人以邮递、电子邮件等方式递交的投标文件，投标应由其法定代表人或持法定代表人委托书的授权代表于开标时间前当面提交。</w:t>
      </w:r>
    </w:p>
    <w:p>
      <w:pPr>
        <w:spacing w:line="360" w:lineRule="auto"/>
        <w:ind w:firstLine="482" w:firstLineChars="200"/>
        <w:rPr>
          <w:rFonts w:hint="eastAsia" w:ascii="宋体" w:hAnsi="宋体" w:cs="宋体"/>
          <w:b/>
          <w:bCs/>
          <w:sz w:val="24"/>
        </w:rPr>
      </w:pPr>
      <w:bookmarkStart w:id="17" w:name="_Toc28359007"/>
      <w:bookmarkStart w:id="18" w:name="_Toc35393625"/>
      <w:bookmarkStart w:id="19" w:name="_Toc28359084"/>
      <w:bookmarkStart w:id="20" w:name="_Toc35393794"/>
      <w:r>
        <w:rPr>
          <w:rFonts w:hint="eastAsia" w:ascii="宋体" w:hAnsi="宋体" w:cs="宋体"/>
          <w:b/>
          <w:bCs/>
          <w:sz w:val="24"/>
        </w:rPr>
        <w:t>五、公告期限</w:t>
      </w:r>
      <w:bookmarkEnd w:id="17"/>
      <w:bookmarkEnd w:id="18"/>
      <w:bookmarkEnd w:id="19"/>
      <w:bookmarkEnd w:id="20"/>
    </w:p>
    <w:p>
      <w:pPr>
        <w:spacing w:line="360" w:lineRule="auto"/>
        <w:ind w:firstLine="480" w:firstLineChars="200"/>
        <w:rPr>
          <w:rFonts w:hint="eastAsia" w:ascii="宋体" w:hAnsi="宋体" w:cs="宋体"/>
          <w:kern w:val="0"/>
          <w:sz w:val="24"/>
        </w:rPr>
      </w:pPr>
      <w:r>
        <w:rPr>
          <w:rFonts w:hint="eastAsia" w:ascii="宋体" w:hAnsi="宋体" w:cs="宋体"/>
          <w:kern w:val="0"/>
          <w:sz w:val="24"/>
        </w:rPr>
        <w:t>自本公告发布之日起5个工作日。</w:t>
      </w:r>
    </w:p>
    <w:p>
      <w:pPr>
        <w:spacing w:line="360" w:lineRule="auto"/>
        <w:ind w:firstLine="482" w:firstLineChars="200"/>
        <w:rPr>
          <w:rFonts w:hint="eastAsia" w:ascii="宋体" w:hAnsi="宋体" w:cs="宋体"/>
          <w:b/>
          <w:bCs/>
          <w:sz w:val="24"/>
        </w:rPr>
      </w:pPr>
      <w:bookmarkStart w:id="21" w:name="_Toc35393626"/>
      <w:bookmarkStart w:id="22" w:name="_Toc35393795"/>
      <w:r>
        <w:rPr>
          <w:rFonts w:hint="eastAsia" w:ascii="宋体" w:hAnsi="宋体" w:cs="宋体"/>
          <w:b/>
          <w:bCs/>
          <w:sz w:val="24"/>
        </w:rPr>
        <w:t>六、其他补充事宜</w:t>
      </w:r>
      <w:bookmarkEnd w:id="21"/>
      <w:bookmarkEnd w:id="22"/>
    </w:p>
    <w:p>
      <w:pPr>
        <w:spacing w:line="360" w:lineRule="auto"/>
        <w:ind w:firstLine="480" w:firstLineChars="200"/>
        <w:rPr>
          <w:rFonts w:hint="eastAsia" w:ascii="宋体" w:hAnsi="宋体" w:cs="宋体"/>
          <w:kern w:val="0"/>
          <w:sz w:val="24"/>
        </w:rPr>
      </w:pPr>
      <w:bookmarkStart w:id="23" w:name="_Toc35393796"/>
      <w:bookmarkStart w:id="24" w:name="_Toc28359085"/>
      <w:bookmarkStart w:id="25" w:name="_Toc28359008"/>
      <w:bookmarkStart w:id="26" w:name="_Toc35393627"/>
      <w:r>
        <w:rPr>
          <w:rFonts w:hint="eastAsia" w:ascii="宋体" w:hAnsi="宋体" w:cs="宋体"/>
          <w:kern w:val="0"/>
          <w:sz w:val="24"/>
        </w:rPr>
        <w:t>根据疫情防控需要，各投标供应商明确项目授权代表且出席开标活动的人数限1人，提前做好自查工作，严禁出现感冒、发热、咳嗽等症状的人员参加开标活动，加强个人防护，佩戴医用口罩，开标现场须出示健康码、通信行程卡，服从工作人员的统一安排；如投标供应商授权代表来自中高风险地区须持有48小时内核酸检测阴性证明参加投标活动，未能提供48小时内核酸检测阴性证明不得参加本项目投标活动。</w:t>
      </w:r>
    </w:p>
    <w:p>
      <w:pPr>
        <w:pStyle w:val="3"/>
        <w:keepNext w:val="0"/>
        <w:keepLines w:val="0"/>
        <w:numPr>
          <w:ilvl w:val="0"/>
          <w:numId w:val="0"/>
        </w:numPr>
        <w:spacing w:before="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七、对本次招标提出询问，请按以下方式联系。</w:t>
      </w:r>
      <w:bookmarkEnd w:id="23"/>
      <w:bookmarkEnd w:id="24"/>
      <w:bookmarkEnd w:id="25"/>
      <w:bookmarkEnd w:id="26"/>
    </w:p>
    <w:p>
      <w:pPr>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1.名 称：复旦大学泰州健康科学研究院   </w:t>
      </w:r>
    </w:p>
    <w:p>
      <w:pPr>
        <w:spacing w:line="360" w:lineRule="auto"/>
        <w:ind w:firstLine="480" w:firstLineChars="200"/>
        <w:rPr>
          <w:rFonts w:hint="eastAsia" w:ascii="宋体" w:hAnsi="宋体" w:cs="宋体"/>
          <w:kern w:val="0"/>
          <w:sz w:val="24"/>
        </w:rPr>
      </w:pPr>
      <w:r>
        <w:rPr>
          <w:rFonts w:hint="eastAsia" w:ascii="宋体" w:hAnsi="宋体" w:cs="宋体"/>
          <w:kern w:val="0"/>
          <w:sz w:val="24"/>
        </w:rPr>
        <w:t>地址：</w:t>
      </w:r>
      <w:bookmarkStart w:id="27" w:name="_Toc28359086"/>
      <w:bookmarkStart w:id="28" w:name="_Toc28359009"/>
      <w:r>
        <w:rPr>
          <w:rFonts w:hint="eastAsia" w:ascii="宋体" w:hAnsi="宋体" w:cs="宋体"/>
          <w:kern w:val="0"/>
          <w:sz w:val="24"/>
        </w:rPr>
        <w:t>泰州医药高新区药城大道799号数据大厦B栋裙楼</w:t>
      </w:r>
    </w:p>
    <w:p>
      <w:pPr>
        <w:spacing w:line="360" w:lineRule="auto"/>
        <w:ind w:firstLine="480" w:firstLineChars="200"/>
        <w:rPr>
          <w:rFonts w:hint="eastAsia" w:ascii="宋体" w:hAnsi="宋体" w:cs="宋体"/>
          <w:kern w:val="0"/>
          <w:sz w:val="24"/>
        </w:rPr>
      </w:pPr>
      <w:r>
        <w:rPr>
          <w:rFonts w:hint="eastAsia" w:ascii="宋体" w:hAnsi="宋体" w:cs="宋体"/>
          <w:kern w:val="0"/>
          <w:sz w:val="24"/>
        </w:rPr>
        <w:t>联系方式：王女士，电话，0523-82205005</w:t>
      </w:r>
    </w:p>
    <w:p>
      <w:pPr>
        <w:spacing w:line="360" w:lineRule="auto"/>
        <w:ind w:firstLine="480" w:firstLineChars="200"/>
        <w:rPr>
          <w:rFonts w:hint="eastAsia" w:ascii="宋体" w:hAnsi="宋体" w:cs="宋体"/>
          <w:kern w:val="0"/>
          <w:sz w:val="24"/>
        </w:rPr>
      </w:pPr>
      <w:r>
        <w:rPr>
          <w:rFonts w:hint="eastAsia" w:ascii="宋体" w:hAnsi="宋体" w:cs="宋体"/>
          <w:kern w:val="0"/>
          <w:sz w:val="24"/>
        </w:rPr>
        <w:t>2.采购代理机构信息</w:t>
      </w:r>
      <w:bookmarkEnd w:id="27"/>
      <w:bookmarkEnd w:id="28"/>
    </w:p>
    <w:p>
      <w:pPr>
        <w:spacing w:line="360" w:lineRule="auto"/>
        <w:ind w:firstLine="480" w:firstLineChars="200"/>
        <w:rPr>
          <w:rFonts w:hint="eastAsia" w:ascii="宋体" w:hAnsi="宋体" w:cs="宋体"/>
          <w:kern w:val="0"/>
          <w:sz w:val="24"/>
        </w:rPr>
      </w:pPr>
      <w:r>
        <w:rPr>
          <w:rFonts w:hint="eastAsia" w:ascii="宋体" w:hAnsi="宋体" w:cs="宋体"/>
          <w:kern w:val="0"/>
          <w:sz w:val="24"/>
        </w:rPr>
        <w:t>名 称：江苏经纬会计师事务所有限公司　　　　　　　　　　</w:t>
      </w:r>
    </w:p>
    <w:p>
      <w:pPr>
        <w:spacing w:line="360" w:lineRule="auto"/>
        <w:ind w:firstLine="480" w:firstLineChars="200"/>
        <w:rPr>
          <w:rFonts w:hint="eastAsia" w:ascii="宋体" w:hAnsi="宋体" w:cs="宋体"/>
          <w:kern w:val="0"/>
          <w:sz w:val="24"/>
        </w:rPr>
      </w:pPr>
      <w:r>
        <w:rPr>
          <w:rFonts w:hint="eastAsia" w:ascii="宋体" w:hAnsi="宋体" w:cs="宋体"/>
          <w:kern w:val="0"/>
          <w:sz w:val="24"/>
        </w:rPr>
        <w:t>地　址：泰州市人民东路37号　　　　　　　　　　</w:t>
      </w:r>
    </w:p>
    <w:p>
      <w:pPr>
        <w:spacing w:line="360" w:lineRule="auto"/>
        <w:ind w:firstLine="480" w:firstLineChars="200"/>
        <w:rPr>
          <w:rFonts w:hint="eastAsia" w:ascii="宋体" w:hAnsi="宋体" w:cs="宋体"/>
          <w:kern w:val="0"/>
          <w:sz w:val="24"/>
        </w:rPr>
      </w:pPr>
      <w:r>
        <w:rPr>
          <w:rFonts w:hint="eastAsia" w:ascii="宋体" w:hAnsi="宋体" w:cs="宋体"/>
          <w:kern w:val="0"/>
          <w:sz w:val="24"/>
        </w:rPr>
        <w:t>联系方式：</w:t>
      </w:r>
      <w:bookmarkStart w:id="29" w:name="_Toc28359010"/>
      <w:bookmarkStart w:id="30" w:name="_Toc28359087"/>
      <w:r>
        <w:rPr>
          <w:rFonts w:hint="eastAsia" w:ascii="宋体" w:hAnsi="宋体" w:cs="宋体"/>
          <w:kern w:val="0"/>
          <w:sz w:val="24"/>
        </w:rPr>
        <w:t>电话，0523-86213810，邮箱：jsjwzbdl@163.com　　　　　　　　　</w:t>
      </w:r>
    </w:p>
    <w:p>
      <w:pPr>
        <w:spacing w:line="360" w:lineRule="auto"/>
        <w:ind w:firstLine="480" w:firstLineChars="200"/>
        <w:rPr>
          <w:rFonts w:hint="eastAsia" w:ascii="宋体" w:hAnsi="宋体" w:cs="宋体"/>
          <w:kern w:val="0"/>
          <w:sz w:val="24"/>
        </w:rPr>
      </w:pPr>
      <w:r>
        <w:rPr>
          <w:rFonts w:hint="eastAsia" w:ascii="宋体" w:hAnsi="宋体" w:cs="宋体"/>
          <w:kern w:val="0"/>
          <w:sz w:val="24"/>
        </w:rPr>
        <w:t>3.项目联系方式</w:t>
      </w:r>
      <w:bookmarkEnd w:id="29"/>
      <w:bookmarkEnd w:id="30"/>
    </w:p>
    <w:p>
      <w:pPr>
        <w:spacing w:line="360" w:lineRule="auto"/>
        <w:ind w:firstLine="480" w:firstLineChars="200"/>
        <w:rPr>
          <w:rFonts w:hint="eastAsia" w:ascii="宋体" w:hAnsi="宋体" w:cs="宋体"/>
          <w:kern w:val="0"/>
          <w:sz w:val="24"/>
        </w:rPr>
      </w:pPr>
      <w:r>
        <w:rPr>
          <w:rFonts w:hint="eastAsia" w:ascii="宋体" w:hAnsi="宋体" w:cs="宋体"/>
          <w:kern w:val="0"/>
          <w:sz w:val="24"/>
        </w:rPr>
        <w:t>项目联系人：刘先生</w:t>
      </w:r>
    </w:p>
    <w:p>
      <w:pPr>
        <w:spacing w:line="360" w:lineRule="auto"/>
        <w:ind w:firstLine="480" w:firstLineChars="200"/>
        <w:rPr>
          <w:rFonts w:hint="eastAsia" w:ascii="宋体" w:hAnsi="宋体" w:cs="宋体"/>
          <w:kern w:val="0"/>
          <w:sz w:val="24"/>
        </w:rPr>
      </w:pPr>
      <w:r>
        <w:rPr>
          <w:rFonts w:hint="eastAsia" w:ascii="宋体" w:hAnsi="宋体" w:cs="宋体"/>
          <w:kern w:val="0"/>
          <w:sz w:val="24"/>
        </w:rPr>
        <w:t>电　话：0523-86213810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88D4E6"/>
    <w:multiLevelType w:val="singleLevel"/>
    <w:tmpl w:val="4D88D4E6"/>
    <w:lvl w:ilvl="0" w:tentative="0">
      <w:start w:val="2"/>
      <w:numFmt w:val="chineseCounting"/>
      <w:suff w:val="nothing"/>
      <w:lvlText w:val="（%1）"/>
      <w:lvlJc w:val="left"/>
      <w:rPr>
        <w:rFonts w:hint="eastAsia"/>
      </w:rPr>
    </w:lvl>
  </w:abstractNum>
  <w:abstractNum w:abstractNumId="1">
    <w:nsid w:val="66D54CCB"/>
    <w:multiLevelType w:val="multilevel"/>
    <w:tmpl w:val="66D54CCB"/>
    <w:lvl w:ilvl="0" w:tentative="0">
      <w:start w:val="1"/>
      <w:numFmt w:val="decimal"/>
      <w:lvlText w:val="%1  "/>
      <w:lvlJc w:val="left"/>
      <w:pPr>
        <w:tabs>
          <w:tab w:val="left" w:pos="1571"/>
        </w:tabs>
        <w:ind w:left="1283" w:hanging="432"/>
      </w:pPr>
      <w:rPr>
        <w:rFonts w:hint="eastAsia" w:ascii="黑体" w:eastAsia="黑体"/>
      </w:rPr>
    </w:lvl>
    <w:lvl w:ilvl="1" w:tentative="0">
      <w:start w:val="1"/>
      <w:numFmt w:val="decimal"/>
      <w:pStyle w:val="3"/>
      <w:lvlText w:val="%1.%2"/>
      <w:lvlJc w:val="left"/>
      <w:pPr>
        <w:tabs>
          <w:tab w:val="left" w:pos="0"/>
        </w:tabs>
        <w:ind w:left="0" w:firstLine="0"/>
      </w:pPr>
    </w:lvl>
    <w:lvl w:ilvl="2" w:tentative="0">
      <w:start w:val="1"/>
      <w:numFmt w:val="decimal"/>
      <w:lvlText w:val="%1.%2.%3"/>
      <w:lvlJc w:val="left"/>
      <w:pPr>
        <w:tabs>
          <w:tab w:val="left" w:pos="0"/>
        </w:tabs>
        <w:ind w:left="0" w:firstLine="0"/>
      </w:pPr>
    </w:lvl>
    <w:lvl w:ilvl="3" w:tentative="0">
      <w:start w:val="1"/>
      <w:numFmt w:val="decimal"/>
      <w:lvlText w:val="%1.%2.%3.%4"/>
      <w:lvlJc w:val="left"/>
      <w:pPr>
        <w:tabs>
          <w:tab w:val="left" w:pos="0"/>
        </w:tabs>
        <w:ind w:left="0" w:firstLine="0"/>
      </w:pPr>
    </w:lvl>
    <w:lvl w:ilvl="4" w:tentative="0">
      <w:start w:val="1"/>
      <w:numFmt w:val="upperLetter"/>
      <w:lvlText w:val="%5."/>
      <w:lvlJc w:val="left"/>
      <w:pPr>
        <w:tabs>
          <w:tab w:val="left" w:pos="1271"/>
        </w:tabs>
        <w:ind w:left="1271" w:hanging="420"/>
      </w:pPr>
    </w:lvl>
    <w:lvl w:ilvl="5" w:tentative="0">
      <w:start w:val="1"/>
      <w:numFmt w:val="decimal"/>
      <w:lvlText w:val="%1.%2.%3.%4.%5.%6"/>
      <w:lvlJc w:val="left"/>
      <w:pPr>
        <w:tabs>
          <w:tab w:val="left" w:pos="2003"/>
        </w:tabs>
        <w:ind w:left="2003" w:hanging="1152"/>
      </w:pPr>
    </w:lvl>
    <w:lvl w:ilvl="6" w:tentative="0">
      <w:start w:val="1"/>
      <w:numFmt w:val="decimal"/>
      <w:lvlText w:val="%1.%2.%3.%4.%5.%6.%7"/>
      <w:lvlJc w:val="left"/>
      <w:pPr>
        <w:tabs>
          <w:tab w:val="left" w:pos="2147"/>
        </w:tabs>
        <w:ind w:left="2147" w:hanging="1296"/>
      </w:pPr>
    </w:lvl>
    <w:lvl w:ilvl="7" w:tentative="0">
      <w:start w:val="1"/>
      <w:numFmt w:val="decimal"/>
      <w:lvlText w:val="%1.%2.%3.%4.%5.%6.%7.%8"/>
      <w:lvlJc w:val="left"/>
      <w:pPr>
        <w:tabs>
          <w:tab w:val="left" w:pos="2291"/>
        </w:tabs>
        <w:ind w:left="2291" w:hanging="1440"/>
      </w:pPr>
    </w:lvl>
    <w:lvl w:ilvl="8" w:tentative="0">
      <w:start w:val="1"/>
      <w:numFmt w:val="decimal"/>
      <w:lvlText w:val="%1.%2.%3.%4.%5.%6.%7.%8.%9"/>
      <w:lvlJc w:val="left"/>
      <w:pPr>
        <w:tabs>
          <w:tab w:val="left" w:pos="2435"/>
        </w:tabs>
        <w:ind w:left="2435"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67B62"/>
    <w:rsid w:val="07CF27A9"/>
    <w:rsid w:val="7A76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numPr>
        <w:ilvl w:val="1"/>
        <w:numId w:val="1"/>
      </w:numPr>
      <w:spacing w:before="50"/>
      <w:jc w:val="left"/>
      <w:outlineLvl w:val="1"/>
    </w:pPr>
    <w:rPr>
      <w:rFonts w:ascii="Arial" w:hAnsi="Arial" w:eastAsia="黑体"/>
      <w:sz w:val="32"/>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ind w:firstLine="640" w:firstLineChars="200"/>
    </w:pPr>
    <w:rPr>
      <w:rFonts w:ascii="仿宋_GB2312" w:hAnsi="Arial" w:eastAsia="仿宋_GB2312" w:cs="Arial"/>
      <w:sz w:val="32"/>
      <w:szCs w:val="32"/>
    </w:rPr>
  </w:style>
  <w:style w:type="paragraph" w:styleId="4">
    <w:name w:val="Note Heading"/>
    <w:basedOn w:val="1"/>
    <w:next w:val="1"/>
    <w:qFormat/>
    <w:uiPriority w:val="0"/>
    <w:rPr>
      <w:rFonts w:ascii="Verdana" w:hAnsi="Verdana" w:cs="Times New Roman"/>
      <w:szCs w:val="20"/>
    </w:rPr>
  </w:style>
  <w:style w:type="paragraph" w:styleId="5">
    <w:name w:val="Normal Indent"/>
    <w:basedOn w:val="1"/>
    <w:qFormat/>
    <w:uiPriority w:val="0"/>
    <w:pPr>
      <w:ind w:firstLine="420" w:firstLineChars="200"/>
    </w:pPr>
    <w:rPr>
      <w:sz w:val="24"/>
      <w:szCs w:val="20"/>
    </w:rPr>
  </w:style>
  <w:style w:type="paragraph" w:styleId="6">
    <w:name w:val="Plain Text"/>
    <w:basedOn w:val="1"/>
    <w:next w:val="5"/>
    <w:qFormat/>
    <w:uiPriority w:val="99"/>
    <w:rPr>
      <w:rFonts w:ascii="宋体" w:hAnsi="Courier New"/>
      <w:kern w:val="0"/>
      <w:sz w:val="2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2021-10-28T02:55:00Z</dcterms:created>
  <dc:creator>Desire</dc:creator>
  <cp:lastModifiedBy>Desire</cp:lastModifiedBy>
  <dcterms:modified xsi:type="dcterms:W3CDTF">2021-10-28T02:56:37Z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A6711713FB774F28BA2DE0D97560B3A3</vt:lpwstr>
  </property>
</Properties>
</file>