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jc w:val="left"/>
        <w:textAlignment w:val="auto"/>
        <w:rPr>
          <w:rFonts w:hint="eastAsia" w:ascii="仿宋" w:hAnsi="仿宋" w:eastAsia="仿宋" w:cs="仿宋"/>
          <w:kern w:val="0"/>
          <w:sz w:val="28"/>
          <w:szCs w:val="28"/>
        </w:rPr>
      </w:pPr>
      <w:r>
        <w:rPr>
          <w:rFonts w:hint="eastAsia" w:ascii="仿宋" w:hAnsi="仿宋" w:eastAsia="仿宋" w:cs="仿宋"/>
          <w:sz w:val="28"/>
          <w:szCs w:val="28"/>
        </w:rPr>
        <mc:AlternateContent>
          <mc:Choice Requires="wps">
            <w:drawing>
              <wp:anchor distT="0" distB="0" distL="114300" distR="114300" simplePos="0" relativeHeight="251659264" behindDoc="1" locked="0" layoutInCell="1" allowOverlap="1">
                <wp:simplePos x="0" y="0"/>
                <wp:positionH relativeFrom="column">
                  <wp:posOffset>-438785</wp:posOffset>
                </wp:positionH>
                <wp:positionV relativeFrom="page">
                  <wp:posOffset>878840</wp:posOffset>
                </wp:positionV>
                <wp:extent cx="7273290" cy="495300"/>
                <wp:effectExtent l="4445" t="4445" r="94615" b="90805"/>
                <wp:wrapNone/>
                <wp:docPr id="5" name="矩形 90"/>
                <wp:cNvGraphicFramePr/>
                <a:graphic xmlns:a="http://schemas.openxmlformats.org/drawingml/2006/main">
                  <a:graphicData uri="http://schemas.microsoft.com/office/word/2010/wordprocessingShape">
                    <wps:wsp>
                      <wps:cNvSpPr/>
                      <wps:spPr>
                        <a:xfrm>
                          <a:off x="0" y="0"/>
                          <a:ext cx="7273290" cy="495300"/>
                        </a:xfrm>
                        <a:prstGeom prst="rect">
                          <a:avLst/>
                        </a:prstGeom>
                        <a:solidFill>
                          <a:srgbClr val="2F70DB"/>
                        </a:solidFill>
                        <a:ln w="9525" cap="flat" cmpd="sng">
                          <a:solidFill>
                            <a:srgbClr val="FFFFFF"/>
                          </a:solidFill>
                          <a:prstDash val="solid"/>
                          <a:miter/>
                          <a:headEnd type="none" w="med" len="med"/>
                          <a:tailEnd type="none" w="med" len="med"/>
                        </a:ln>
                        <a:effectLst>
                          <a:outerShdw dist="107763" dir="2699999" algn="ctr" rotWithShape="0">
                            <a:srgbClr val="DDDDDD">
                              <a:alpha val="50000"/>
                            </a:srgbClr>
                          </a:outerShdw>
                        </a:effectLst>
                      </wps:spPr>
                      <wps:txbx>
                        <w:txbxContent>
                          <w:p>
                            <w:pPr>
                              <w:jc w:val="center"/>
                              <w:rPr>
                                <w:rFonts w:asciiTheme="majorEastAsia" w:hAnsiTheme="majorEastAsia" w:eastAsiaTheme="majorEastAsia"/>
                                <w:b/>
                                <w:color w:val="FFFFFF"/>
                                <w:sz w:val="32"/>
                              </w:rPr>
                            </w:pPr>
                            <w:r>
                              <w:rPr>
                                <w:rFonts w:hint="eastAsia" w:asciiTheme="majorEastAsia" w:hAnsiTheme="majorEastAsia" w:eastAsiaTheme="majorEastAsia"/>
                                <w:b/>
                                <w:color w:val="FFFFFF"/>
                                <w:sz w:val="32"/>
                                <w:lang w:val="en-US" w:eastAsia="zh-CN"/>
                              </w:rPr>
                              <w:t>PIV</w:t>
                            </w:r>
                            <w:r>
                              <w:rPr>
                                <w:rFonts w:hint="eastAsia" w:asciiTheme="majorEastAsia" w:hAnsiTheme="majorEastAsia" w:eastAsiaTheme="majorEastAsia"/>
                                <w:b/>
                                <w:color w:val="FFFFFF"/>
                                <w:sz w:val="32"/>
                              </w:rPr>
                              <w:t>现场实验服务</w:t>
                            </w:r>
                          </w:p>
                        </w:txbxContent>
                      </wps:txbx>
                      <wps:bodyPr upright="1"/>
                    </wps:wsp>
                  </a:graphicData>
                </a:graphic>
              </wp:anchor>
            </w:drawing>
          </mc:Choice>
          <mc:Fallback>
            <w:pict>
              <v:rect id="矩形 90" o:spid="_x0000_s1026" o:spt="1" style="position:absolute;left:0pt;margin-left:-34.55pt;margin-top:69.2pt;height:39pt;width:572.7pt;mso-position-vertical-relative:page;z-index:-251657216;mso-width-relative:page;mso-height-relative:page;" fillcolor="#2F70DB" filled="t" stroked="t" coordsize="21600,21600" o:gfxdata="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6qQj12gAAAAwBAAAP&#10;AAAAAAAAAAEAIAAAACIAAABkcnMvZG93bnJldi54bWxQSwECFAAUAAAACACHTuJAnitaVE8CAADS&#10;BAAADgAAAAAAAAABACAAAAApAQAAZHJzL2Uyb0RvYy54bWxQSwUGAAAAAAYABgBZAQAA6gUAAAAA&#10;">
                <v:fill on="t" focussize="0,0"/>
                <v:stroke color="#FFFFFF" joinstyle="miter"/>
                <v:imagedata o:title=""/>
                <o:lock v:ext="edit" aspectratio="f"/>
                <v:shadow on="t" color="#DDDDDD" opacity="32768f" offset="6pt,6pt" origin="0f,0f" matrix="65536f,0f,0f,65536f"/>
                <v:textbox>
                  <w:txbxContent>
                    <w:p>
                      <w:pPr>
                        <w:jc w:val="center"/>
                        <w:rPr>
                          <w:rFonts w:asciiTheme="majorEastAsia" w:hAnsiTheme="majorEastAsia" w:eastAsiaTheme="majorEastAsia"/>
                          <w:b/>
                          <w:color w:val="FFFFFF"/>
                          <w:sz w:val="32"/>
                        </w:rPr>
                      </w:pPr>
                      <w:r>
                        <w:rPr>
                          <w:rFonts w:hint="eastAsia" w:asciiTheme="majorEastAsia" w:hAnsiTheme="majorEastAsia" w:eastAsiaTheme="majorEastAsia"/>
                          <w:b/>
                          <w:color w:val="FFFFFF"/>
                          <w:sz w:val="32"/>
                          <w:lang w:val="en-US" w:eastAsia="zh-CN"/>
                        </w:rPr>
                        <w:t>PIV</w:t>
                      </w:r>
                      <w:r>
                        <w:rPr>
                          <w:rFonts w:hint="eastAsia" w:asciiTheme="majorEastAsia" w:hAnsiTheme="majorEastAsia" w:eastAsiaTheme="majorEastAsia"/>
                          <w:b/>
                          <w:color w:val="FFFFFF"/>
                          <w:sz w:val="32"/>
                        </w:rPr>
                        <w:t>现场实验服务</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北廷测量技术（北京）有限公司成立于</w:t>
      </w:r>
      <w:r>
        <w:rPr>
          <w:rFonts w:hint="eastAsia" w:ascii="仿宋" w:hAnsi="仿宋" w:eastAsia="仿宋" w:cs="仿宋"/>
          <w:sz w:val="28"/>
          <w:szCs w:val="28"/>
          <w:lang w:val="en-US" w:eastAsia="zh-CN"/>
        </w:rPr>
        <w:t>2009年，</w:t>
      </w:r>
      <w:r>
        <w:rPr>
          <w:rFonts w:hint="eastAsia" w:ascii="仿宋" w:hAnsi="仿宋" w:eastAsia="仿宋" w:cs="仿宋"/>
          <w:sz w:val="28"/>
          <w:szCs w:val="28"/>
          <w:lang w:eastAsia="zh-CN"/>
        </w:rPr>
        <w:t>是德国</w:t>
      </w:r>
      <w:r>
        <w:rPr>
          <w:rFonts w:hint="eastAsia" w:ascii="仿宋" w:hAnsi="仿宋" w:eastAsia="仿宋" w:cs="仿宋"/>
          <w:sz w:val="28"/>
          <w:szCs w:val="28"/>
          <w:lang w:val="en-US" w:eastAsia="zh-CN"/>
        </w:rPr>
        <w:t>ILA公司在中国的唯一代理商，</w:t>
      </w:r>
      <w:r>
        <w:rPr>
          <w:rFonts w:hint="eastAsia" w:ascii="仿宋" w:hAnsi="仿宋" w:eastAsia="仿宋" w:cs="仿宋"/>
          <w:sz w:val="28"/>
          <w:szCs w:val="28"/>
        </w:rPr>
        <w:t>主</w:t>
      </w:r>
      <w:r>
        <w:rPr>
          <w:rFonts w:hint="eastAsia" w:ascii="仿宋" w:hAnsi="仿宋" w:eastAsia="仿宋" w:cs="仿宋"/>
          <w:sz w:val="28"/>
          <w:szCs w:val="28"/>
          <w:lang w:eastAsia="zh-CN"/>
        </w:rPr>
        <w:t>要从事实验流体力学测量新技术的引入、开发、销售。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与此同时为了满足用户多样化的要求，可以让用户在最短的时间内拿到满意的实验数据，我们可以提供</w:t>
      </w:r>
      <w:r>
        <w:rPr>
          <w:rFonts w:hint="eastAsia" w:ascii="仿宋" w:hAnsi="仿宋" w:eastAsia="仿宋" w:cs="仿宋"/>
          <w:sz w:val="28"/>
          <w:szCs w:val="28"/>
          <w:lang w:val="en-US" w:eastAsia="zh-CN"/>
        </w:rPr>
        <w:t>PIV现场实验服务，</w:t>
      </w:r>
      <w:r>
        <w:rPr>
          <w:rFonts w:hint="eastAsia" w:ascii="仿宋" w:hAnsi="仿宋" w:eastAsia="仿宋" w:cs="仿宋"/>
          <w:sz w:val="28"/>
          <w:szCs w:val="28"/>
          <w:lang w:eastAsia="zh-CN"/>
        </w:rPr>
        <w:t>服务内容包括：现场实验测量方案、现场操作和数据采集、数据结果分析和改进意见。</w:t>
      </w:r>
      <w:r>
        <w:rPr>
          <w:rFonts w:hint="eastAsia" w:ascii="仿宋" w:hAnsi="仿宋" w:eastAsia="仿宋" w:cs="仿宋"/>
          <w:sz w:val="28"/>
          <w:szCs w:val="28"/>
          <w:lang w:val="en-US" w:eastAsia="zh-CN"/>
        </w:rPr>
        <w:t xml:space="preserve">                                                           </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现场实验测量方案：了解用户的实验需求、现场环境和测量模型后，选择合适的技术路线、提供示踪粒子和播撒方案、提供现场布置方案。我们公司的有多年的实验经验，可以针对各种特殊的测量要求，比如多相流的测量，复杂模型内流场测量、超音速流场测量等提供技术解决路线和测量服务；</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仿宋" w:hAnsi="仿宋" w:eastAsia="仿宋" w:cs="仿宋"/>
          <w:sz w:val="28"/>
          <w:szCs w:val="28"/>
          <w:lang w:eastAsia="zh-CN"/>
        </w:rPr>
      </w:pPr>
      <w:r>
        <w:rPr>
          <w:rFonts w:hint="eastAsia" w:ascii="仿宋" w:hAnsi="仿宋" w:eastAsia="仿宋" w:cs="仿宋"/>
          <w:sz w:val="28"/>
          <w:szCs w:val="28"/>
        </w:rPr>
        <w:drawing>
          <wp:anchor distT="0" distB="0" distL="114300" distR="114300" simplePos="0" relativeHeight="251662336" behindDoc="0" locked="0" layoutInCell="1" allowOverlap="1">
            <wp:simplePos x="0" y="0"/>
            <wp:positionH relativeFrom="column">
              <wp:posOffset>4280535</wp:posOffset>
            </wp:positionH>
            <wp:positionV relativeFrom="paragraph">
              <wp:posOffset>602615</wp:posOffset>
            </wp:positionV>
            <wp:extent cx="2257425" cy="2061210"/>
            <wp:effectExtent l="0" t="0" r="9525" b="1524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2257425" cy="2061210"/>
                    </a:xfrm>
                    <a:prstGeom prst="rect">
                      <a:avLst/>
                    </a:prstGeom>
                    <a:noFill/>
                    <a:ln>
                      <a:noFill/>
                    </a:ln>
                  </pic:spPr>
                </pic:pic>
              </a:graphicData>
            </a:graphic>
          </wp:anchor>
        </w:drawing>
      </w:r>
      <w:r>
        <w:rPr>
          <w:rFonts w:hint="eastAsia" w:ascii="仿宋" w:hAnsi="仿宋" w:eastAsia="仿宋" w:cs="仿宋"/>
          <w:sz w:val="28"/>
          <w:szCs w:val="28"/>
          <w:lang w:eastAsia="zh-CN"/>
        </w:rPr>
        <w:t>现场操作和数据采集：通常情况下，激光类测量仪器由于其专业性强，现场的操作和数据采集由我公司的工程师现场负责。同时控制示踪粒子浓度、相机曝光时间、时间间隔、激光强度等实验参数；</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420" w:leftChars="0" w:hanging="42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数据结果分析和改进意见：我们采集到现场实验数据以后，需要一定的时间进行分析，得到速度场结果。我们根据得到的数据结果，提供进一步的模型、实验方案修改意见，有利于下一次实验得到更好的结果。</w:t>
      </w:r>
      <w:r>
        <w:rPr>
          <w:rFonts w:hint="eastAsia" w:ascii="仿宋" w:hAnsi="仿宋" w:eastAsia="仿宋" w:cs="仿宋"/>
          <w:sz w:val="28"/>
          <w:szCs w:val="28"/>
          <w:lang w:val="en-US" w:eastAsia="zh-CN"/>
        </w:rPr>
        <w:t xml:space="preserve">    </w:t>
      </w:r>
      <w:r>
        <w:rPr>
          <w:rFonts w:hint="eastAsia" w:ascii="宋体" w:hAnsi="宋体" w:eastAsia="宋体" w:cs="宋体"/>
          <w:sz w:val="18"/>
          <w:szCs w:val="18"/>
          <w:lang w:val="en-US" w:eastAsia="zh-CN"/>
        </w:rPr>
        <w:t>荧光粒子流场测量</w:t>
      </w:r>
    </w:p>
    <w:p>
      <w:pPr>
        <w:keepNext w:val="0"/>
        <w:keepLines w:val="0"/>
        <w:pageBreakBefore w:val="0"/>
        <w:widowControl w:val="0"/>
        <w:kinsoku/>
        <w:wordWrap/>
        <w:overflowPunct/>
        <w:topLinePunct w:val="0"/>
        <w:autoSpaceDE/>
        <w:autoSpaceDN/>
        <w:bidi w:val="0"/>
        <w:adjustRightInd/>
        <w:snapToGrid/>
        <w:spacing w:line="360" w:lineRule="auto"/>
        <w:ind w:firstLine="300" w:firstLineChars="200"/>
        <w:jc w:val="left"/>
        <w:textAlignment w:val="auto"/>
        <w:rPr>
          <w:rFonts w:hint="eastAsia" w:ascii="仿宋" w:hAnsi="仿宋" w:eastAsia="仿宋" w:cs="仿宋"/>
          <w:sz w:val="15"/>
          <w:szCs w:val="15"/>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我们进行</w:t>
      </w:r>
      <w:r>
        <w:rPr>
          <w:rFonts w:hint="eastAsia" w:ascii="仿宋" w:hAnsi="仿宋" w:eastAsia="仿宋" w:cs="仿宋"/>
          <w:sz w:val="28"/>
          <w:szCs w:val="28"/>
          <w:lang w:val="en-US" w:eastAsia="zh-CN"/>
        </w:rPr>
        <w:t>PIV实验之前需要了解PIV实验的原理，有哪些制约因素，才能在实验过程中避免实验条件的制约，得到满意的结果。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rPr>
        <w:drawing>
          <wp:anchor distT="0" distB="0" distL="114300" distR="114300" simplePos="0" relativeHeight="251663360" behindDoc="0" locked="0" layoutInCell="1" allowOverlap="1">
            <wp:simplePos x="0" y="0"/>
            <wp:positionH relativeFrom="column">
              <wp:posOffset>1309370</wp:posOffset>
            </wp:positionH>
            <wp:positionV relativeFrom="paragraph">
              <wp:posOffset>3999865</wp:posOffset>
            </wp:positionV>
            <wp:extent cx="4304030" cy="2263775"/>
            <wp:effectExtent l="0" t="0" r="1270" b="3175"/>
            <wp:wrapTopAndBottom/>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7"/>
                    <a:stretch>
                      <a:fillRect/>
                    </a:stretch>
                  </pic:blipFill>
                  <pic:spPr>
                    <a:xfrm>
                      <a:off x="0" y="0"/>
                      <a:ext cx="4304030" cy="2263775"/>
                    </a:xfrm>
                    <a:prstGeom prst="rect">
                      <a:avLst/>
                    </a:prstGeom>
                    <a:noFill/>
                    <a:ln>
                      <a:noFill/>
                    </a:ln>
                  </pic:spPr>
                </pic:pic>
              </a:graphicData>
            </a:graphic>
          </wp:anchor>
        </w:drawing>
      </w:r>
      <w:r>
        <w:rPr>
          <w:rFonts w:hint="eastAsia" w:ascii="仿宋" w:hAnsi="仿宋" w:eastAsia="仿宋" w:cs="仿宋"/>
          <w:sz w:val="28"/>
          <w:szCs w:val="28"/>
          <w:lang w:val="en-US" w:eastAsia="zh-CN"/>
        </w:rPr>
        <w:t>PIV技术除向流场散布示踪粒子外，所有</w:t>
      </w:r>
      <w:r>
        <w:rPr>
          <w:rFonts w:hint="eastAsia" w:ascii="仿宋" w:hAnsi="仿宋" w:eastAsia="仿宋" w:cs="仿宋"/>
          <w:sz w:val="28"/>
          <w:szCs w:val="28"/>
          <w:lang w:val="en-US" w:eastAsia="zh-CN"/>
        </w:rPr>
        <w:fldChar w:fldCharType="begin"/>
      </w:r>
      <w:r>
        <w:rPr>
          <w:rFonts w:hint="eastAsia" w:ascii="仿宋" w:hAnsi="仿宋" w:eastAsia="仿宋" w:cs="仿宋"/>
          <w:sz w:val="28"/>
          <w:szCs w:val="28"/>
          <w:lang w:val="en-US" w:eastAsia="zh-CN"/>
        </w:rPr>
        <w:instrText xml:space="preserve"> HYPERLINK "https://baike.baidu.com/item/%E6%B5%8B%E9%87%8F%E8%A3%85%E7%BD%AE" \t "https://baike.baidu.com/item/piv/_blank" </w:instrText>
      </w:r>
      <w:r>
        <w:rPr>
          <w:rFonts w:hint="eastAsia" w:ascii="仿宋" w:hAnsi="仿宋" w:eastAsia="仿宋" w:cs="仿宋"/>
          <w:sz w:val="28"/>
          <w:szCs w:val="28"/>
          <w:lang w:val="en-US" w:eastAsia="zh-CN"/>
        </w:rPr>
        <w:fldChar w:fldCharType="separate"/>
      </w:r>
      <w:r>
        <w:rPr>
          <w:rFonts w:hint="eastAsia" w:ascii="仿宋" w:hAnsi="仿宋" w:eastAsia="仿宋" w:cs="仿宋"/>
          <w:sz w:val="28"/>
          <w:szCs w:val="28"/>
          <w:lang w:val="en-US" w:eastAsia="zh-CN"/>
        </w:rPr>
        <w:t>测量装置</w:t>
      </w:r>
      <w:r>
        <w:rPr>
          <w:rFonts w:hint="eastAsia" w:ascii="仿宋" w:hAnsi="仿宋" w:eastAsia="仿宋" w:cs="仿宋"/>
          <w:sz w:val="28"/>
          <w:szCs w:val="28"/>
          <w:lang w:val="en-US" w:eastAsia="zh-CN"/>
        </w:rPr>
        <w:fldChar w:fldCharType="end"/>
      </w:r>
      <w:r>
        <w:rPr>
          <w:rFonts w:hint="eastAsia" w:ascii="仿宋" w:hAnsi="仿宋" w:eastAsia="仿宋" w:cs="仿宋"/>
          <w:sz w:val="28"/>
          <w:szCs w:val="28"/>
          <w:lang w:val="en-US" w:eastAsia="zh-CN"/>
        </w:rPr>
        <w:t>均不介入流场。另外PIV技术具有较高的测量精度。由于PIV技术的上述优点，已成为当今流体力学测量研究中的热门方法，日益得到重视。PIV测速方法有多种分类，无论何种形式的PIV，其速度测量都依赖于散布在流场中的示踪粒子，PIV法测速都是通过测量示踪粒子在已知很短时间间隔内的位移来间接地测量流场的瞬态速度分布。片光源镜头组将激光展开成片光源用以照亮测量区域，相机通过已知时间间隔的两次曝光将粒子图像记录下来，将图像载入后处理软件，在后处理是将图像分成若干个大小相等的查询区间，在查询区间内算的粒子的位移，从而得到查询区间内的粒子的速度。查询区间必须足够小以致得出的速度矢量可以反映该点的实际情况，因为在查询区间内的速度梯度将被忽略，所得速度为查询区间内的平均速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i w:val="0"/>
          <w:iCs w:val="0"/>
          <w:caps w:val="0"/>
          <w:color w:val="333333"/>
          <w:spacing w:val="0"/>
          <w:sz w:val="28"/>
          <w:szCs w:val="28"/>
          <w:shd w:val="clear" w:fill="FFFFFF"/>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PIV系统主要有一下几部分组成：</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照明部分：照亮流场中需要测量的区域，包括双腔双脉冲激光器或者连续激光器、片光源、导光臂；</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图像采集部分：拍摄流场中的示踪粒子图像，包括跨帧PIV相机或者高频相机、配套的相机镜头、数据采集卡等；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3、同步器：确保相机的A/B帧对应于激光器的A/B腔，提供锁相测量功能等；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4、后处理软件：将得到的图像通关相关计算得到速度场；</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5、辅助部分：包括粒子发生器、示踪粒子、坐标架、滤镜等。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我公司已完成多次现场实验服务，在风洞实验、水洞实验、燃烧实验、超音速实验等各种类型的实验积累了大量经验，并备有以下设备用以满足用户不同的实验要求。</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1、脉冲激光器：波长532nm，单脉冲能量200mJ，脉冲频率：0-15Hz，脉宽6ns。</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2、跨帧相机：德国PCO edge 5.5M相机分辨率2560X2160，16位，60%以上量子效率，1e-本底噪声，动态范围30000:1，100帧/秒，跨帧时间100ns。</w:t>
      </w:r>
    </w:p>
    <w:p>
      <w:pPr>
        <w:keepNext w:val="0"/>
        <w:keepLines w:val="0"/>
        <w:pageBreakBefore w:val="0"/>
        <w:widowControl w:val="0"/>
        <w:kinsoku/>
        <w:wordWrap/>
        <w:overflowPunct/>
        <w:topLinePunct w:val="0"/>
        <w:autoSpaceDE/>
        <w:autoSpaceDN/>
        <w:bidi w:val="0"/>
        <w:adjustRightInd/>
        <w:snapToGrid/>
        <w:spacing w:line="360" w:lineRule="auto"/>
        <w:ind w:left="559" w:leftChars="266"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德国PCO Pixfly相机分辨率1390X1040，14位，PIV跨帧模式下工作频率7.3Hz。德国PCO Dimax CS1高速相机分辨率1296X1024,满分辨率最大帧率3000Hz，12位，量子效率大于50%。</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德国PCO 1200HS高速相机分辨率1280X1024，满分辨率最大帧率637Hz，相机内存4GB，</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3、同步器：1ns时间分辨率，6个外触发输出通道，其中4个控制激光器，1个控制相机，3个外触发输入通道。</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4、连续激光器：波长532nm，能量0-2W可调，功率稳定性小于1%。</w:t>
      </w:r>
    </w:p>
    <w:p>
      <w:pPr>
        <w:ind w:firstLine="57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5、Solid  Seeder 4固体粒子发生器一套、Seeder 4液体粒子发生器一套。</w:t>
      </w:r>
    </w:p>
    <w:p>
      <w:pPr>
        <w:ind w:firstLine="570"/>
        <w:jc w:val="left"/>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6、各种焦距镜头及配套滤镜若干。</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超音速燃烧射流实验</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3171825" cy="2379345"/>
            <wp:effectExtent l="0" t="0" r="9525" b="1905"/>
            <wp:docPr id="6" name="图片 6" descr="微信图片_20210514092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105140926525"/>
                    <pic:cNvPicPr>
                      <a:picLocks noChangeAspect="1"/>
                    </pic:cNvPicPr>
                  </pic:nvPicPr>
                  <pic:blipFill>
                    <a:blip r:embed="rId8"/>
                    <a:stretch>
                      <a:fillRect/>
                    </a:stretch>
                  </pic:blipFill>
                  <pic:spPr>
                    <a:xfrm>
                      <a:off x="0" y="0"/>
                      <a:ext cx="3171825" cy="2379345"/>
                    </a:xfrm>
                    <a:prstGeom prst="rect">
                      <a:avLst/>
                    </a:prstGeom>
                  </pic:spPr>
                </pic:pic>
              </a:graphicData>
            </a:graphic>
          </wp:inline>
        </w:drawing>
      </w:r>
      <w:r>
        <w:rPr>
          <w:rFonts w:hint="eastAsia" w:ascii="仿宋" w:hAnsi="仿宋" w:eastAsia="仿宋" w:cs="仿宋"/>
          <w:sz w:val="28"/>
          <w:szCs w:val="28"/>
          <w:lang w:val="en-US" w:eastAsia="zh-CN"/>
        </w:rPr>
        <w:drawing>
          <wp:inline distT="0" distB="0" distL="114300" distR="114300">
            <wp:extent cx="3186430" cy="2390140"/>
            <wp:effectExtent l="0" t="0" r="13970" b="10160"/>
            <wp:docPr id="2" name="图片 2" descr="微信图片_20210514092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105140926521"/>
                    <pic:cNvPicPr>
                      <a:picLocks noChangeAspect="1"/>
                    </pic:cNvPicPr>
                  </pic:nvPicPr>
                  <pic:blipFill>
                    <a:blip r:embed="rId9"/>
                    <a:stretch>
                      <a:fillRect/>
                    </a:stretch>
                  </pic:blipFill>
                  <pic:spPr>
                    <a:xfrm>
                      <a:off x="0" y="0"/>
                      <a:ext cx="3186430" cy="23901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此次实验采用低频脉冲激光器与PIV跨帧相机相配合，同步器控制两者时序。跨帧相机A帧曝光时间可调，B帧曝光时间不可调，所以需要液晶快门控制B帧的曝光时间，尽量消除由于火焰会带来背景噪声，得到清晰的粒子图像。将相机两帧的曝光时间均设置为200微秒并在镜头前加装532nm窄带滤波镜（消除火焰噪声），时间间隔设置为0.8微秒（保证粒子图像具有相关性），粒子添加方式为压入式。</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rPr>
      </w:pPr>
      <w:r>
        <w:rPr>
          <w:rFonts w:hint="eastAsia" w:ascii="仿宋" w:hAnsi="仿宋" w:eastAsia="仿宋" w:cs="仿宋"/>
          <w:sz w:val="28"/>
          <w:szCs w:val="28"/>
          <w:lang w:val="en-US" w:eastAsia="zh-CN"/>
        </w:rPr>
        <w:drawing>
          <wp:inline distT="0" distB="0" distL="114300" distR="114300">
            <wp:extent cx="3179445" cy="2717165"/>
            <wp:effectExtent l="0" t="0" r="1905" b="6985"/>
            <wp:docPr id="7" name="图片 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
                    <pic:cNvPicPr>
                      <a:picLocks noChangeAspect="1"/>
                    </pic:cNvPicPr>
                  </pic:nvPicPr>
                  <pic:blipFill>
                    <a:blip r:embed="rId10"/>
                    <a:stretch>
                      <a:fillRect/>
                    </a:stretch>
                  </pic:blipFill>
                  <pic:spPr>
                    <a:xfrm>
                      <a:off x="0" y="0"/>
                      <a:ext cx="3179445" cy="2717165"/>
                    </a:xfrm>
                    <a:prstGeom prst="rect">
                      <a:avLst/>
                    </a:prstGeom>
                  </pic:spPr>
                </pic:pic>
              </a:graphicData>
            </a:graphic>
          </wp:inline>
        </w:drawing>
      </w:r>
      <w:r>
        <w:rPr>
          <w:rFonts w:hint="eastAsia" w:ascii="仿宋" w:hAnsi="仿宋" w:eastAsia="仿宋" w:cs="仿宋"/>
        </w:rPr>
        <w:drawing>
          <wp:inline distT="0" distB="0" distL="114300" distR="114300">
            <wp:extent cx="3002280" cy="2669540"/>
            <wp:effectExtent l="0" t="0" r="7620" b="1651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
                    <a:stretch>
                      <a:fillRect/>
                    </a:stretch>
                  </pic:blipFill>
                  <pic:spPr>
                    <a:xfrm>
                      <a:off x="0" y="0"/>
                      <a:ext cx="3002280" cy="266954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1890" w:firstLineChars="900"/>
        <w:jc w:val="left"/>
        <w:textAlignment w:val="auto"/>
        <w:rPr>
          <w:rFonts w:hint="eastAsia" w:ascii="仿宋" w:hAnsi="仿宋" w:eastAsia="仿宋" w:cs="仿宋"/>
          <w:lang w:val="en-US" w:eastAsia="zh-CN"/>
        </w:rPr>
      </w:pPr>
      <w:r>
        <w:rPr>
          <w:rFonts w:hint="eastAsia" w:ascii="仿宋" w:hAnsi="仿宋" w:eastAsia="仿宋" w:cs="仿宋"/>
          <w:lang w:eastAsia="zh-CN"/>
        </w:rPr>
        <w:t>粒子图像</w:t>
      </w:r>
      <w:r>
        <w:rPr>
          <w:rFonts w:hint="eastAsia" w:ascii="仿宋" w:hAnsi="仿宋" w:eastAsia="仿宋" w:cs="仿宋"/>
          <w:lang w:val="en-US" w:eastAsia="zh-CN"/>
        </w:rPr>
        <w:t xml:space="preserve">                                           流场图</w:t>
      </w:r>
    </w:p>
    <w:p>
      <w:pPr>
        <w:keepNext w:val="0"/>
        <w:keepLines w:val="0"/>
        <w:pageBreakBefore w:val="0"/>
        <w:widowControl w:val="0"/>
        <w:kinsoku/>
        <w:wordWrap/>
        <w:overflowPunct/>
        <w:topLinePunct w:val="0"/>
        <w:autoSpaceDE/>
        <w:autoSpaceDN/>
        <w:bidi w:val="0"/>
        <w:adjustRightInd/>
        <w:snapToGrid/>
        <w:spacing w:line="360" w:lineRule="auto"/>
        <w:ind w:firstLine="1890" w:firstLineChars="900"/>
        <w:jc w:val="left"/>
        <w:textAlignment w:val="auto"/>
        <w:rPr>
          <w:rFonts w:hint="eastAsia" w:ascii="仿宋" w:hAnsi="仿宋" w:eastAsia="仿宋" w:cs="仿宋"/>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空调出风口流场测量实验及流场显示</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3342005" cy="2506980"/>
            <wp:effectExtent l="0" t="0" r="10795" b="7620"/>
            <wp:docPr id="14" name="图片 14" descr="微信图片_202105140929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105140929133"/>
                    <pic:cNvPicPr>
                      <a:picLocks noChangeAspect="1"/>
                    </pic:cNvPicPr>
                  </pic:nvPicPr>
                  <pic:blipFill>
                    <a:blip r:embed="rId12"/>
                    <a:stretch>
                      <a:fillRect/>
                    </a:stretch>
                  </pic:blipFill>
                  <pic:spPr>
                    <a:xfrm>
                      <a:off x="0" y="0"/>
                      <a:ext cx="3342005" cy="2506980"/>
                    </a:xfrm>
                    <a:prstGeom prst="rect">
                      <a:avLst/>
                    </a:prstGeom>
                  </pic:spPr>
                </pic:pic>
              </a:graphicData>
            </a:graphic>
          </wp:inline>
        </w:drawing>
      </w:r>
      <w:r>
        <w:rPr>
          <w:rFonts w:hint="eastAsia" w:ascii="仿宋" w:hAnsi="仿宋" w:eastAsia="仿宋" w:cs="仿宋"/>
          <w:sz w:val="28"/>
          <w:szCs w:val="28"/>
          <w:lang w:val="en-US" w:eastAsia="zh-CN"/>
        </w:rPr>
        <w:drawing>
          <wp:inline distT="0" distB="0" distL="114300" distR="114300">
            <wp:extent cx="3107690" cy="2497455"/>
            <wp:effectExtent l="0" t="0" r="16510" b="17145"/>
            <wp:docPr id="13" name="图片 13" descr="微信图片_2021051409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10514092913"/>
                    <pic:cNvPicPr>
                      <a:picLocks noChangeAspect="1"/>
                    </pic:cNvPicPr>
                  </pic:nvPicPr>
                  <pic:blipFill>
                    <a:blip r:embed="rId13"/>
                    <a:stretch>
                      <a:fillRect/>
                    </a:stretch>
                  </pic:blipFill>
                  <pic:spPr>
                    <a:xfrm>
                      <a:off x="0" y="0"/>
                      <a:ext cx="3107690" cy="24974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jc w:val="left"/>
        <w:textAlignment w:val="auto"/>
        <w:rPr>
          <w:rFonts w:hint="eastAsia" w:ascii="仿宋" w:hAnsi="仿宋" w:eastAsia="仿宋" w:cs="仿宋"/>
        </w:rPr>
      </w:pPr>
      <w:r>
        <w:rPr>
          <w:rFonts w:hint="eastAsia" w:ascii="仿宋" w:hAnsi="仿宋" w:eastAsia="仿宋" w:cs="仿宋"/>
          <w:sz w:val="28"/>
          <w:szCs w:val="28"/>
          <w:lang w:val="en-US" w:eastAsia="zh-CN"/>
        </w:rPr>
        <w:t>此次实验流场测量部分采用低频脉冲激光器与PIV跨帧相机相配合，同步器控制两者时序。流场显示部分采用20W连续激光器照明。粒子采用安全无毒的石蜡油加压后雾化产生的液体粒子，通过控制进入液体粒子发生器气体流量控制粒子浓度。</w:t>
      </w:r>
      <w:r>
        <w:rPr>
          <w:rFonts w:hint="eastAsia" w:ascii="仿宋" w:hAnsi="仿宋" w:eastAsia="仿宋" w:cs="仿宋"/>
          <w:sz w:val="28"/>
          <w:szCs w:val="28"/>
          <w:lang w:val="en-US" w:eastAsia="zh-CN"/>
        </w:rPr>
        <w:drawing>
          <wp:inline distT="0" distB="0" distL="114300" distR="114300">
            <wp:extent cx="3257550" cy="2613025"/>
            <wp:effectExtent l="0" t="0" r="0" b="15875"/>
            <wp:docPr id="16" name="图片 16" descr="PIV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PIV_A"/>
                    <pic:cNvPicPr>
                      <a:picLocks noChangeAspect="1"/>
                    </pic:cNvPicPr>
                  </pic:nvPicPr>
                  <pic:blipFill>
                    <a:blip r:embed="rId14"/>
                    <a:stretch>
                      <a:fillRect/>
                    </a:stretch>
                  </pic:blipFill>
                  <pic:spPr>
                    <a:xfrm>
                      <a:off x="0" y="0"/>
                      <a:ext cx="3257550" cy="2613025"/>
                    </a:xfrm>
                    <a:prstGeom prst="rect">
                      <a:avLst/>
                    </a:prstGeom>
                  </pic:spPr>
                </pic:pic>
              </a:graphicData>
            </a:graphic>
          </wp:inline>
        </w:drawing>
      </w:r>
      <w:r>
        <w:rPr>
          <w:rFonts w:hint="eastAsia" w:ascii="仿宋" w:hAnsi="仿宋" w:eastAsia="仿宋" w:cs="仿宋"/>
        </w:rPr>
        <w:drawing>
          <wp:inline distT="0" distB="0" distL="114300" distR="114300">
            <wp:extent cx="3160395" cy="2570480"/>
            <wp:effectExtent l="0" t="0" r="1905" b="127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15"/>
                    <a:stretch>
                      <a:fillRect/>
                    </a:stretch>
                  </pic:blipFill>
                  <pic:spPr>
                    <a:xfrm>
                      <a:off x="0" y="0"/>
                      <a:ext cx="3160395" cy="25704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1890" w:firstLineChars="900"/>
        <w:jc w:val="left"/>
        <w:textAlignment w:val="auto"/>
        <w:rPr>
          <w:rFonts w:hint="eastAsia" w:ascii="仿宋" w:hAnsi="仿宋" w:eastAsia="仿宋" w:cs="仿宋"/>
          <w:lang w:val="en-US" w:eastAsia="zh-CN"/>
        </w:rPr>
      </w:pPr>
      <w:r>
        <w:rPr>
          <w:rFonts w:hint="eastAsia" w:ascii="仿宋" w:hAnsi="仿宋" w:eastAsia="仿宋" w:cs="仿宋"/>
          <w:lang w:eastAsia="zh-CN"/>
        </w:rPr>
        <w:t>粒子图像</w:t>
      </w:r>
      <w:r>
        <w:rPr>
          <w:rFonts w:hint="eastAsia" w:ascii="仿宋" w:hAnsi="仿宋" w:eastAsia="仿宋" w:cs="仿宋"/>
          <w:lang w:val="en-US" w:eastAsia="zh-CN"/>
        </w:rPr>
        <w:t xml:space="preserve">                                           流场图</w:t>
      </w:r>
    </w:p>
    <w:p>
      <w:pPr>
        <w:keepNext w:val="0"/>
        <w:keepLines w:val="0"/>
        <w:pageBreakBefore w:val="0"/>
        <w:widowControl w:val="0"/>
        <w:kinsoku/>
        <w:wordWrap/>
        <w:overflowPunct/>
        <w:topLinePunct w:val="0"/>
        <w:autoSpaceDE/>
        <w:autoSpaceDN/>
        <w:bidi w:val="0"/>
        <w:adjustRightInd/>
        <w:snapToGrid/>
        <w:spacing w:line="360" w:lineRule="auto"/>
        <w:ind w:firstLine="560"/>
        <w:jc w:val="left"/>
        <w:textAlignment w:val="auto"/>
        <w:rPr>
          <w:rFonts w:hint="eastAsia" w:ascii="仿宋" w:hAnsi="仿宋" w:eastAsia="仿宋" w:cs="仿宋"/>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jc w:val="left"/>
        <w:textAlignment w:val="auto"/>
        <w:rPr>
          <w:rFonts w:hint="eastAsia" w:ascii="仿宋" w:hAnsi="仿宋" w:eastAsia="仿宋" w:cs="仿宋"/>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jc w:val="left"/>
        <w:textAlignment w:val="auto"/>
        <w:rPr>
          <w:rFonts w:hint="eastAsia" w:ascii="仿宋" w:hAnsi="仿宋" w:eastAsia="仿宋" w:cs="仿宋"/>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液体随内筒/外筒转动实验</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3067685" cy="2840990"/>
            <wp:effectExtent l="0" t="0" r="18415" b="16510"/>
            <wp:docPr id="18" name="图片 18" descr="微信图片_2020120820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01208203509"/>
                    <pic:cNvPicPr>
                      <a:picLocks noChangeAspect="1"/>
                    </pic:cNvPicPr>
                  </pic:nvPicPr>
                  <pic:blipFill>
                    <a:blip r:embed="rId16"/>
                    <a:stretch>
                      <a:fillRect/>
                    </a:stretch>
                  </pic:blipFill>
                  <pic:spPr>
                    <a:xfrm>
                      <a:off x="0" y="0"/>
                      <a:ext cx="3067685" cy="2840990"/>
                    </a:xfrm>
                    <a:prstGeom prst="rect">
                      <a:avLst/>
                    </a:prstGeom>
                  </pic:spPr>
                </pic:pic>
              </a:graphicData>
            </a:graphic>
          </wp:inline>
        </w:drawing>
      </w:r>
      <w:r>
        <w:rPr>
          <w:rFonts w:hint="eastAsia" w:ascii="仿宋" w:hAnsi="仿宋" w:eastAsia="仿宋" w:cs="仿宋"/>
          <w:sz w:val="28"/>
          <w:szCs w:val="28"/>
          <w:lang w:val="en-US" w:eastAsia="zh-CN"/>
        </w:rPr>
        <w:drawing>
          <wp:inline distT="0" distB="0" distL="114300" distR="114300">
            <wp:extent cx="3188335" cy="2842260"/>
            <wp:effectExtent l="0" t="0" r="12065" b="15240"/>
            <wp:docPr id="19" name="图片 19" descr="微信图片_202012082035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图片_202012082035091"/>
                    <pic:cNvPicPr>
                      <a:picLocks noChangeAspect="1"/>
                    </pic:cNvPicPr>
                  </pic:nvPicPr>
                  <pic:blipFill>
                    <a:blip r:embed="rId17"/>
                    <a:stretch>
                      <a:fillRect/>
                    </a:stretch>
                  </pic:blipFill>
                  <pic:spPr>
                    <a:xfrm>
                      <a:off x="0" y="0"/>
                      <a:ext cx="3188335" cy="28422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rPr>
      </w:pPr>
      <w:r>
        <w:rPr>
          <w:rFonts w:hint="eastAsia" w:ascii="仿宋" w:hAnsi="仿宋" w:eastAsia="仿宋" w:cs="仿宋"/>
          <w:sz w:val="28"/>
          <w:szCs w:val="28"/>
          <w:lang w:val="en-US" w:eastAsia="zh-CN"/>
        </w:rPr>
        <w:t>此次实验采用连续激光器与高速相机配合，示踪粒子加入液体后进行预混，实验过程中不需要再次添加，实验过程中调节激光强度和相机的曝光时间拍摄到清晰的粒子图像。由于实验模型上方被电机遮挡无法布置相机，故采用45度转折镜置于模型上方改变光路，方便拍摄。</w:t>
      </w:r>
      <w:r>
        <w:rPr>
          <w:rFonts w:hint="eastAsia" w:ascii="仿宋" w:hAnsi="仿宋" w:eastAsia="仿宋" w:cs="仿宋"/>
        </w:rPr>
        <w:drawing>
          <wp:inline distT="0" distB="0" distL="114300" distR="114300">
            <wp:extent cx="3276600" cy="2840990"/>
            <wp:effectExtent l="0" t="0" r="0" b="16510"/>
            <wp:docPr id="22" name="图片 22" descr="PIV_0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PIV_00002"/>
                    <pic:cNvPicPr>
                      <a:picLocks noChangeAspect="1"/>
                    </pic:cNvPicPr>
                  </pic:nvPicPr>
                  <pic:blipFill>
                    <a:blip r:embed="rId18"/>
                    <a:stretch>
                      <a:fillRect/>
                    </a:stretch>
                  </pic:blipFill>
                  <pic:spPr>
                    <a:xfrm>
                      <a:off x="0" y="0"/>
                      <a:ext cx="3276600" cy="2840990"/>
                    </a:xfrm>
                    <a:prstGeom prst="rect">
                      <a:avLst/>
                    </a:prstGeom>
                  </pic:spPr>
                </pic:pic>
              </a:graphicData>
            </a:graphic>
          </wp:inline>
        </w:drawing>
      </w:r>
      <w:r>
        <w:rPr>
          <w:rFonts w:hint="eastAsia" w:ascii="仿宋" w:hAnsi="仿宋" w:eastAsia="仿宋" w:cs="仿宋"/>
        </w:rPr>
        <w:drawing>
          <wp:inline distT="0" distB="0" distL="114300" distR="114300">
            <wp:extent cx="3185160" cy="2832100"/>
            <wp:effectExtent l="0" t="0" r="15240" b="635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9"/>
                    <a:stretch>
                      <a:fillRect/>
                    </a:stretch>
                  </pic:blipFill>
                  <pic:spPr>
                    <a:xfrm>
                      <a:off x="0" y="0"/>
                      <a:ext cx="3185160" cy="28321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1890" w:firstLineChars="900"/>
        <w:jc w:val="left"/>
        <w:textAlignment w:val="auto"/>
        <w:rPr>
          <w:rFonts w:hint="eastAsia" w:ascii="仿宋" w:hAnsi="仿宋" w:eastAsia="仿宋" w:cs="仿宋"/>
          <w:lang w:val="en-US" w:eastAsia="zh-CN"/>
        </w:rPr>
      </w:pPr>
      <w:r>
        <w:rPr>
          <w:rFonts w:hint="eastAsia" w:ascii="仿宋" w:hAnsi="仿宋" w:eastAsia="仿宋" w:cs="仿宋"/>
          <w:lang w:eastAsia="zh-CN"/>
        </w:rPr>
        <w:t>粒子图像</w:t>
      </w:r>
      <w:r>
        <w:rPr>
          <w:rFonts w:hint="eastAsia" w:ascii="仿宋" w:hAnsi="仿宋" w:eastAsia="仿宋" w:cs="仿宋"/>
          <w:lang w:val="en-US" w:eastAsia="zh-CN"/>
        </w:rPr>
        <w:t xml:space="preserve">                                           流场图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仿宋" w:hAnsi="仿宋" w:eastAsia="仿宋" w:cs="仿宋"/>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血管内血液流场测量实验</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3147060" cy="2990850"/>
            <wp:effectExtent l="0" t="0" r="15240" b="0"/>
            <wp:docPr id="24" name="图片 24" descr="微信图片_202107071646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1070716461711"/>
                    <pic:cNvPicPr>
                      <a:picLocks noChangeAspect="1"/>
                    </pic:cNvPicPr>
                  </pic:nvPicPr>
                  <pic:blipFill>
                    <a:blip r:embed="rId20"/>
                    <a:stretch>
                      <a:fillRect/>
                    </a:stretch>
                  </pic:blipFill>
                  <pic:spPr>
                    <a:xfrm>
                      <a:off x="0" y="0"/>
                      <a:ext cx="3147060" cy="2990850"/>
                    </a:xfrm>
                    <a:prstGeom prst="rect">
                      <a:avLst/>
                    </a:prstGeom>
                  </pic:spPr>
                </pic:pic>
              </a:graphicData>
            </a:graphic>
          </wp:inline>
        </w:drawing>
      </w:r>
      <w:r>
        <w:rPr>
          <w:rFonts w:hint="eastAsia" w:ascii="仿宋" w:hAnsi="仿宋" w:eastAsia="仿宋" w:cs="仿宋"/>
          <w:sz w:val="28"/>
          <w:szCs w:val="28"/>
          <w:lang w:val="en-US" w:eastAsia="zh-CN"/>
        </w:rPr>
        <w:drawing>
          <wp:inline distT="0" distB="0" distL="114300" distR="114300">
            <wp:extent cx="3205480" cy="2967355"/>
            <wp:effectExtent l="0" t="0" r="13970" b="4445"/>
            <wp:docPr id="23" name="图片 23" descr="微信图片_20210707164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107071646173"/>
                    <pic:cNvPicPr>
                      <a:picLocks noChangeAspect="1"/>
                    </pic:cNvPicPr>
                  </pic:nvPicPr>
                  <pic:blipFill>
                    <a:blip r:embed="rId21"/>
                    <a:stretch>
                      <a:fillRect/>
                    </a:stretch>
                  </pic:blipFill>
                  <pic:spPr>
                    <a:xfrm>
                      <a:off x="0" y="0"/>
                      <a:ext cx="3205480" cy="296735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56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此次实验采用连续激光器与高速相机配合。由于血管模型较细，在拍摄过程中管壁有较强的反光，所以加入荧光粒子与高通滤镜配合消除壁面反光，得到清晰的粒子图像。</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pPr>
      <w:r>
        <w:rPr>
          <w:rFonts w:hint="default" w:ascii="仿宋" w:hAnsi="仿宋" w:eastAsia="仿宋" w:cs="仿宋"/>
          <w:sz w:val="28"/>
          <w:szCs w:val="28"/>
          <w:lang w:val="en-US" w:eastAsia="zh-CN"/>
        </w:rPr>
        <w:drawing>
          <wp:inline distT="0" distB="0" distL="114300" distR="114300">
            <wp:extent cx="3247390" cy="2681605"/>
            <wp:effectExtent l="0" t="0" r="10160" b="4445"/>
            <wp:docPr id="25" name="图片 25" descr="PIV_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PIV_00003"/>
                    <pic:cNvPicPr>
                      <a:picLocks noChangeAspect="1"/>
                    </pic:cNvPicPr>
                  </pic:nvPicPr>
                  <pic:blipFill>
                    <a:blip r:embed="rId22"/>
                    <a:stretch>
                      <a:fillRect/>
                    </a:stretch>
                  </pic:blipFill>
                  <pic:spPr>
                    <a:xfrm>
                      <a:off x="0" y="0"/>
                      <a:ext cx="3247390" cy="2681605"/>
                    </a:xfrm>
                    <a:prstGeom prst="rect">
                      <a:avLst/>
                    </a:prstGeom>
                  </pic:spPr>
                </pic:pic>
              </a:graphicData>
            </a:graphic>
          </wp:inline>
        </w:drawing>
      </w:r>
      <w:r>
        <w:drawing>
          <wp:inline distT="0" distB="0" distL="114300" distR="114300">
            <wp:extent cx="2931160" cy="2629535"/>
            <wp:effectExtent l="0" t="0" r="2540" b="18415"/>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3"/>
                    <a:stretch>
                      <a:fillRect/>
                    </a:stretch>
                  </pic:blipFill>
                  <pic:spPr>
                    <a:xfrm>
                      <a:off x="0" y="0"/>
                      <a:ext cx="2931160" cy="26295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1890" w:firstLineChars="900"/>
        <w:jc w:val="left"/>
        <w:textAlignment w:val="auto"/>
        <w:rPr>
          <w:rFonts w:hint="eastAsia" w:ascii="仿宋" w:hAnsi="仿宋" w:eastAsia="仿宋" w:cs="仿宋"/>
          <w:lang w:val="en-US" w:eastAsia="zh-CN"/>
        </w:rPr>
      </w:pPr>
      <w:r>
        <w:rPr>
          <w:rFonts w:hint="eastAsia" w:ascii="仿宋" w:hAnsi="仿宋" w:eastAsia="仿宋" w:cs="仿宋"/>
          <w:lang w:eastAsia="zh-CN"/>
        </w:rPr>
        <w:t>粒子图像</w:t>
      </w:r>
      <w:r>
        <w:rPr>
          <w:rFonts w:hint="eastAsia" w:ascii="仿宋" w:hAnsi="仿宋" w:eastAsia="仿宋" w:cs="仿宋"/>
          <w:lang w:val="en-US" w:eastAsia="zh-CN"/>
        </w:rPr>
        <w:t xml:space="preserve">                                           流场图</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我司从事PIV现场实验服务多年，为多家学校及研究所提供过实验服务。</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中国核动力研究院（成都）     2、中国石油大学（青岛）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3、上海交通大学                 4、上海大学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5、方太研究中心                 6、中国汽车工程研究院股份有限公司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7、内蒙古科技大学               8、内蒙古工业大学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9、中国环境科学院               10、中国科学院热物理所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11、清华大学核研院              12、新疆交通规划勘察设计研究院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13、西北工业大学                14、中山大学</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 w:afterAutospacing="0" w:line="330" w:lineRule="atLeast"/>
        <w:ind w:left="0" w:right="0" w:firstLine="562"/>
        <w:rPr>
          <w:rFonts w:hint="default" w:ascii="仿宋" w:hAnsi="仿宋" w:eastAsia="仿宋" w:cs="仿宋"/>
          <w:b w:val="0"/>
          <w:bCs w:val="0"/>
          <w:kern w:val="2"/>
          <w:sz w:val="28"/>
          <w:szCs w:val="28"/>
          <w:lang w:val="en-US" w:eastAsia="zh-CN" w:bidi="ar-SA"/>
        </w:rPr>
      </w:pPr>
      <w:r>
        <w:rPr>
          <w:rFonts w:hint="eastAsia" w:ascii="仿宋" w:hAnsi="仿宋" w:eastAsia="仿宋" w:cs="仿宋"/>
          <w:b w:val="0"/>
          <w:bCs w:val="0"/>
          <w:kern w:val="2"/>
          <w:sz w:val="28"/>
          <w:szCs w:val="28"/>
          <w:lang w:val="en-US" w:eastAsia="zh-CN" w:bidi="ar-SA"/>
        </w:rPr>
        <w:t>15、华南理工大学                16、</w:t>
      </w:r>
      <w:r>
        <w:rPr>
          <w:rFonts w:hint="default" w:ascii="仿宋" w:hAnsi="仿宋" w:eastAsia="仿宋" w:cs="仿宋"/>
          <w:b w:val="0"/>
          <w:bCs w:val="0"/>
          <w:kern w:val="2"/>
          <w:sz w:val="28"/>
          <w:szCs w:val="28"/>
          <w:lang w:val="en-US" w:eastAsia="zh-CN" w:bidi="ar-SA"/>
        </w:rPr>
        <w:fldChar w:fldCharType="begin"/>
      </w:r>
      <w:r>
        <w:rPr>
          <w:rFonts w:hint="default" w:ascii="仿宋" w:hAnsi="仿宋" w:eastAsia="仿宋" w:cs="仿宋"/>
          <w:b w:val="0"/>
          <w:bCs w:val="0"/>
          <w:kern w:val="2"/>
          <w:sz w:val="28"/>
          <w:szCs w:val="28"/>
          <w:lang w:val="en-US" w:eastAsia="zh-CN" w:bidi="ar-SA"/>
        </w:rPr>
        <w:instrText xml:space="preserve"> HYPERLINK "http://www.baidu.com/link?url=dFtEVHRe6H12yO8-6JJWRvSlkzouBYOTstHeqH1F6rvt79rajKpv8J3jnu30dZ7P6R6InDZVfI8dm3c6bTBDLPHXsgKyR6WsFbBWdVFx3LW" \t "https://www.baidu.com/_blank" </w:instrText>
      </w:r>
      <w:r>
        <w:rPr>
          <w:rFonts w:hint="default" w:ascii="仿宋" w:hAnsi="仿宋" w:eastAsia="仿宋" w:cs="仿宋"/>
          <w:b w:val="0"/>
          <w:bCs w:val="0"/>
          <w:kern w:val="2"/>
          <w:sz w:val="28"/>
          <w:szCs w:val="28"/>
          <w:lang w:val="en-US" w:eastAsia="zh-CN" w:bidi="ar-SA"/>
        </w:rPr>
        <w:fldChar w:fldCharType="separate"/>
      </w:r>
      <w:r>
        <w:rPr>
          <w:rFonts w:hint="default" w:ascii="仿宋" w:hAnsi="仿宋" w:eastAsia="仿宋" w:cs="仿宋"/>
          <w:b w:val="0"/>
          <w:bCs w:val="0"/>
          <w:kern w:val="2"/>
          <w:sz w:val="28"/>
          <w:szCs w:val="28"/>
          <w:lang w:val="en-US" w:eastAsia="zh-CN" w:bidi="ar-SA"/>
        </w:rPr>
        <w:t>中国航天科工集团航天三院303所</w:t>
      </w:r>
      <w:r>
        <w:rPr>
          <w:rFonts w:hint="default" w:ascii="仿宋" w:hAnsi="仿宋" w:eastAsia="仿宋" w:cs="仿宋"/>
          <w:b w:val="0"/>
          <w:bCs w:val="0"/>
          <w:kern w:val="2"/>
          <w:sz w:val="28"/>
          <w:szCs w:val="28"/>
          <w:lang w:val="en-US" w:eastAsia="zh-CN" w:bidi="ar-SA"/>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17、北京理工大学                18、中国科学技术大学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19、天津大学                    20、华中科技大学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 xml:space="preserve"> 21、哈尔滨工程大学              22、福州大学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23、中国航天科技集团西安航天动力试验技术研究所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联系方式：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公司名称：</w:t>
      </w:r>
      <w:bookmarkStart w:id="0" w:name="_GoBack"/>
      <w:bookmarkEnd w:id="0"/>
      <w:r>
        <w:rPr>
          <w:rFonts w:hint="eastAsia" w:ascii="仿宋" w:hAnsi="仿宋" w:eastAsia="仿宋" w:cs="仿宋"/>
          <w:sz w:val="28"/>
          <w:szCs w:val="28"/>
          <w:lang w:val="en-US" w:eastAsia="zh-CN"/>
        </w:rPr>
        <w:t xml:space="preserve">北廷测量技术（北京）有限公司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地址：北京市海淀区西三环北路87号国际财经中心A座14层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电话：010-63812460            邮件：</w:t>
      </w:r>
      <w:r>
        <w:rPr>
          <w:rFonts w:hint="eastAsia" w:ascii="仿宋" w:hAnsi="仿宋" w:eastAsia="仿宋" w:cs="仿宋"/>
          <w:sz w:val="28"/>
          <w:szCs w:val="28"/>
          <w:lang w:val="en-US" w:eastAsia="zh-CN"/>
        </w:rPr>
        <w:fldChar w:fldCharType="begin"/>
      </w:r>
      <w:r>
        <w:rPr>
          <w:rFonts w:hint="eastAsia" w:ascii="仿宋" w:hAnsi="仿宋" w:eastAsia="仿宋" w:cs="仿宋"/>
          <w:sz w:val="28"/>
          <w:szCs w:val="28"/>
          <w:lang w:val="en-US" w:eastAsia="zh-CN"/>
        </w:rPr>
        <w:instrText xml:space="preserve"> HYPERLINK "mailto:fu@btfluid.com" </w:instrText>
      </w:r>
      <w:r>
        <w:rPr>
          <w:rFonts w:hint="eastAsia" w:ascii="仿宋" w:hAnsi="仿宋" w:eastAsia="仿宋" w:cs="仿宋"/>
          <w:sz w:val="28"/>
          <w:szCs w:val="28"/>
          <w:lang w:val="en-US" w:eastAsia="zh-CN"/>
        </w:rPr>
        <w:fldChar w:fldCharType="separate"/>
      </w:r>
      <w:r>
        <w:rPr>
          <w:rStyle w:val="12"/>
          <w:rFonts w:hint="eastAsia" w:ascii="仿宋" w:hAnsi="仿宋" w:eastAsia="仿宋" w:cs="仿宋"/>
          <w:sz w:val="28"/>
          <w:szCs w:val="28"/>
          <w:lang w:val="en-US" w:eastAsia="zh-CN"/>
        </w:rPr>
        <w:t>fu@btfluid.com</w:t>
      </w:r>
      <w:r>
        <w:rPr>
          <w:rFonts w:hint="eastAsia" w:ascii="仿宋" w:hAnsi="仿宋" w:eastAsia="仿宋" w:cs="仿宋"/>
          <w:sz w:val="28"/>
          <w:szCs w:val="28"/>
          <w:lang w:val="en-US" w:eastAsia="zh-CN"/>
        </w:rPr>
        <w:fldChar w:fldCharType="end"/>
      </w:r>
      <w:r>
        <w:rPr>
          <w:rFonts w:hint="eastAsia" w:ascii="仿宋" w:hAnsi="仿宋" w:eastAsia="仿宋" w:cs="仿宋"/>
          <w:sz w:val="28"/>
          <w:szCs w:val="28"/>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网址：</w:t>
      </w:r>
      <w:r>
        <w:rPr>
          <w:rFonts w:hint="eastAsia" w:ascii="仿宋" w:hAnsi="仿宋" w:eastAsia="仿宋" w:cs="仿宋"/>
          <w:sz w:val="28"/>
          <w:szCs w:val="28"/>
          <w:lang w:val="en-US" w:eastAsia="zh-CN"/>
        </w:rPr>
        <w:fldChar w:fldCharType="begin"/>
      </w:r>
      <w:r>
        <w:rPr>
          <w:rFonts w:hint="eastAsia" w:ascii="仿宋" w:hAnsi="仿宋" w:eastAsia="仿宋" w:cs="仿宋"/>
          <w:sz w:val="28"/>
          <w:szCs w:val="28"/>
          <w:lang w:val="en-US" w:eastAsia="zh-CN"/>
        </w:rPr>
        <w:instrText xml:space="preserve"> HYPERLINK "http://www.btfluid.com" </w:instrText>
      </w:r>
      <w:r>
        <w:rPr>
          <w:rFonts w:hint="eastAsia" w:ascii="仿宋" w:hAnsi="仿宋" w:eastAsia="仿宋" w:cs="仿宋"/>
          <w:sz w:val="28"/>
          <w:szCs w:val="28"/>
          <w:lang w:val="en-US" w:eastAsia="zh-CN"/>
        </w:rPr>
        <w:fldChar w:fldCharType="separate"/>
      </w:r>
      <w:r>
        <w:rPr>
          <w:rStyle w:val="12"/>
          <w:rFonts w:hint="eastAsia" w:ascii="仿宋" w:hAnsi="仿宋" w:eastAsia="仿宋" w:cs="仿宋"/>
          <w:sz w:val="28"/>
          <w:szCs w:val="28"/>
          <w:lang w:val="en-US" w:eastAsia="zh-CN"/>
        </w:rPr>
        <w:t>www.btfluid.com</w:t>
      </w:r>
      <w:r>
        <w:rPr>
          <w:rFonts w:hint="eastAsia" w:ascii="仿宋" w:hAnsi="仿宋" w:eastAsia="仿宋" w:cs="仿宋"/>
          <w:sz w:val="28"/>
          <w:szCs w:val="28"/>
          <w:lang w:val="en-US" w:eastAsia="zh-CN"/>
        </w:rPr>
        <w:fldChar w:fldCharType="end"/>
      </w:r>
      <w:r>
        <w:rPr>
          <w:rFonts w:hint="eastAsia" w:ascii="仿宋" w:hAnsi="仿宋" w:eastAsia="仿宋" w:cs="仿宋"/>
          <w:sz w:val="28"/>
          <w:szCs w:val="28"/>
          <w:lang w:val="en-US" w:eastAsia="zh-CN"/>
        </w:rPr>
        <w:t xml:space="preserve">         手机：15533681284/13911101795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left"/>
        <w:textAlignment w:val="auto"/>
        <w:rPr>
          <w:rFonts w:hint="eastAsia" w:ascii="仿宋" w:hAnsi="仿宋" w:eastAsia="仿宋" w:cs="仿宋"/>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default" w:ascii="仿宋" w:hAnsi="仿宋" w:eastAsia="仿宋" w:cs="仿宋"/>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left"/>
        <w:textAlignment w:val="auto"/>
        <w:rPr>
          <w:rFonts w:hint="default" w:ascii="仿宋" w:hAnsi="仿宋" w:eastAsia="仿宋" w:cs="仿宋"/>
          <w:sz w:val="28"/>
          <w:szCs w:val="28"/>
          <w:lang w:val="en-US" w:eastAsia="zh-CN"/>
        </w:rPr>
      </w:pPr>
    </w:p>
    <w:sectPr>
      <w:headerReference r:id="rId3" w:type="default"/>
      <w:footerReference r:id="rId4" w:type="default"/>
      <w:pgSz w:w="11906" w:h="16838"/>
      <w:pgMar w:top="1440" w:right="850" w:bottom="1440" w:left="850" w:header="851" w:footer="992" w:gutter="0"/>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left="360" w:hanging="360" w:hangingChars="200"/>
      <w:jc w:val="center"/>
      <w:rPr>
        <w:rFonts w:hint="eastAsia" w:ascii="宋体" w:hAnsi="宋体" w:eastAsia="宋体" w:cs="Arial"/>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r>
      <w:rPr>
        <w:rFonts w:ascii="宋体" w:hAnsi="宋体" w:eastAsia="宋体" w:cs="Arial"/>
        <w:szCs w:val="18"/>
      </w:rPr>
      <w:t xml:space="preserve">北廷测量技术（北京）有限公司          </w:t>
    </w:r>
    <w:r>
      <w:rPr>
        <w:rFonts w:hint="eastAsia" w:ascii="宋体" w:hAnsi="宋体" w:eastAsia="宋体" w:cs="Arial"/>
        <w:szCs w:val="18"/>
      </w:rPr>
      <w:t>地址：北京市海淀区西三环北路87号国际财经中心A座14层</w:t>
    </w:r>
  </w:p>
  <w:p>
    <w:pPr>
      <w:pStyle w:val="6"/>
      <w:jc w:val="center"/>
    </w:pPr>
    <w:r>
      <w:rPr>
        <w:rFonts w:ascii="宋体" w:hAnsi="宋体" w:eastAsia="宋体" w:cs="Arial"/>
        <w:szCs w:val="18"/>
      </w:rPr>
      <w:t>Tel: 010</w:t>
    </w:r>
    <w:r>
      <w:rPr>
        <w:rFonts w:hint="eastAsia" w:ascii="宋体" w:hAnsi="宋体" w:eastAsia="宋体" w:cs="Arial"/>
        <w:szCs w:val="18"/>
        <w:lang w:val="en-US" w:eastAsia="zh-CN"/>
      </w:rPr>
      <w:t>-63812460</w:t>
    </w:r>
    <w:r>
      <w:rPr>
        <w:rFonts w:hint="eastAsia" w:ascii="宋体" w:hAnsi="宋体" w:eastAsia="宋体" w:cs="Arial"/>
        <w:szCs w:val="18"/>
      </w:rPr>
      <w:t xml:space="preserve">  </w:t>
    </w:r>
    <w:r>
      <w:rPr>
        <w:rFonts w:hint="eastAsia" w:ascii="宋体" w:hAnsi="宋体" w:eastAsia="宋体" w:cs="Arial"/>
        <w:szCs w:val="18"/>
        <w:lang w:val="en-US" w:eastAsia="zh-CN"/>
      </w:rPr>
      <w:t xml:space="preserve">     </w:t>
    </w:r>
    <w:r>
      <w:rPr>
        <w:rFonts w:hint="eastAsia" w:ascii="宋体" w:hAnsi="宋体" w:eastAsia="宋体" w:cs="Arial"/>
        <w:szCs w:val="18"/>
      </w:rPr>
      <w:t xml:space="preserve">     </w:t>
    </w:r>
    <w:r>
      <w:rPr>
        <w:rFonts w:ascii="宋体" w:hAnsi="宋体" w:eastAsia="宋体" w:cs="Arial"/>
        <w:szCs w:val="18"/>
      </w:rPr>
      <w:t xml:space="preserve">mail: </w:t>
    </w:r>
    <w:r>
      <w:rPr>
        <w:rFonts w:ascii="宋体" w:hAnsi="宋体" w:eastAsia="宋体" w:cs="Arial"/>
        <w:szCs w:val="18"/>
      </w:rPr>
      <w:fldChar w:fldCharType="begin"/>
    </w:r>
    <w:r>
      <w:rPr>
        <w:rFonts w:ascii="宋体" w:hAnsi="宋体" w:eastAsia="宋体" w:cs="Arial"/>
        <w:szCs w:val="18"/>
      </w:rPr>
      <w:instrText xml:space="preserve"> HYPERLINK "mailto:info@btfluid.com" </w:instrText>
    </w:r>
    <w:r>
      <w:rPr>
        <w:rFonts w:ascii="宋体" w:hAnsi="宋体" w:eastAsia="宋体" w:cs="Arial"/>
        <w:szCs w:val="18"/>
      </w:rPr>
      <w:fldChar w:fldCharType="separate"/>
    </w:r>
    <w:r>
      <w:t>info@btfluid.com</w:t>
    </w:r>
    <w:r>
      <w:rPr>
        <w:rFonts w:ascii="宋体" w:hAnsi="宋体" w:eastAsia="宋体" w:cs="Arial"/>
        <w:szCs w:val="18"/>
      </w:rPr>
      <w:fldChar w:fldCharType="end"/>
    </w:r>
    <w:r>
      <w:rPr>
        <w:rFonts w:ascii="宋体" w:hAnsi="宋体" w:eastAsia="宋体" w:cs="Arial"/>
        <w:szCs w:val="18"/>
      </w:rPr>
      <w:t xml:space="preserve">      </w:t>
    </w:r>
    <w:r>
      <w:rPr>
        <w:rFonts w:hint="eastAsia" w:ascii="宋体" w:hAnsi="宋体" w:eastAsia="宋体" w:cs="Arial"/>
        <w:szCs w:val="18"/>
      </w:rPr>
      <w:t xml:space="preserve">         </w:t>
    </w:r>
    <w:r>
      <w:rPr>
        <w:rFonts w:hint="eastAsia" w:ascii="宋体" w:hAnsi="宋体" w:eastAsia="宋体" w:cs="Arial"/>
        <w:szCs w:val="18"/>
        <w:lang w:val="en-US" w:eastAsia="zh-CN"/>
      </w:rPr>
      <w:t xml:space="preserve">    </w:t>
    </w:r>
    <w:r>
      <w:rPr>
        <w:rFonts w:hint="eastAsia" w:ascii="宋体" w:hAnsi="宋体" w:eastAsia="宋体" w:cs="Arial"/>
        <w:szCs w:val="18"/>
      </w:rPr>
      <w:t xml:space="preserve">  </w:t>
    </w:r>
    <w:r>
      <w:rPr>
        <w:rFonts w:ascii="宋体" w:hAnsi="宋体" w:eastAsia="宋体" w:cs="Arial"/>
        <w:szCs w:val="18"/>
      </w:rPr>
      <w:t>www.btfluid.com</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keepNext w:val="0"/>
      <w:keepLines w:val="0"/>
      <w:pageBreakBefore w:val="0"/>
      <w:widowControl w:val="0"/>
      <w:pBdr>
        <w:bottom w:val="single" w:color="auto" w:sz="4" w:space="1"/>
      </w:pBdr>
      <w:tabs>
        <w:tab w:val="right" w:pos="10065"/>
        <w:tab w:val="clear" w:pos="8306"/>
      </w:tabs>
      <w:kinsoku/>
      <w:wordWrap/>
      <w:overflowPunct/>
      <w:topLinePunct w:val="0"/>
      <w:autoSpaceDE/>
      <w:autoSpaceDN/>
      <w:bidi w:val="0"/>
      <w:adjustRightInd/>
      <w:snapToGrid w:val="0"/>
      <w:ind w:right="0" w:rightChars="0"/>
      <w:jc w:val="right"/>
      <w:textAlignment w:val="auto"/>
    </w:pPr>
    <w:r>
      <w:rPr>
        <w:rFonts w:hint="eastAsia"/>
      </w:rPr>
      <w:drawing>
        <wp:anchor distT="0" distB="0" distL="114300" distR="114300" simplePos="0" relativeHeight="251661312" behindDoc="0" locked="0" layoutInCell="1" allowOverlap="1">
          <wp:simplePos x="0" y="0"/>
          <wp:positionH relativeFrom="column">
            <wp:posOffset>-21590</wp:posOffset>
          </wp:positionH>
          <wp:positionV relativeFrom="paragraph">
            <wp:posOffset>-426085</wp:posOffset>
          </wp:positionV>
          <wp:extent cx="782320" cy="568960"/>
          <wp:effectExtent l="0" t="0" r="17780" b="254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782320" cy="568960"/>
                  </a:xfrm>
                  <a:prstGeom prst="rect">
                    <a:avLst/>
                  </a:prstGeom>
                </pic:spPr>
              </pic:pic>
            </a:graphicData>
          </a:graphic>
        </wp:anchor>
      </w:drawing>
    </w:r>
    <w:r>
      <w:rPr>
        <w:rFonts w:hint="eastAsia"/>
      </w:rPr>
      <w:t>北廷测量技术（北京）有限公司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13012C"/>
    <w:multiLevelType w:val="singleLevel"/>
    <w:tmpl w:val="C113012C"/>
    <w:lvl w:ilvl="0" w:tentative="0">
      <w:start w:val="1"/>
      <w:numFmt w:val="decimal"/>
      <w:suff w:val="nothing"/>
      <w:lvlText w:val="%1、"/>
      <w:lvlJc w:val="left"/>
    </w:lvl>
  </w:abstractNum>
  <w:abstractNum w:abstractNumId="1">
    <w:nsid w:val="3485AF54"/>
    <w:multiLevelType w:val="singleLevel"/>
    <w:tmpl w:val="3485AF54"/>
    <w:lvl w:ilvl="0" w:tentative="0">
      <w:start w:val="1"/>
      <w:numFmt w:val="decimal"/>
      <w:suff w:val="nothing"/>
      <w:lvlText w:val="%1、"/>
      <w:lvlJc w:val="left"/>
    </w:lvl>
  </w:abstractNum>
  <w:abstractNum w:abstractNumId="2">
    <w:nsid w:val="448D50B9"/>
    <w:multiLevelType w:val="singleLevel"/>
    <w:tmpl w:val="448D50B9"/>
    <w:lvl w:ilvl="0" w:tentative="0">
      <w:start w:val="1"/>
      <w:numFmt w:val="bullet"/>
      <w:lvlText w:val=""/>
      <w:lvlJc w:val="left"/>
      <w:pPr>
        <w:ind w:left="420" w:hanging="42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3677"/>
    <w:rsid w:val="0000663F"/>
    <w:rsid w:val="000074F5"/>
    <w:rsid w:val="00022061"/>
    <w:rsid w:val="000427D1"/>
    <w:rsid w:val="0004284D"/>
    <w:rsid w:val="00042B3C"/>
    <w:rsid w:val="00042DAA"/>
    <w:rsid w:val="00043BA9"/>
    <w:rsid w:val="0006474D"/>
    <w:rsid w:val="00075244"/>
    <w:rsid w:val="000A0337"/>
    <w:rsid w:val="000C41A8"/>
    <w:rsid w:val="000C70B0"/>
    <w:rsid w:val="000D37AE"/>
    <w:rsid w:val="000D5AF2"/>
    <w:rsid w:val="001564AB"/>
    <w:rsid w:val="00162B1A"/>
    <w:rsid w:val="00175168"/>
    <w:rsid w:val="001845B2"/>
    <w:rsid w:val="001C6247"/>
    <w:rsid w:val="001D162B"/>
    <w:rsid w:val="0023027C"/>
    <w:rsid w:val="00236ECD"/>
    <w:rsid w:val="00241C29"/>
    <w:rsid w:val="00270A06"/>
    <w:rsid w:val="00286336"/>
    <w:rsid w:val="002867F5"/>
    <w:rsid w:val="002A4124"/>
    <w:rsid w:val="002B6D4A"/>
    <w:rsid w:val="00315795"/>
    <w:rsid w:val="00336C5B"/>
    <w:rsid w:val="003B530B"/>
    <w:rsid w:val="003D2422"/>
    <w:rsid w:val="004142FE"/>
    <w:rsid w:val="004200C0"/>
    <w:rsid w:val="00434EC0"/>
    <w:rsid w:val="0046102F"/>
    <w:rsid w:val="00481448"/>
    <w:rsid w:val="0049165D"/>
    <w:rsid w:val="004962AB"/>
    <w:rsid w:val="004A3FE6"/>
    <w:rsid w:val="004A7CBF"/>
    <w:rsid w:val="004D2AF3"/>
    <w:rsid w:val="004E63DE"/>
    <w:rsid w:val="004E7AC5"/>
    <w:rsid w:val="004F2579"/>
    <w:rsid w:val="0050255B"/>
    <w:rsid w:val="00504FF6"/>
    <w:rsid w:val="00530334"/>
    <w:rsid w:val="005451C7"/>
    <w:rsid w:val="00554680"/>
    <w:rsid w:val="00590EAC"/>
    <w:rsid w:val="005951C6"/>
    <w:rsid w:val="005A24E1"/>
    <w:rsid w:val="005B761B"/>
    <w:rsid w:val="0062285C"/>
    <w:rsid w:val="00623B26"/>
    <w:rsid w:val="00631199"/>
    <w:rsid w:val="00654D27"/>
    <w:rsid w:val="00663992"/>
    <w:rsid w:val="00675C60"/>
    <w:rsid w:val="006A5B6A"/>
    <w:rsid w:val="006A5F7A"/>
    <w:rsid w:val="006D739C"/>
    <w:rsid w:val="007022E0"/>
    <w:rsid w:val="0071724A"/>
    <w:rsid w:val="007437D8"/>
    <w:rsid w:val="0077550B"/>
    <w:rsid w:val="007915D4"/>
    <w:rsid w:val="007C0750"/>
    <w:rsid w:val="007F38EB"/>
    <w:rsid w:val="0080147E"/>
    <w:rsid w:val="00816E36"/>
    <w:rsid w:val="00826B8A"/>
    <w:rsid w:val="00847801"/>
    <w:rsid w:val="00852547"/>
    <w:rsid w:val="0086175C"/>
    <w:rsid w:val="00866044"/>
    <w:rsid w:val="008767CB"/>
    <w:rsid w:val="00880977"/>
    <w:rsid w:val="00881BD7"/>
    <w:rsid w:val="008832EA"/>
    <w:rsid w:val="008979F3"/>
    <w:rsid w:val="008B6E77"/>
    <w:rsid w:val="008C68B0"/>
    <w:rsid w:val="009152B8"/>
    <w:rsid w:val="00921946"/>
    <w:rsid w:val="00937619"/>
    <w:rsid w:val="00966DC2"/>
    <w:rsid w:val="009A48FE"/>
    <w:rsid w:val="009C10B9"/>
    <w:rsid w:val="009D59CB"/>
    <w:rsid w:val="00A05B62"/>
    <w:rsid w:val="00A2115F"/>
    <w:rsid w:val="00A23675"/>
    <w:rsid w:val="00A3098E"/>
    <w:rsid w:val="00A31BDB"/>
    <w:rsid w:val="00A618EB"/>
    <w:rsid w:val="00A738E1"/>
    <w:rsid w:val="00A77802"/>
    <w:rsid w:val="00A91F57"/>
    <w:rsid w:val="00A94766"/>
    <w:rsid w:val="00AB0C66"/>
    <w:rsid w:val="00B17803"/>
    <w:rsid w:val="00B370DD"/>
    <w:rsid w:val="00B7721C"/>
    <w:rsid w:val="00BA6A60"/>
    <w:rsid w:val="00BB64CF"/>
    <w:rsid w:val="00BC738F"/>
    <w:rsid w:val="00C02429"/>
    <w:rsid w:val="00C13490"/>
    <w:rsid w:val="00C16397"/>
    <w:rsid w:val="00C4742B"/>
    <w:rsid w:val="00C53181"/>
    <w:rsid w:val="00C867E9"/>
    <w:rsid w:val="00CB63DA"/>
    <w:rsid w:val="00CF12D4"/>
    <w:rsid w:val="00D03EE0"/>
    <w:rsid w:val="00D04053"/>
    <w:rsid w:val="00D272AF"/>
    <w:rsid w:val="00D3548B"/>
    <w:rsid w:val="00D54F37"/>
    <w:rsid w:val="00D92583"/>
    <w:rsid w:val="00D95C65"/>
    <w:rsid w:val="00DA6AEE"/>
    <w:rsid w:val="00DD418B"/>
    <w:rsid w:val="00DF3C87"/>
    <w:rsid w:val="00E13677"/>
    <w:rsid w:val="00E15DE3"/>
    <w:rsid w:val="00E212EE"/>
    <w:rsid w:val="00EB5D97"/>
    <w:rsid w:val="00EF460A"/>
    <w:rsid w:val="00F3673C"/>
    <w:rsid w:val="00F47EAE"/>
    <w:rsid w:val="00F55374"/>
    <w:rsid w:val="00F56770"/>
    <w:rsid w:val="00F8344A"/>
    <w:rsid w:val="00F91DC5"/>
    <w:rsid w:val="00F9677D"/>
    <w:rsid w:val="00FC2DAC"/>
    <w:rsid w:val="00FD73B1"/>
    <w:rsid w:val="00FE5C51"/>
    <w:rsid w:val="0490098D"/>
    <w:rsid w:val="0998780B"/>
    <w:rsid w:val="0A061473"/>
    <w:rsid w:val="0BBA002B"/>
    <w:rsid w:val="0F801F23"/>
    <w:rsid w:val="10453AD5"/>
    <w:rsid w:val="111C1200"/>
    <w:rsid w:val="1466092A"/>
    <w:rsid w:val="15291B2B"/>
    <w:rsid w:val="179650F4"/>
    <w:rsid w:val="26771401"/>
    <w:rsid w:val="2CFD00D7"/>
    <w:rsid w:val="2D7E2B92"/>
    <w:rsid w:val="302B1552"/>
    <w:rsid w:val="315D05B8"/>
    <w:rsid w:val="3BEF7140"/>
    <w:rsid w:val="3D974AF0"/>
    <w:rsid w:val="477742EE"/>
    <w:rsid w:val="480C3974"/>
    <w:rsid w:val="487F6A9B"/>
    <w:rsid w:val="48D5055B"/>
    <w:rsid w:val="4FB0793A"/>
    <w:rsid w:val="4FD27ED7"/>
    <w:rsid w:val="50AD73BA"/>
    <w:rsid w:val="52C92624"/>
    <w:rsid w:val="58D53F0B"/>
    <w:rsid w:val="5CA657F4"/>
    <w:rsid w:val="6493246C"/>
    <w:rsid w:val="6B3D42C1"/>
    <w:rsid w:val="72324806"/>
    <w:rsid w:val="73023BB0"/>
    <w:rsid w:val="75AE6F98"/>
    <w:rsid w:val="76CC0617"/>
    <w:rsid w:val="7AAA5424"/>
    <w:rsid w:val="7AC57F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FFFFF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3"/>
    <w:basedOn w:val="1"/>
    <w:next w:val="1"/>
    <w:semiHidden/>
    <w:unhideWhenUsed/>
    <w:qFormat/>
    <w:uiPriority w:val="9"/>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0">
    <w:name w:val="Default Paragraph Font"/>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semiHidden/>
    <w:unhideWhenUsed/>
    <w:qFormat/>
    <w:uiPriority w:val="35"/>
    <w:rPr>
      <w:rFonts w:ascii="Arial" w:hAnsi="Arial" w:eastAsia="黑体"/>
      <w:sz w:val="20"/>
    </w:rPr>
  </w:style>
  <w:style w:type="paragraph" w:styleId="5">
    <w:name w:val="Balloon Text"/>
    <w:basedOn w:val="1"/>
    <w:link w:val="13"/>
    <w:semiHidden/>
    <w:unhideWhenUsed/>
    <w:qFormat/>
    <w:uiPriority w:val="99"/>
    <w:rPr>
      <w:sz w:val="18"/>
      <w:szCs w:val="18"/>
    </w:rPr>
  </w:style>
  <w:style w:type="paragraph" w:styleId="6">
    <w:name w:val="footer"/>
    <w:basedOn w:val="1"/>
    <w:link w:val="15"/>
    <w:semiHidden/>
    <w:unhideWhenUsed/>
    <w:qFormat/>
    <w:uiPriority w:val="99"/>
    <w:pPr>
      <w:tabs>
        <w:tab w:val="center" w:pos="4153"/>
        <w:tab w:val="right" w:pos="8306"/>
      </w:tabs>
      <w:snapToGrid w:val="0"/>
      <w:jc w:val="left"/>
    </w:pPr>
    <w:rPr>
      <w:sz w:val="18"/>
      <w:szCs w:val="18"/>
    </w:rPr>
  </w:style>
  <w:style w:type="paragraph" w:styleId="7">
    <w:name w:val="header"/>
    <w:basedOn w:val="1"/>
    <w:link w:val="14"/>
    <w:semiHidden/>
    <w:unhideWhenUsed/>
    <w:qFormat/>
    <w:uiPriority w:val="99"/>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uiPriority w:val="0"/>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批注框文本 Char"/>
    <w:basedOn w:val="10"/>
    <w:link w:val="5"/>
    <w:semiHidden/>
    <w:qFormat/>
    <w:uiPriority w:val="99"/>
    <w:rPr>
      <w:sz w:val="18"/>
      <w:szCs w:val="18"/>
    </w:rPr>
  </w:style>
  <w:style w:type="character" w:customStyle="1" w:styleId="14">
    <w:name w:val="页眉 Char"/>
    <w:basedOn w:val="10"/>
    <w:link w:val="7"/>
    <w:semiHidden/>
    <w:qFormat/>
    <w:uiPriority w:val="99"/>
    <w:rPr>
      <w:sz w:val="18"/>
      <w:szCs w:val="18"/>
    </w:rPr>
  </w:style>
  <w:style w:type="character" w:customStyle="1" w:styleId="15">
    <w:name w:val="页脚 Char"/>
    <w:basedOn w:val="10"/>
    <w:link w:val="6"/>
    <w:semiHidden/>
    <w:qFormat/>
    <w:uiPriority w:val="99"/>
    <w:rPr>
      <w:sz w:val="18"/>
      <w:szCs w:val="18"/>
    </w:rPr>
  </w:style>
  <w:style w:type="paragraph" w:styleId="16">
    <w:name w:val="List Paragraph"/>
    <w:basedOn w:val="1"/>
    <w:qFormat/>
    <w:uiPriority w:val="34"/>
    <w:pPr>
      <w:ind w:firstLine="420" w:firstLineChars="200"/>
    </w:pPr>
  </w:style>
  <w:style w:type="paragraph" w:customStyle="1" w:styleId="17">
    <w:name w:val="正文小字"/>
    <w:basedOn w:val="1"/>
    <w:qFormat/>
    <w:uiPriority w:val="0"/>
    <w:pPr>
      <w:spacing w:line="240" w:lineRule="auto"/>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workgroup</Company>
  <Pages>2</Pages>
  <Words>546</Words>
  <Characters>635</Characters>
  <Lines>29</Lines>
  <Paragraphs>8</Paragraphs>
  <TotalTime>10</TotalTime>
  <ScaleCrop>false</ScaleCrop>
  <LinksUpToDate>false</LinksUpToDate>
  <CharactersWithSpaces>657</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2018-10-17T06:26:00Z</dcterms:created>
  <dc:creator>Users</dc:creator>
  <cp:lastModifiedBy>Wei^</cp:lastModifiedBy>
  <cp:lastPrinted>2020-02-17T02:47:00Z</cp:lastPrinted>
  <dcterms:modified xsi:type="dcterms:W3CDTF">2021-08-02T06:07:59Z</dcterms:modified>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ICV">
    <vt:lpwstr>D7A57FE96A7D4D72B734CCD99324C780</vt:lpwstr>
  </property>
</Properties>
</file>