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0" w:firstLineChars="0"/>
        <w:jc w:val="left"/>
        <w:rPr>
          <w:rFonts w:ascii="黑体" w:hAnsi="黑体" w:eastAsia="黑体" w:cs="黑体"/>
          <w:color w:val="auto"/>
          <w:szCs w:val="22"/>
        </w:rPr>
      </w:pPr>
      <w:r>
        <w:rPr>
          <w:rFonts w:hint="eastAsia" w:ascii="黑体" w:hAnsi="黑体" w:eastAsia="黑体" w:cs="黑体"/>
          <w:color w:val="auto"/>
          <w:szCs w:val="22"/>
        </w:rPr>
        <w:t>附件</w:t>
      </w:r>
    </w:p>
    <w:p>
      <w:pPr>
        <w:adjustRightInd w:val="0"/>
        <w:spacing w:line="600" w:lineRule="exact"/>
        <w:ind w:firstLine="0" w:firstLineChars="0"/>
        <w:jc w:val="center"/>
        <w:rPr>
          <w:rFonts w:ascii="方正小标宋简体" w:hAnsi="黑体" w:eastAsia="方正小标宋简体" w:cs="黑体"/>
          <w:color w:val="auto"/>
          <w:sz w:val="44"/>
          <w:szCs w:val="22"/>
        </w:rPr>
      </w:pPr>
    </w:p>
    <w:p>
      <w:pPr>
        <w:adjustRightInd w:val="0"/>
        <w:spacing w:line="600" w:lineRule="exact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44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22"/>
        </w:rPr>
        <w:t>国有重点企业管理标杆创建行动</w:t>
      </w:r>
    </w:p>
    <w:p>
      <w:pPr>
        <w:adjustRightInd w:val="0"/>
        <w:spacing w:line="600" w:lineRule="exact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44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22"/>
        </w:rPr>
        <w:t>标杆企业、标杆项目、标杆模式名单</w:t>
      </w:r>
    </w:p>
    <w:p>
      <w:pPr>
        <w:adjustRightInd w:val="0"/>
        <w:spacing w:line="600" w:lineRule="exact"/>
        <w:ind w:firstLine="0" w:firstLineChars="0"/>
        <w:jc w:val="center"/>
        <w:rPr>
          <w:rFonts w:ascii="方正小标宋简体" w:hAnsi="黑体" w:eastAsia="方正小标宋简体" w:cs="黑体"/>
          <w:color w:val="auto"/>
          <w:sz w:val="44"/>
          <w:szCs w:val="22"/>
        </w:rPr>
      </w:pPr>
    </w:p>
    <w:p>
      <w:pPr>
        <w:spacing w:line="600" w:lineRule="exact"/>
        <w:ind w:firstLine="0" w:firstLineChars="0"/>
        <w:outlineLvl w:val="1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一</w:t>
      </w:r>
      <w:r>
        <w:rPr>
          <w:rFonts w:ascii="黑体" w:hAnsi="黑体" w:eastAsia="黑体"/>
          <w:color w:val="auto"/>
        </w:rPr>
        <w:t>、标杆企业</w:t>
      </w:r>
    </w:p>
    <w:p>
      <w:pPr>
        <w:spacing w:line="600" w:lineRule="exact"/>
        <w:rPr>
          <w:rFonts w:ascii="楷体_GB2312" w:eastAsia="楷体_GB2312"/>
          <w:b/>
          <w:bCs/>
          <w:color w:val="auto"/>
        </w:rPr>
      </w:pPr>
      <w:r>
        <w:rPr>
          <w:rFonts w:hint="eastAsia" w:ascii="楷体_GB2312" w:eastAsia="楷体_GB2312"/>
          <w:b/>
          <w:bCs/>
          <w:color w:val="auto"/>
        </w:rPr>
        <w:t>中国核工业集团有限公司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1.中国核能电力股份有限公司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中国原子能工业有限公司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中国航天科技集团有限公司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3.中国运载火箭技术研究院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中国空间技术研究院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5.中国四维测绘技术有限公司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中国航天科工集团有限公司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6.航天科工</w:t>
      </w:r>
      <w:r>
        <w:rPr>
          <w:rFonts w:hint="eastAsia" w:ascii="仿宋_GB2312" w:hAnsi="仿宋" w:cs="宋体"/>
          <w:color w:val="auto"/>
          <w:kern w:val="0"/>
          <w:szCs w:val="28"/>
        </w:rPr>
        <w:t>第二研究院二十三所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航天科工第三总体设计部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西安航天自动化股份有限公司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成都飞机工业（集团）有限责任公司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0.航空工业</w:t>
      </w:r>
      <w:r>
        <w:rPr>
          <w:rFonts w:hint="eastAsia" w:ascii="仿宋_GB2312" w:hAnsi="仿宋" w:cs="宋体"/>
          <w:color w:val="auto"/>
          <w:kern w:val="0"/>
          <w:szCs w:val="28"/>
        </w:rPr>
        <w:t>西安飞行自动控制研究所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中国船舶集团有限公司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江南造船（集团）有限责任公司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风帆有限责任公司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中国兵器工业集团有限公司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内蒙古第一机械集团有限公司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中国兵器装备集团有限公司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成都光明光电股份有限公司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重庆长安汽车股份有限公司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中国电子科技集团有限公司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b/>
          <w:bCs/>
          <w:color w:val="auto"/>
          <w:kern w:val="0"/>
          <w:szCs w:val="28"/>
        </w:rPr>
        <w:t>中电海康集团有限公司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中电太极（集团）有限公司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中国航空发动机集团有限公司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中国航发沈阳发动机研究所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中国航发哈尔滨东安发动机有限公司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中国融通资产管理集团有限公司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20.中国融通农发集团有限公司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中国石油天然气集团有限公司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中国石油长庆油田分公司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中国石油独山子石化分公司</w:t>
      </w:r>
    </w:p>
    <w:p>
      <w:pPr>
        <w:widowControl/>
        <w:ind w:firstLine="1280" w:firstLineChars="400"/>
        <w:jc w:val="lef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  <w:lang w:bidi="ar"/>
        </w:rPr>
        <w:t>中国石油东方地球物理勘探有限责任公司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中国石油化工集团有限公司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24</w:t>
      </w:r>
      <w:r>
        <w:rPr>
          <w:rFonts w:ascii="仿宋_GB2312" w:hAnsi="仿宋" w:cs="宋体"/>
          <w:color w:val="auto"/>
          <w:kern w:val="0"/>
          <w:szCs w:val="28"/>
        </w:rPr>
        <w:t>.中国石化</w:t>
      </w:r>
      <w:r>
        <w:rPr>
          <w:rFonts w:hint="eastAsia" w:ascii="仿宋_GB2312" w:hAnsi="仿宋" w:cs="宋体"/>
          <w:color w:val="auto"/>
          <w:kern w:val="0"/>
          <w:szCs w:val="28"/>
        </w:rPr>
        <w:t>镇海炼化分公司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25</w:t>
      </w:r>
      <w:r>
        <w:rPr>
          <w:rFonts w:ascii="仿宋_GB2312" w:hAnsi="仿宋" w:cs="宋体"/>
          <w:color w:val="auto"/>
          <w:kern w:val="0"/>
          <w:szCs w:val="28"/>
        </w:rPr>
        <w:t>.中国石化</w:t>
      </w:r>
      <w:r>
        <w:rPr>
          <w:rFonts w:hint="eastAsia" w:ascii="仿宋_GB2312" w:hAnsi="仿宋" w:cs="宋体"/>
          <w:color w:val="auto"/>
          <w:kern w:val="0"/>
          <w:szCs w:val="28"/>
        </w:rPr>
        <w:t>西北油田分公司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26</w:t>
      </w:r>
      <w:r>
        <w:rPr>
          <w:rFonts w:ascii="仿宋_GB2312" w:hAnsi="仿宋" w:cs="宋体"/>
          <w:color w:val="auto"/>
          <w:kern w:val="0"/>
          <w:szCs w:val="28"/>
        </w:rPr>
        <w:t>.中国石化</w:t>
      </w:r>
      <w:r>
        <w:rPr>
          <w:rFonts w:hint="eastAsia" w:ascii="仿宋_GB2312" w:hAnsi="仿宋" w:cs="宋体"/>
          <w:color w:val="auto"/>
          <w:kern w:val="0"/>
          <w:szCs w:val="28"/>
        </w:rPr>
        <w:t>浙江石油分公司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中国海洋石油集团有限公司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中海油田服务股份有限公司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28.中海石油气电集团有限责任公司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国家石油天然气管网集团有限公司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29</w:t>
      </w:r>
      <w:r>
        <w:rPr>
          <w:rFonts w:ascii="仿宋_GB2312" w:hAnsi="仿宋" w:cs="宋体"/>
          <w:color w:val="auto"/>
          <w:kern w:val="0"/>
          <w:szCs w:val="28"/>
        </w:rPr>
        <w:t>.国家管网</w:t>
      </w:r>
      <w:r>
        <w:rPr>
          <w:rFonts w:hint="eastAsia" w:ascii="仿宋_GB2312" w:hAnsi="仿宋" w:cs="宋体"/>
          <w:color w:val="auto"/>
          <w:kern w:val="0"/>
          <w:szCs w:val="28"/>
        </w:rPr>
        <w:t>西部管道有限责任公司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国家电网有限公司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国家电网江苏省电力有限公司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国家电网天津市电力公司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中国南方电网有限责任公司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深圳供电局有限公司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33</w:t>
      </w:r>
      <w:r>
        <w:rPr>
          <w:rFonts w:ascii="仿宋_GB2312" w:hAnsi="仿宋" w:cs="宋体"/>
          <w:color w:val="auto"/>
          <w:kern w:val="0"/>
          <w:szCs w:val="28"/>
        </w:rPr>
        <w:t>.南方电网</w:t>
      </w:r>
      <w:r>
        <w:rPr>
          <w:rFonts w:hint="eastAsia" w:ascii="仿宋_GB2312" w:hAnsi="仿宋" w:cs="宋体"/>
          <w:color w:val="auto"/>
          <w:kern w:val="0"/>
          <w:szCs w:val="28"/>
        </w:rPr>
        <w:t>超高压输电公司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广东电网有限责任公司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中国华能集团有限公司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中国华能江苏能源开发有限公司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中国大唐集团有限公司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内蒙古赤峰塞罕坝公司</w:t>
      </w:r>
    </w:p>
    <w:p>
      <w:pPr>
        <w:widowControl/>
        <w:ind w:firstLine="1280" w:firstLineChars="400"/>
        <w:jc w:val="lef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  <w:lang w:bidi="ar"/>
        </w:rPr>
        <w:t>大唐国际发电股份有限公司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中国华电集团有限公司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贵州乌江水电开发有限责任公司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国家电力投资集团有限公司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黄河上游水电开发有限责任公司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国家电投江苏电力有限公司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中国长江三峡集团有限公司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中国长江电力股份有限公司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中国三峡新能源（集团）股份有限公司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国家能源投资集团有限责任公司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国能神东煤炭集团有限责任公司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国能准能集团有限责任公司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龙源电力集团股份有限公司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中国电信集团有限公司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中国电信安徽分公司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中国电信成都分公司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中国联合网络通信集团有限公司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中国联通北京市分公司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中讯邮电咨询设计院有限公司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中国移动通信集团有限公司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中国移动广东有限公司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中国移动设计院有限公司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中国电子信息产业集团有限公司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中国系统技术有限公司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麒麟软件有限公司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东风汽车集团有限公司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东风日产乘用车公司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中国一重集团有限公司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中国第一重型机械股份公司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中国机械工业集团有限公司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苏美达股份有限公司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中国联合工程有限公司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哈尔滨电气集团有限公司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哈尔滨锅炉厂有限责任公司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鞍钢集团有限公司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鞍钢集团朝阳钢铁有限公司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西昌钒制品分公司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中国宝武钢铁集团有限公司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宝山钢铁股份有限公司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马钢（集团）控股有限公司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中国铝业集团有限公司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中国铝业股份有限公司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中国远洋海运集团有限公司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中远海运集装箱运输有限公司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中远海运能源运输股份有限公司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中国国际航空股份有限公司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中国国际货运航空有限公司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中国东方航空集团有限公司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中国联合航空有限公司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中国南方航空集团有限公司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珠海保税区摩天宇航空发动机维修有限公司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中国中化控股有限责任公司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江苏优嘉植物保护有限公司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南通星辰合成材料有限公司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中粮集团有限公司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中粮东海粮油工业（张家港）有限公司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中粮麦芽（江阴）有限公司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中国五矿集团有限公司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深圳市金洲精工科技股份有限公司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五矿资源邦巴斯矿业公司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中国通用技术（集团）控股有限责任公司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航天中心医院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中建八局第一建设有限公司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中建科工集团有限公司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中国建筑第三工程局有限公司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中国储备粮管理集团有限公司</w:t>
      </w:r>
    </w:p>
    <w:p>
      <w:pPr>
        <w:spacing w:line="600" w:lineRule="exact"/>
        <w:ind w:firstLine="1273" w:firstLineChars="398"/>
        <w:rPr>
          <w:rFonts w:ascii="楷体_GB2312" w:eastAsia="楷体_GB2312"/>
          <w:color w:val="auto"/>
        </w:rPr>
      </w:pPr>
      <w:r>
        <w:rPr>
          <w:rFonts w:ascii="仿宋_GB2312" w:hAnsi="仿宋" w:cs="宋体"/>
          <w:color w:val="auto"/>
          <w:kern w:val="0"/>
          <w:szCs w:val="28"/>
        </w:rPr>
        <w:t>8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中国储备粮管理集团有限公司江苏分公司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国家开发投资集团有限公司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雅砻江流域水电开发有限公司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国投新疆罗布泊钾盐有限责任公司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国投资本股份有限公司</w:t>
      </w:r>
    </w:p>
    <w:p>
      <w:pPr>
        <w:spacing w:line="600" w:lineRule="exact"/>
        <w:rPr>
          <w:rFonts w:ascii="楷体_GB2312" w:eastAsia="楷体_GB2312"/>
          <w:b/>
          <w:bCs/>
          <w:color w:val="auto"/>
        </w:rPr>
      </w:pPr>
      <w:r>
        <w:rPr>
          <w:rFonts w:hint="eastAsia" w:ascii="楷体_GB2312" w:eastAsia="楷体_GB2312"/>
          <w:b/>
          <w:bCs/>
          <w:color w:val="auto"/>
        </w:rPr>
        <w:t>招商局集团有限公司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招商局能源运输股份有限公司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斯里兰卡科伦坡国际集装箱码头有限公司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华润（集团）有限公司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华润电力控股有限公司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华润燃气（集团）有限公司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华润三九医药股份有限公司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中国商用飞机有限责任公司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中国商飞上海飞机设计研究院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中国节能环保集团有限公司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中节能万润股份有限公司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中国国际工程咨询有限公司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中咨海外咨询有限公司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中国诚通控股集团有限公司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广东冠豪高新技术股份有限公司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中国中煤能源集团有限公司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中煤平朔集团有限公司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中国煤炭科工集团有限公司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北京天地玛珂电液控制系统有限公司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中国中钢集团有限公司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中钢洛耐科技股份有限公司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中国化学工程集团有限公司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中国天辰工程有限公司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中国盐业集团有限公司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中盐内蒙古化工股份有限公司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中国建材集团有限公司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北新集团建材股份有限公司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巨石集团有限公司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中国有色矿业集团有限公司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谦比希铜冶炼有限公司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矿冶科技集团有限公司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北京当升材料科技股份有限公司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中国国际技术智力合作集团有限公司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中智关爱通（上海）科技股份有限公司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中国建筑科学研究院有限公司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建科环能科技有限公司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中车长春轨道客车股份有限公司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中车青岛四方机车车辆股份有限公司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0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中车齐车集团齐齐哈尔车辆有限公司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中国铁路通信信号集团有限公司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07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卡斯柯信号有限公司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108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通号（北京）轨道工业集团有限公司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中国铁路工程集团有限公司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109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中铁四局集团有限公司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中铁上海工程局集团有限公司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中铁大桥局集团有限公司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中国铁道建筑集团有限公司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中铁十一局集团有限公司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中国铁建电气化局集团有限公司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中铁第四勘察设计院集团有限公司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中国交通建设集团有限公司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中交投资有限公司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116.中交第一航务工程局有限公司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117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</w:t>
      </w:r>
      <w:r>
        <w:rPr>
          <w:rFonts w:hint="eastAsia" w:ascii="仿宋_GB2312" w:hAnsi="仿宋" w:cs="宋体"/>
          <w:color w:val="auto"/>
          <w:kern w:val="0"/>
          <w:szCs w:val="28"/>
        </w:rPr>
        <w:t>交第四公路工程局有限公司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中国农业发展集团有限公司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118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山东胜利生物工程有限公司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中国林业集团有限公司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119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上海胜握胜林业有限公司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中国医药集团有限公司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0.中国生物技术股份有限公司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中国国际医药卫生有限公司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中国保利集团有限公司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保利发展控股集团股份有限公司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123.保利国际控股有限公司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中国煤炭地质总局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中煤航测遥感集团有限公司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新兴际华集团有限公司</w:t>
      </w:r>
    </w:p>
    <w:p>
      <w:pPr>
        <w:spacing w:line="600" w:lineRule="exact"/>
        <w:ind w:firstLine="1273" w:firstLineChars="398"/>
        <w:rPr>
          <w:rFonts w:ascii="楷体_GB2312"/>
          <w:color w:val="auto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南京际华三五二一特种装备有限公司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中国航空油料集团有限公司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中国航油华东公司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中国航空器材集团有限公司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</w:t>
      </w: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中国民航技术装备有限责任公司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中国电力建设集团有限公司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128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中国水利水电第十一工程局有限公司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129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中国电建集团海外投资有限公司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中国能源建设集团有限公司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中国葛洲坝集团股份有限公司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中国能建规划设计有限公司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中国安能建设集团有限公司</w:t>
      </w:r>
    </w:p>
    <w:p>
      <w:pPr>
        <w:spacing w:line="600" w:lineRule="exact"/>
        <w:ind w:firstLine="1273" w:firstLineChars="398"/>
        <w:rPr>
          <w:rFonts w:ascii="仿宋_GB2312" w:hAnsi="仿宋_GB2312" w:cs="宋体"/>
          <w:color w:val="auto"/>
          <w:w w:val="95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132.</w:t>
      </w:r>
      <w:r>
        <w:rPr>
          <w:rFonts w:hint="eastAsia" w:ascii="仿宋_GB2312" w:hAnsi="仿宋_GB2312" w:cs="宋体"/>
          <w:color w:val="auto"/>
          <w:w w:val="95"/>
          <w:kern w:val="0"/>
          <w:szCs w:val="28"/>
        </w:rPr>
        <w:t>中国安能集团第二工程局有限公司南昌分公司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中国黄金集团有限公司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中国黄金集团黄金珠宝股份有限公司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中国广核集团有限公司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中广核核电运营有限公司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大亚湾核电运营管理有限责任公司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中国华录集团有限公司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北京易华录信息技术股份有限公司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华侨城集团有限公司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华侨城华南投资有限公司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中国西电集团有限公司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西安高压电器研究院有限责任公司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中国铁路物资集团有限公司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139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中铁油料集团有限公司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中国国新控股有限责任公司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中国国新基金管理有限公司</w:t>
      </w:r>
    </w:p>
    <w:p>
      <w:pPr>
        <w:spacing w:line="600" w:lineRule="exact"/>
        <w:rPr>
          <w:rFonts w:ascii="仿宋_GB2312" w:hAnsi="仿宋" w:cs="宋体"/>
          <w:b/>
          <w:bCs/>
          <w:color w:val="auto"/>
          <w:kern w:val="0"/>
          <w:szCs w:val="28"/>
        </w:rPr>
      </w:pPr>
      <w:r>
        <w:rPr>
          <w:rFonts w:hint="eastAsia" w:ascii="楷体_GB2312" w:eastAsia="楷体_GB2312"/>
          <w:b/>
          <w:bCs/>
          <w:color w:val="auto"/>
        </w:rPr>
        <w:t>中国检验认证（集团）有限公司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中国检验认证集团辽宁有限公司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中国绿发投资集团有限公司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142.江苏广恒新能源有限公司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中国铁塔股份有限公司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中国铁塔安徽省分公司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北京市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144.首钢集团有限公司矿业公司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14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北京京西燃气热电公司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京东方科技集团股份有限公司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天津市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147.天津创业环保集团股份有限公司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河北省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唐山三友集团有限公司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山西省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晋能控股装备制造集团有限公司寺河煤矿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辽宁省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150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沈阳鼓风机集团股份有限公司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吉林省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吉林碳谷碳纤维股份有限公司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黑龙江省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龙建路桥股份有限公司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上海市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上海电气风电集团股份有限公司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上海赛可出行科技服务有限公司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海通证券股份有限公司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江苏省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江苏交通控股有限公司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徐州矿务集团有限公司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苏州轴承厂股份有限公司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浙江省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宁波舟山港集团有限公司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160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杭州制氧机集团股份有限公司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浙江沪杭甬高速公路股份有限公司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安徽省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安徽叉车集团有限责任公司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安徽海螺水泥股份有限公司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福建省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福建省三钢（集团）有限责任公司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江西省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江西铜业集团有限公司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江铃汽车集团有限公司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山东省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山东能源集团有限公司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山东华鲁恒升化工股份有限公司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河南省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麦斯克电子材料股份有限公司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170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洛阳LYC轴承有限公司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湖北省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湖北交投物流集团有限公司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中南建筑设计院股份有限公司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湖北安琪生物集团有限公司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湖南省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湖南新五丰股份有限公司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广东省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广州白云国际机场股份有限公司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广东兴发铝业有限公司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广州汽车集团股份有限公司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广西自治区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广西柳工机械股份有限公司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广西玉柴机器股份有限公司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海南省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180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海南海汽运输集团股份有限公司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重庆市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</w:t>
      </w: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庆铃汽车（集团）有限公司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四川省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182.</w:t>
      </w:r>
      <w:r>
        <w:rPr>
          <w:rFonts w:hint="eastAsia" w:ascii="仿宋_GB2312" w:hAnsi="仿宋" w:cs="宋体"/>
          <w:color w:val="auto"/>
          <w:kern w:val="0"/>
          <w:szCs w:val="28"/>
        </w:rPr>
        <w:t>四川发展环境投资集团有限公司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贵州省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83.</w:t>
      </w:r>
      <w:r>
        <w:rPr>
          <w:rFonts w:hint="eastAsia" w:ascii="仿宋_GB2312" w:hAnsi="仿宋" w:cs="宋体"/>
          <w:color w:val="auto"/>
          <w:kern w:val="0"/>
          <w:szCs w:val="28"/>
        </w:rPr>
        <w:t>中国贵州茅台酒厂（集团）有限责任公司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云南省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84.</w:t>
      </w:r>
      <w:r>
        <w:rPr>
          <w:rFonts w:hint="eastAsia" w:ascii="仿宋_GB2312" w:hAnsi="仿宋" w:cs="宋体"/>
          <w:color w:val="auto"/>
          <w:kern w:val="0"/>
          <w:szCs w:val="28"/>
        </w:rPr>
        <w:t>云南华联锌铟股份有限公司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85.</w:t>
      </w:r>
      <w:r>
        <w:rPr>
          <w:rFonts w:hint="eastAsia" w:ascii="仿宋_GB2312" w:hAnsi="仿宋" w:cs="宋体"/>
          <w:color w:val="auto"/>
          <w:kern w:val="0"/>
          <w:szCs w:val="28"/>
        </w:rPr>
        <w:t>云南云天化股份有限公司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西藏自治区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86.</w:t>
      </w:r>
      <w:r>
        <w:rPr>
          <w:rFonts w:hint="eastAsia" w:ascii="仿宋_GB2312" w:hAnsi="仿宋" w:cs="宋体"/>
          <w:color w:val="auto"/>
          <w:kern w:val="0"/>
          <w:szCs w:val="28"/>
        </w:rPr>
        <w:t>西藏建工建材集团有限公司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陕西</w:t>
      </w:r>
      <w:r>
        <w:rPr>
          <w:rFonts w:ascii="楷体_GB2312" w:eastAsia="楷体_GB2312"/>
          <w:color w:val="auto"/>
        </w:rPr>
        <w:t>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87.</w:t>
      </w:r>
      <w:r>
        <w:rPr>
          <w:rFonts w:hint="eastAsia" w:ascii="仿宋_GB2312" w:hAnsi="仿宋" w:cs="宋体"/>
          <w:color w:val="auto"/>
          <w:kern w:val="0"/>
          <w:szCs w:val="28"/>
        </w:rPr>
        <w:t>陕西煤业股份有限公司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88.</w:t>
      </w:r>
      <w:r>
        <w:rPr>
          <w:rFonts w:hint="eastAsia" w:ascii="仿宋_GB2312" w:hAnsi="仿宋" w:cs="宋体"/>
          <w:color w:val="auto"/>
          <w:kern w:val="0"/>
          <w:szCs w:val="28"/>
        </w:rPr>
        <w:t>西部机场集团有限公司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甘肃省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89.</w:t>
      </w:r>
      <w:r>
        <w:rPr>
          <w:rFonts w:hint="eastAsia" w:ascii="仿宋_GB2312" w:hAnsi="仿宋" w:cs="宋体"/>
          <w:color w:val="auto"/>
          <w:kern w:val="0"/>
          <w:szCs w:val="28"/>
        </w:rPr>
        <w:t>金川集团股份有限公司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青海省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90.</w:t>
      </w:r>
      <w:r>
        <w:rPr>
          <w:rFonts w:hint="eastAsia" w:ascii="仿宋_GB2312" w:hAnsi="仿宋" w:cs="宋体"/>
          <w:color w:val="auto"/>
          <w:kern w:val="0"/>
          <w:szCs w:val="28"/>
        </w:rPr>
        <w:t>西部矿业股份有限公司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宁夏自治区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91.</w:t>
      </w:r>
      <w:r>
        <w:rPr>
          <w:rFonts w:hint="eastAsia" w:ascii="仿宋_GB2312" w:hAnsi="仿宋" w:cs="宋体"/>
          <w:color w:val="auto"/>
          <w:kern w:val="0"/>
          <w:szCs w:val="28"/>
        </w:rPr>
        <w:t>宁夏农垦贺兰山奶业有限公司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新疆自治区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92.</w:t>
      </w:r>
      <w:r>
        <w:rPr>
          <w:rFonts w:hint="eastAsia" w:ascii="仿宋_GB2312" w:hAnsi="仿宋" w:cs="宋体"/>
          <w:color w:val="auto"/>
          <w:kern w:val="0"/>
          <w:szCs w:val="28"/>
        </w:rPr>
        <w:t>乌鲁木齐城市建设投资（集团）有限公司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新疆建设兵团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93.</w:t>
      </w:r>
      <w:r>
        <w:rPr>
          <w:rFonts w:hint="eastAsia" w:ascii="仿宋_GB2312" w:hAnsi="仿宋" w:cs="宋体"/>
          <w:color w:val="auto"/>
          <w:kern w:val="0"/>
          <w:szCs w:val="28"/>
        </w:rPr>
        <w:t>新疆生产建设兵团天然气有限公司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大连市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94.</w:t>
      </w:r>
      <w:r>
        <w:rPr>
          <w:rFonts w:hint="eastAsia" w:ascii="仿宋_GB2312" w:hAnsi="仿宋" w:cs="宋体"/>
          <w:color w:val="auto"/>
          <w:kern w:val="0"/>
          <w:szCs w:val="28"/>
        </w:rPr>
        <w:t>大连华锐重工集团股份有限公司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95.</w:t>
      </w:r>
      <w:r>
        <w:rPr>
          <w:rFonts w:hint="eastAsia" w:ascii="仿宋_GB2312" w:hAnsi="仿宋" w:cs="宋体"/>
          <w:color w:val="auto"/>
          <w:kern w:val="0"/>
          <w:szCs w:val="28"/>
        </w:rPr>
        <w:t>瓦房店轴承集团有限责任公司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宁波市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96.</w:t>
      </w:r>
      <w:r>
        <w:rPr>
          <w:rFonts w:hint="eastAsia" w:ascii="仿宋_GB2312" w:hAnsi="仿宋" w:cs="宋体"/>
          <w:color w:val="auto"/>
          <w:kern w:val="0"/>
          <w:szCs w:val="28"/>
        </w:rPr>
        <w:t>宁波开发投资集团有限公司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厦门市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97.</w:t>
      </w:r>
      <w:r>
        <w:rPr>
          <w:rFonts w:hint="eastAsia" w:ascii="仿宋_GB2312" w:hAnsi="仿宋" w:cs="宋体"/>
          <w:color w:val="auto"/>
          <w:kern w:val="0"/>
          <w:szCs w:val="28"/>
        </w:rPr>
        <w:t>厦门建发集团有限公司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青岛市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98.</w:t>
      </w:r>
      <w:r>
        <w:rPr>
          <w:rFonts w:hint="eastAsia" w:ascii="仿宋_GB2312" w:hAnsi="仿宋" w:cs="宋体"/>
          <w:color w:val="auto"/>
          <w:kern w:val="0"/>
          <w:szCs w:val="28"/>
        </w:rPr>
        <w:t>双星集团有限责任公司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深圳市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99.</w:t>
      </w:r>
      <w:r>
        <w:rPr>
          <w:rFonts w:hint="eastAsia" w:ascii="仿宋_GB2312" w:hAnsi="仿宋" w:cs="宋体"/>
          <w:color w:val="auto"/>
          <w:kern w:val="0"/>
          <w:szCs w:val="28"/>
        </w:rPr>
        <w:t>深圳市投资控股有限公司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00.</w:t>
      </w:r>
      <w:r>
        <w:rPr>
          <w:rFonts w:hint="eastAsia" w:ascii="仿宋_GB2312" w:hAnsi="仿宋" w:cs="宋体"/>
          <w:color w:val="auto"/>
          <w:kern w:val="0"/>
          <w:szCs w:val="28"/>
        </w:rPr>
        <w:t>深圳市创新投资集团有限公司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br w:type="page"/>
      </w:r>
    </w:p>
    <w:p>
      <w:pPr>
        <w:spacing w:line="600" w:lineRule="exact"/>
        <w:ind w:firstLine="0" w:firstLineChars="0"/>
        <w:outlineLvl w:val="1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二</w:t>
      </w:r>
      <w:r>
        <w:rPr>
          <w:rFonts w:ascii="黑体" w:hAnsi="黑体" w:eastAsia="黑体"/>
          <w:color w:val="auto"/>
        </w:rPr>
        <w:t>、标杆</w:t>
      </w:r>
      <w:r>
        <w:rPr>
          <w:rFonts w:hint="eastAsia" w:ascii="黑体" w:hAnsi="黑体" w:eastAsia="黑体"/>
          <w:color w:val="auto"/>
        </w:rPr>
        <w:t>项目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中国核工业集团有限公司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1.“三高三强”战略规划体系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新时代先进核科技创新体系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中国航天科技集团有限公司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3.航天产品精益运营管理</w:t>
      </w:r>
    </w:p>
    <w:p>
      <w:pPr>
        <w:spacing w:line="600" w:lineRule="exact"/>
        <w:rPr>
          <w:rFonts w:ascii="楷体_GB2312" w:eastAsia="楷体_GB2312"/>
          <w:color w:val="auto"/>
        </w:rPr>
      </w:pPr>
      <w:bookmarkStart w:id="0" w:name="_GoBack"/>
      <w:bookmarkEnd w:id="0"/>
      <w:r>
        <w:rPr>
          <w:rFonts w:hint="eastAsia" w:ascii="楷体_GB2312" w:eastAsia="楷体_GB2312"/>
          <w:color w:val="auto"/>
        </w:rPr>
        <w:t>中国航天科工集团有限公司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科技型企业内部创业与量化激励机制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适应航空工业发展趋势的战略规划体系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基于航空工业特点的薪酬管理体系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中国兵器工业集团有限公司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支撑国防和军队“三步走”战略的装备研发体系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8.</w:t>
      </w:r>
      <w:r>
        <w:rPr>
          <w:rFonts w:hint="eastAsia" w:ascii="仿宋_GB2312" w:hAnsi="仿宋" w:cs="宋体"/>
          <w:color w:val="auto"/>
          <w:kern w:val="0"/>
          <w:szCs w:val="28"/>
        </w:rPr>
        <w:t>以高质量发展指标体系为指引的运行管理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中国兵器装备集团有限公司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战略管控型企业集团的闭环战略管理体系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中国电子科技集团有限公司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10.</w:t>
      </w:r>
      <w:r>
        <w:rPr>
          <w:rFonts w:hint="eastAsia" w:ascii="仿宋_GB2312" w:hAnsi="仿宋" w:cs="宋体"/>
          <w:color w:val="auto"/>
          <w:kern w:val="0"/>
          <w:szCs w:val="28"/>
        </w:rPr>
        <w:t>复杂军工电子装备数字化可视化智能化全生命</w:t>
      </w:r>
    </w:p>
    <w:p>
      <w:pPr>
        <w:spacing w:line="600" w:lineRule="exact"/>
        <w:ind w:firstLine="0" w:firstLineChars="0"/>
        <w:rPr>
          <w:rFonts w:ascii="仿宋_GB2312" w:hAnsi="仿宋" w:eastAsia="宋体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周期质量管理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中国航空发动机集团有限公司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“一体化”流程要素管理体系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中国石油天然气集团有限公司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以</w:t>
      </w:r>
      <w:r>
        <w:rPr>
          <w:rFonts w:ascii="仿宋_GB2312" w:hAnsi="仿宋" w:cs="宋体"/>
          <w:color w:val="auto"/>
          <w:kern w:val="0"/>
          <w:szCs w:val="28"/>
        </w:rPr>
        <w:t>金融资源集约</w:t>
      </w:r>
      <w:r>
        <w:rPr>
          <w:rFonts w:hint="eastAsia" w:ascii="仿宋_GB2312" w:hAnsi="仿宋" w:cs="宋体"/>
          <w:color w:val="auto"/>
          <w:kern w:val="0"/>
          <w:szCs w:val="28"/>
        </w:rPr>
        <w:t>化</w:t>
      </w:r>
      <w:r>
        <w:rPr>
          <w:rFonts w:ascii="仿宋_GB2312" w:hAnsi="仿宋" w:cs="宋体"/>
          <w:color w:val="auto"/>
          <w:kern w:val="0"/>
          <w:szCs w:val="28"/>
        </w:rPr>
        <w:t>为核心的司库管理体系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“一带一路”油气合作战略管理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中国石油化工集团有限公司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采购供应链管理体系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15.</w:t>
      </w:r>
      <w:r>
        <w:rPr>
          <w:rFonts w:hint="eastAsia" w:ascii="仿宋_GB2312" w:hAnsi="仿宋" w:cs="宋体"/>
          <w:color w:val="auto"/>
          <w:kern w:val="0"/>
          <w:szCs w:val="28"/>
        </w:rPr>
        <w:t>以高质量发展管理指标为基础的运营评价机制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中国海洋石油集团有限公司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6.</w:t>
      </w:r>
      <w:r>
        <w:rPr>
          <w:rFonts w:hint="eastAsia" w:ascii="仿宋_GB2312" w:hAnsi="仿宋" w:cs="宋体"/>
          <w:color w:val="auto"/>
          <w:kern w:val="0"/>
          <w:szCs w:val="28"/>
        </w:rPr>
        <w:t>以战略为导向的风险管理体系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销售侧管理数字化转型系统</w:t>
      </w:r>
    </w:p>
    <w:p>
      <w:pPr>
        <w:spacing w:line="600" w:lineRule="exact"/>
        <w:ind w:firstLine="636" w:firstLineChars="199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国家石油天然气管网集团有限公司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8.</w:t>
      </w:r>
      <w:r>
        <w:rPr>
          <w:rFonts w:hint="eastAsia" w:ascii="仿宋_GB2312" w:hAnsi="仿宋" w:cs="宋体"/>
          <w:color w:val="auto"/>
          <w:kern w:val="0"/>
          <w:szCs w:val="28"/>
        </w:rPr>
        <w:t>中缅油气管道数字化恢复系统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国家电网有限公司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1</w:t>
      </w: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电网数字化转型升级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0.</w:t>
      </w:r>
      <w:r>
        <w:rPr>
          <w:rFonts w:hint="eastAsia" w:ascii="仿宋_GB2312" w:hAnsi="仿宋" w:cs="宋体"/>
          <w:color w:val="auto"/>
          <w:kern w:val="0"/>
          <w:szCs w:val="28"/>
        </w:rPr>
        <w:t>国网电商“能源+互联网”管理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中国南方电网有限责任公司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对标国际的资产管理体系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22.</w:t>
      </w:r>
      <w:r>
        <w:rPr>
          <w:rFonts w:hint="eastAsia" w:ascii="仿宋_GB2312" w:hAnsi="仿宋" w:cs="宋体"/>
          <w:color w:val="auto"/>
          <w:kern w:val="0"/>
          <w:szCs w:val="28"/>
        </w:rPr>
        <w:t>电网可靠性管理的理论与实践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中国华能集团有限公司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全流域开发保护工程建设管理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24.</w:t>
      </w:r>
      <w:r>
        <w:rPr>
          <w:rFonts w:hint="eastAsia" w:ascii="仿宋_GB2312" w:hAnsi="仿宋" w:cs="宋体"/>
          <w:color w:val="auto"/>
          <w:kern w:val="0"/>
          <w:szCs w:val="28"/>
        </w:rPr>
        <w:t>IGCC示范工程科技管理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中国大唐集团有限公司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25.</w:t>
      </w:r>
      <w:r>
        <w:rPr>
          <w:rFonts w:hint="eastAsia" w:ascii="仿宋_GB2312" w:hAnsi="仿宋" w:cs="宋体"/>
          <w:color w:val="auto"/>
          <w:kern w:val="0"/>
          <w:szCs w:val="28"/>
        </w:rPr>
        <w:t>基于流程机器人（RPA)技术的电力企业数字化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财务管理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中国华电集团有限公司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26.</w:t>
      </w:r>
      <w:r>
        <w:rPr>
          <w:rFonts w:hint="eastAsia" w:ascii="仿宋_GB2312" w:hAnsi="仿宋" w:cs="宋体"/>
          <w:color w:val="auto"/>
          <w:kern w:val="0"/>
          <w:szCs w:val="28"/>
        </w:rPr>
        <w:t>数字赋能的碳排放管理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“一体系、一张网”的现代企业管理体系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国家电力投资集团有限公司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28.</w:t>
      </w:r>
      <w:r>
        <w:rPr>
          <w:rFonts w:hint="eastAsia" w:ascii="仿宋_GB2312" w:hAnsi="仿宋" w:cs="宋体"/>
          <w:color w:val="auto"/>
          <w:kern w:val="0"/>
          <w:szCs w:val="28"/>
        </w:rPr>
        <w:t>基于法治框架的法律、合规、风险、内控协同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中国长江三峡集团有限公司</w:t>
      </w:r>
    </w:p>
    <w:p>
      <w:pPr>
        <w:spacing w:line="600" w:lineRule="exact"/>
        <w:ind w:firstLine="1280" w:firstLineChars="40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2</w:t>
      </w: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电力企业国际化战略管理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30.</w:t>
      </w:r>
      <w:r>
        <w:rPr>
          <w:rFonts w:hint="eastAsia" w:ascii="仿宋_GB2312" w:hAnsi="仿宋" w:cs="宋体"/>
          <w:color w:val="auto"/>
          <w:kern w:val="0"/>
          <w:szCs w:val="28"/>
        </w:rPr>
        <w:t>长江经济带城镇污水治理机制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国家能源投资集团有限责任公司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一体化发展的能源企业生产运营协同调度系统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中国电信集团有限公司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32.</w:t>
      </w:r>
      <w:r>
        <w:rPr>
          <w:rFonts w:hint="eastAsia" w:ascii="仿宋_GB2312" w:hAnsi="仿宋" w:cs="宋体"/>
          <w:color w:val="auto"/>
          <w:kern w:val="0"/>
          <w:szCs w:val="28"/>
        </w:rPr>
        <w:t>基于“六力</w:t>
      </w:r>
      <w:r>
        <w:rPr>
          <w:rFonts w:ascii="仿宋_GB2312" w:hAnsi="仿宋" w:cs="宋体"/>
          <w:color w:val="auto"/>
          <w:kern w:val="0"/>
          <w:szCs w:val="28"/>
        </w:rPr>
        <w:t>模型</w:t>
      </w:r>
      <w:r>
        <w:rPr>
          <w:rFonts w:hint="eastAsia" w:ascii="仿宋_GB2312" w:hAnsi="仿宋" w:cs="宋体"/>
          <w:color w:val="auto"/>
          <w:kern w:val="0"/>
          <w:szCs w:val="28"/>
        </w:rPr>
        <w:t>”的智能客服管理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33.</w:t>
      </w:r>
      <w:r>
        <w:rPr>
          <w:rFonts w:hint="eastAsia" w:ascii="仿宋_GB2312" w:hAnsi="仿宋" w:cs="宋体"/>
          <w:color w:val="auto"/>
          <w:kern w:val="0"/>
          <w:szCs w:val="28"/>
        </w:rPr>
        <w:t>大数据财务风险防控体系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中国联合网络通信集团有限公司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智慧供应链管理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中国移动通信集团有限公司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5.</w:t>
      </w:r>
      <w:r>
        <w:rPr>
          <w:rFonts w:hint="eastAsia" w:ascii="仿宋_GB2312" w:hAnsi="仿宋" w:cs="宋体"/>
          <w:color w:val="auto"/>
          <w:kern w:val="0"/>
          <w:szCs w:val="28"/>
        </w:rPr>
        <w:t>数智化供应链管理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36.</w:t>
      </w:r>
      <w:r>
        <w:rPr>
          <w:rFonts w:hint="eastAsia" w:ascii="仿宋_GB2312" w:hAnsi="仿宋" w:cs="宋体"/>
          <w:color w:val="auto"/>
          <w:kern w:val="0"/>
          <w:szCs w:val="28"/>
        </w:rPr>
        <w:t>智慧财务管控体系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中国第一汽车集团有限公司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OTD流程全自动化管理系统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38.</w:t>
      </w:r>
      <w:r>
        <w:rPr>
          <w:rFonts w:hint="eastAsia" w:ascii="仿宋_GB2312" w:hAnsi="仿宋" w:cs="宋体"/>
          <w:color w:val="auto"/>
          <w:kern w:val="0"/>
          <w:szCs w:val="28"/>
        </w:rPr>
        <w:t>红旗数字化工厂建设与运营管理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东风汽车集团有限公司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大型企业集团财务一体化管理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中国一重集团有限公司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40.</w:t>
      </w:r>
      <w:r>
        <w:rPr>
          <w:rFonts w:hint="eastAsia" w:ascii="仿宋_GB2312" w:hAnsi="仿宋" w:cs="宋体"/>
          <w:color w:val="auto"/>
          <w:kern w:val="0"/>
          <w:szCs w:val="28"/>
        </w:rPr>
        <w:t>大连核电石化公司</w:t>
      </w:r>
      <w:r>
        <w:rPr>
          <w:rFonts w:ascii="仿宋_GB2312" w:hAnsi="仿宋" w:cs="宋体"/>
          <w:color w:val="auto"/>
          <w:kern w:val="0"/>
          <w:szCs w:val="28"/>
        </w:rPr>
        <w:t>“</w:t>
      </w:r>
      <w:r>
        <w:rPr>
          <w:rFonts w:hint="eastAsia" w:ascii="仿宋_GB2312" w:hAnsi="仿宋" w:cs="宋体"/>
          <w:color w:val="auto"/>
          <w:kern w:val="0"/>
          <w:szCs w:val="28"/>
        </w:rPr>
        <w:t>225+</w:t>
      </w:r>
      <w:r>
        <w:rPr>
          <w:rFonts w:ascii="仿宋_GB2312" w:hAnsi="仿宋" w:cs="宋体"/>
          <w:color w:val="auto"/>
          <w:kern w:val="0"/>
          <w:szCs w:val="28"/>
        </w:rPr>
        <w:t>”</w:t>
      </w:r>
      <w:r>
        <w:rPr>
          <w:rFonts w:hint="eastAsia" w:ascii="仿宋_GB2312" w:hAnsi="仿宋" w:cs="宋体"/>
          <w:color w:val="auto"/>
          <w:kern w:val="0"/>
          <w:szCs w:val="28"/>
        </w:rPr>
        <w:t>精益数字化管理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中国东方电气集团有限公司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大型发电设备核心部件数字化生产管理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鞍钢集团有限公司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以激发活力和提高效率为导向的人力资源管理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中国宝武钢铁集团有限公司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绩效驱动型战略执行体系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中国铝业集团有限公司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color w:val="auto"/>
          <w:szCs w:val="32"/>
        </w:rPr>
        <w:t>“三横三纵三个全覆盖”</w:t>
      </w:r>
      <w:r>
        <w:rPr>
          <w:rFonts w:hint="eastAsia" w:ascii="仿宋_GB2312" w:hAnsi="仿宋" w:cs="宋体"/>
          <w:color w:val="auto"/>
          <w:kern w:val="0"/>
          <w:szCs w:val="28"/>
        </w:rPr>
        <w:t>新型管控体系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中国远洋海运集团有限公司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5.</w:t>
      </w:r>
      <w:r>
        <w:rPr>
          <w:rFonts w:hint="eastAsia" w:ascii="仿宋_GB2312" w:hAnsi="仿宋" w:cs="宋体"/>
          <w:color w:val="auto"/>
          <w:kern w:val="0"/>
          <w:szCs w:val="28"/>
        </w:rPr>
        <w:t>船舶智能制造管理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6.</w:t>
      </w:r>
      <w:r>
        <w:rPr>
          <w:rFonts w:hint="eastAsia" w:ascii="仿宋_GB2312" w:hAnsi="仿宋" w:cs="宋体"/>
          <w:color w:val="auto"/>
          <w:kern w:val="0"/>
          <w:szCs w:val="28"/>
        </w:rPr>
        <w:t>飞机资产数字化运营管理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中国东方航空集团有限公司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航班地面保障管理体系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48.</w:t>
      </w:r>
      <w:r>
        <w:rPr>
          <w:rFonts w:hint="eastAsia" w:ascii="仿宋_GB2312" w:hAnsi="仿宋" w:cs="宋体"/>
          <w:color w:val="auto"/>
          <w:kern w:val="0"/>
          <w:szCs w:val="28"/>
        </w:rPr>
        <w:t>航企跨境业务风险管理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中国南方航空集团有限公司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精益运行管理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中国中化控股有限责任公司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50.</w:t>
      </w:r>
      <w:r>
        <w:rPr>
          <w:rFonts w:hint="eastAsia" w:ascii="仿宋_GB2312" w:hAnsi="仿宋" w:cs="宋体"/>
          <w:color w:val="auto"/>
          <w:kern w:val="0"/>
          <w:szCs w:val="28"/>
        </w:rPr>
        <w:t>中长期激励管理体系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中国五矿集团有限公司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1+N全面风险管理体系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中国通用技术（集团）控股有限责任公司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通用环球医疗集团专科经营绩效持续改善机制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火神山、雷神山项目建设管理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54.</w:t>
      </w:r>
      <w:r>
        <w:rPr>
          <w:rFonts w:hint="eastAsia" w:ascii="仿宋_GB2312" w:hAnsi="仿宋" w:cs="宋体"/>
          <w:color w:val="auto"/>
          <w:kern w:val="0"/>
          <w:szCs w:val="28"/>
        </w:rPr>
        <w:t>以价值指数为</w:t>
      </w:r>
      <w:r>
        <w:rPr>
          <w:rFonts w:ascii="仿宋_GB2312" w:hAnsi="仿宋" w:cs="宋体"/>
          <w:color w:val="auto"/>
          <w:kern w:val="0"/>
          <w:szCs w:val="28"/>
        </w:rPr>
        <w:t>基础的</w:t>
      </w:r>
      <w:r>
        <w:rPr>
          <w:rFonts w:hint="eastAsia" w:ascii="仿宋_GB2312" w:hAnsi="仿宋" w:cs="宋体"/>
          <w:color w:val="auto"/>
          <w:kern w:val="0"/>
          <w:szCs w:val="28"/>
        </w:rPr>
        <w:t>人力资源管理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国家开发投资集团有限公司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以战略规划为统领的结构调整长效机制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招商局集团有限公司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“新海辽”轮精细化运营管理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华润（集团）有限公司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5C价值型财务管理体系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中国旅游集团有限公司[香港中旅（集团）有限公司]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中旅酒店数字化转型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中国商用飞机有限责任公司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59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商用飞机“全科急诊室”运行支持系统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中国节能环保集团有限公司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60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低碳化水务运营管理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中国中煤能源集团有限公司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61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煤矿智能化科技创新管理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中国钢研科技集团有限公司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62.稀土永磁智能制造执行信息化管理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中国化学工程集团有限公司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法律、合规、风险、内控“四位一体”管理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中国有色矿业集团有限公司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境内外资金集中管理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矿冶科技集团有限公司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5.</w:t>
      </w:r>
      <w:r>
        <w:rPr>
          <w:rFonts w:hint="eastAsia" w:ascii="仿宋_GB2312" w:hAnsi="仿宋" w:cs="宋体"/>
          <w:color w:val="auto"/>
          <w:kern w:val="0"/>
          <w:szCs w:val="28"/>
        </w:rPr>
        <w:t>企业管理驾驶舱系统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中国国际技术智力合作集团有限公司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6.</w:t>
      </w:r>
      <w:r>
        <w:rPr>
          <w:rFonts w:hint="eastAsia" w:ascii="仿宋_GB2312" w:hAnsi="仿宋" w:cs="宋体"/>
          <w:color w:val="auto"/>
          <w:kern w:val="0"/>
          <w:szCs w:val="28"/>
        </w:rPr>
        <w:t>“四段十六步”对标管理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中国中车集团有限公司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基于“6621”核心逻辑的精益管理体系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中国铁路通信信号集团有限公司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8.</w:t>
      </w:r>
      <w:r>
        <w:rPr>
          <w:rFonts w:hint="eastAsia" w:ascii="仿宋_GB2312" w:hAnsi="仿宋" w:cs="宋体"/>
          <w:color w:val="auto"/>
          <w:kern w:val="0"/>
          <w:szCs w:val="28"/>
        </w:rPr>
        <w:t>“三攻三保”科技创新方法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中国铁路工程集团有限公司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6</w:t>
      </w: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工程项目现金流自平衡管理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中国铁道建筑集团有限公司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70.</w:t>
      </w:r>
      <w:r>
        <w:rPr>
          <w:rFonts w:hint="eastAsia" w:ascii="仿宋_GB2312" w:hAnsi="仿宋" w:cs="宋体"/>
          <w:color w:val="auto"/>
          <w:kern w:val="0"/>
          <w:szCs w:val="28"/>
        </w:rPr>
        <w:t>“1234+”工程项目管理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中国交通建设集团有限公司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71.</w:t>
      </w:r>
      <w:r>
        <w:rPr>
          <w:rFonts w:hint="eastAsia" w:ascii="仿宋_GB2312" w:hAnsi="仿宋" w:cs="宋体"/>
          <w:color w:val="auto"/>
          <w:kern w:val="0"/>
          <w:szCs w:val="28"/>
        </w:rPr>
        <w:t>以实现集团整体利益最大化为核心的供应链管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中国信息通信科技集团有限公司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72.烽火通信集成产品开发管理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中国医药集团有限公司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新冠灭活疫苗研发创新及产业化项目管理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7</w:t>
      </w:r>
      <w:r>
        <w:rPr>
          <w:rFonts w:hint="eastAsia" w:ascii="仿宋_GB2312" w:hAnsi="仿宋" w:cs="宋体"/>
          <w:color w:val="auto"/>
          <w:kern w:val="0"/>
          <w:szCs w:val="28"/>
        </w:rPr>
        <w:t>4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医疗健康产业集团的战略管理和转型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中国电力建设集团有限公司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75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基于“三链一平台”的数字化创新管理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中国广核集团有限公司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76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制度流程管理“四化”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华侨城集团有限公司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77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市场化薪酬分配与激励约束机制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中国西电集团有限公司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78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以市场化为导向的人才管理体系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中国国新控股有限责任公司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79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孚能科技投后赋能管理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中国检验认证（集团）有限公司</w:t>
      </w:r>
    </w:p>
    <w:p>
      <w:pPr>
        <w:spacing w:line="600" w:lineRule="exact"/>
        <w:ind w:firstLine="1276" w:firstLineChars="399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80.</w:t>
      </w:r>
      <w:r>
        <w:rPr>
          <w:rFonts w:hint="eastAsia" w:ascii="仿宋_GB2312" w:hAnsi="仿宋" w:cs="宋体"/>
          <w:color w:val="auto"/>
          <w:kern w:val="0"/>
          <w:szCs w:val="28"/>
        </w:rPr>
        <w:t>“数字</w:t>
      </w:r>
      <w:r>
        <w:rPr>
          <w:rFonts w:ascii="仿宋_GB2312" w:hAnsi="仿宋" w:cs="宋体"/>
          <w:color w:val="auto"/>
          <w:kern w:val="0"/>
          <w:szCs w:val="28"/>
        </w:rPr>
        <w:t>中检</w:t>
      </w:r>
      <w:r>
        <w:rPr>
          <w:rFonts w:hint="eastAsia" w:ascii="仿宋_GB2312" w:hAnsi="仿宋" w:cs="宋体"/>
          <w:color w:val="auto"/>
          <w:kern w:val="0"/>
          <w:szCs w:val="28"/>
        </w:rPr>
        <w:t>”业务管理模型</w:t>
      </w:r>
    </w:p>
    <w:p>
      <w:pPr>
        <w:spacing w:line="600" w:lineRule="exact"/>
        <w:ind w:firstLine="636" w:firstLineChars="199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中国汽车技术研究中心有限公司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81.</w:t>
      </w:r>
      <w:r>
        <w:rPr>
          <w:rFonts w:hint="eastAsia" w:ascii="仿宋_GB2312" w:hAnsi="仿宋" w:cs="宋体"/>
          <w:color w:val="auto"/>
          <w:kern w:val="0"/>
          <w:szCs w:val="28"/>
        </w:rPr>
        <w:t>“三化融合”管理体系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北京市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82</w:t>
      </w:r>
      <w:r>
        <w:rPr>
          <w:rFonts w:hint="eastAsia" w:ascii="仿宋_GB2312" w:hAnsi="仿宋" w:cs="宋体"/>
          <w:color w:val="auto"/>
          <w:kern w:val="0"/>
          <w:szCs w:val="28"/>
        </w:rPr>
        <w:t>.北京能源集团宁东公司生产经营测算模型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天津市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83.</w:t>
      </w:r>
      <w:r>
        <w:rPr>
          <w:rFonts w:hint="eastAsia" w:ascii="仿宋_GB2312" w:hAnsi="仿宋" w:cs="宋体"/>
          <w:color w:val="auto"/>
          <w:kern w:val="0"/>
          <w:szCs w:val="28"/>
        </w:rPr>
        <w:t>天津港集团股权全生命周期数字化管理系统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吉林省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吉林省高速公路集团信息化对标提升管理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上海市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5.</w:t>
      </w:r>
      <w:r>
        <w:rPr>
          <w:rFonts w:hint="eastAsia" w:ascii="仿宋_GB2312" w:hAnsi="仿宋" w:cs="宋体"/>
          <w:color w:val="auto"/>
          <w:kern w:val="0"/>
          <w:szCs w:val="28"/>
        </w:rPr>
        <w:t>上海电气集团PES中长期激励管理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江苏省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86.</w:t>
      </w:r>
      <w:r>
        <w:rPr>
          <w:rFonts w:hint="eastAsia" w:ascii="仿宋_GB2312" w:hAnsi="仿宋" w:cs="宋体"/>
          <w:color w:val="auto"/>
          <w:kern w:val="0"/>
          <w:szCs w:val="28"/>
        </w:rPr>
        <w:t>徐工集团工程机械有限公司基于战略的“315”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全面预算管理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浙江省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8</w:t>
      </w: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浙江省国有资本运营有限公司财务标准化管理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安徽省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88.</w:t>
      </w:r>
      <w:r>
        <w:rPr>
          <w:rFonts w:hint="eastAsia" w:ascii="仿宋_GB2312" w:hAnsi="仿宋" w:cs="宋体"/>
          <w:color w:val="auto"/>
          <w:kern w:val="0"/>
          <w:szCs w:val="28"/>
        </w:rPr>
        <w:t>江汽集团基于两化融合管理体系的数字化转型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福建省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89.</w:t>
      </w:r>
      <w:r>
        <w:rPr>
          <w:rFonts w:hint="eastAsia" w:ascii="仿宋_GB2312" w:hAnsi="仿宋" w:cs="宋体"/>
          <w:color w:val="auto"/>
          <w:kern w:val="0"/>
          <w:szCs w:val="28"/>
        </w:rPr>
        <w:t>福建省港口集团“大法务”管理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江西省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90.</w:t>
      </w:r>
      <w:r>
        <w:rPr>
          <w:rFonts w:hint="eastAsia" w:ascii="仿宋_GB2312" w:hAnsi="仿宋" w:cs="宋体"/>
          <w:color w:val="auto"/>
          <w:kern w:val="0"/>
          <w:szCs w:val="28"/>
        </w:rPr>
        <w:t>新余钢铁集团信息化智能化系统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山东省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中泰证券股份有限公司数字化转型与流程管理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河南省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河南投资集团数字化智能化管理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广东省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3.</w:t>
      </w:r>
      <w:r>
        <w:rPr>
          <w:rFonts w:hint="eastAsia" w:ascii="仿宋_GB2312" w:hAnsi="仿宋" w:cs="宋体"/>
          <w:color w:val="auto"/>
          <w:kern w:val="0"/>
          <w:szCs w:val="28"/>
        </w:rPr>
        <w:t>广汽集团数字化转型（G计划）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广西自治区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9</w:t>
      </w:r>
      <w:r>
        <w:rPr>
          <w:rFonts w:ascii="仿宋_GB2312" w:hAnsi="仿宋" w:cs="宋体"/>
          <w:color w:val="auto"/>
          <w:kern w:val="0"/>
          <w:szCs w:val="28"/>
        </w:rPr>
        <w:t>4.</w:t>
      </w:r>
      <w:r>
        <w:rPr>
          <w:rFonts w:hint="eastAsia" w:ascii="仿宋_GB2312" w:hAnsi="仿宋" w:cs="宋体"/>
          <w:color w:val="auto"/>
          <w:kern w:val="0"/>
          <w:szCs w:val="28"/>
        </w:rPr>
        <w:t>广西柳州钢铁集团柳钢一体化ERP系统</w:t>
      </w:r>
    </w:p>
    <w:p>
      <w:pPr>
        <w:spacing w:line="600" w:lineRule="exac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楷体_GB2312" w:eastAsia="楷体_GB2312"/>
          <w:color w:val="auto"/>
        </w:rPr>
        <w:t>重庆市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95.</w:t>
      </w:r>
      <w:r>
        <w:rPr>
          <w:rFonts w:hint="eastAsia" w:ascii="仿宋_GB2312" w:hAnsi="仿宋" w:cs="宋体"/>
          <w:color w:val="auto"/>
          <w:kern w:val="0"/>
          <w:szCs w:val="28"/>
        </w:rPr>
        <w:t>重庆农村商业银行股份有限公司面向感知认知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能力的银行数字化管理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四川省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96.</w:t>
      </w:r>
      <w:r>
        <w:rPr>
          <w:rFonts w:hint="eastAsia" w:ascii="仿宋_GB2312" w:hAnsi="仿宋" w:cs="宋体"/>
          <w:color w:val="auto"/>
          <w:kern w:val="0"/>
          <w:szCs w:val="28"/>
        </w:rPr>
        <w:t>四川发展（控股）有限责任公司以制度体系重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构为基础的集团管控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>97.</w:t>
      </w:r>
      <w:r>
        <w:rPr>
          <w:rFonts w:hint="eastAsia" w:ascii="仿宋_GB2312" w:hAnsi="仿宋" w:cs="宋体"/>
          <w:color w:val="auto"/>
          <w:kern w:val="0"/>
          <w:szCs w:val="28"/>
        </w:rPr>
        <w:t>四川长虹电子控股集团以财务云为支撑的业务</w:t>
      </w:r>
    </w:p>
    <w:p>
      <w:pPr>
        <w:spacing w:line="600" w:lineRule="exact"/>
        <w:ind w:firstLine="0" w:firstLineChars="0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eastAsia="宋体" w:cs="宋体"/>
          <w:color w:val="auto"/>
          <w:kern w:val="0"/>
          <w:szCs w:val="28"/>
        </w:rPr>
        <w:t xml:space="preserve">　　　　　 </w:t>
      </w:r>
      <w:r>
        <w:rPr>
          <w:rFonts w:hint="eastAsia" w:ascii="仿宋_GB2312" w:hAnsi="仿宋" w:cs="宋体"/>
          <w:color w:val="auto"/>
          <w:kern w:val="0"/>
          <w:szCs w:val="28"/>
        </w:rPr>
        <w:t>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青海省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98.</w:t>
      </w:r>
      <w:r>
        <w:rPr>
          <w:rFonts w:hint="eastAsia" w:ascii="仿宋_GB2312" w:hAnsi="仿宋" w:cs="宋体"/>
          <w:color w:val="auto"/>
          <w:kern w:val="0"/>
          <w:szCs w:val="28"/>
        </w:rPr>
        <w:t>西部矿业集团锡铁山分公司“绿色矿山”管理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宁波市</w:t>
      </w:r>
    </w:p>
    <w:p>
      <w:pPr>
        <w:spacing w:line="600" w:lineRule="exact"/>
        <w:ind w:firstLine="1273" w:firstLineChars="398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99.</w:t>
      </w:r>
      <w:r>
        <w:rPr>
          <w:rFonts w:hint="eastAsia" w:ascii="仿宋_GB2312" w:hAnsi="仿宋" w:cs="宋体"/>
          <w:color w:val="auto"/>
          <w:kern w:val="0"/>
          <w:szCs w:val="28"/>
        </w:rPr>
        <w:t>宁波轨道交通集团信息安全管理</w:t>
      </w:r>
    </w:p>
    <w:p>
      <w:pPr>
        <w:spacing w:line="600" w:lineRule="exact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深圳市</w:t>
      </w:r>
    </w:p>
    <w:p>
      <w:pPr>
        <w:widowControl/>
        <w:ind w:firstLine="1280" w:firstLineChars="400"/>
        <w:jc w:val="left"/>
        <w:rPr>
          <w:rFonts w:ascii="仿宋_GB2312" w:hAnsi="仿宋" w:cs="宋体"/>
          <w:color w:val="auto"/>
          <w:kern w:val="0"/>
          <w:szCs w:val="28"/>
          <w:lang w:bidi="ar"/>
        </w:rPr>
      </w:pPr>
      <w:r>
        <w:rPr>
          <w:rFonts w:ascii="仿宋_GB2312" w:hAnsi="仿宋" w:eastAsia="宋体" w:cs="宋体"/>
          <w:color w:val="auto"/>
          <w:kern w:val="0"/>
          <w:szCs w:val="28"/>
          <w:lang w:val="en"/>
        </w:rPr>
        <w:t>100.</w:t>
      </w:r>
      <w:r>
        <w:rPr>
          <w:rFonts w:hint="eastAsia" w:ascii="仿宋_GB2312" w:hAnsi="仿宋" w:cs="宋体"/>
          <w:color w:val="auto"/>
          <w:kern w:val="0"/>
          <w:szCs w:val="28"/>
          <w:lang w:bidi="ar"/>
        </w:rPr>
        <w:t>深圳市城市交通规划设计研究中心城市交通</w:t>
      </w:r>
    </w:p>
    <w:p>
      <w:pPr>
        <w:widowControl/>
        <w:ind w:firstLine="1920" w:firstLineChars="600"/>
        <w:jc w:val="left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  <w:lang w:bidi="ar"/>
        </w:rPr>
        <w:t>整体解决方案</w:t>
      </w:r>
    </w:p>
    <w:p>
      <w:pPr>
        <w:widowControl/>
        <w:spacing w:line="600" w:lineRule="exact"/>
        <w:ind w:firstLine="0" w:firstLineChars="0"/>
        <w:jc w:val="left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br w:type="page"/>
      </w:r>
    </w:p>
    <w:p>
      <w:pPr>
        <w:spacing w:line="600" w:lineRule="exact"/>
        <w:ind w:firstLine="0" w:firstLineChars="0"/>
        <w:outlineLvl w:val="1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三</w:t>
      </w:r>
      <w:r>
        <w:rPr>
          <w:rFonts w:ascii="黑体" w:hAnsi="黑体" w:eastAsia="黑体"/>
          <w:color w:val="auto"/>
        </w:rPr>
        <w:t>、标杆</w:t>
      </w:r>
      <w:r>
        <w:rPr>
          <w:rFonts w:hint="eastAsia" w:ascii="黑体" w:hAnsi="黑体" w:eastAsia="黑体"/>
          <w:color w:val="auto"/>
        </w:rPr>
        <w:t>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中国宝武钢铁集团有限公司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1.</w:t>
      </w:r>
      <w:r>
        <w:rPr>
          <w:rFonts w:hint="eastAsia" w:ascii="仿宋_GB2312" w:hAnsi="仿宋" w:cs="宋体"/>
          <w:color w:val="auto"/>
          <w:kern w:val="0"/>
          <w:szCs w:val="28"/>
        </w:rPr>
        <w:t>企业整合融合管理模式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华润（集团）有限公司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2.</w:t>
      </w:r>
      <w:r>
        <w:rPr>
          <w:rFonts w:hint="eastAsia" w:ascii="仿宋_GB2312" w:hAnsi="仿宋" w:cs="宋体"/>
          <w:color w:val="auto"/>
          <w:kern w:val="0"/>
          <w:szCs w:val="28"/>
        </w:rPr>
        <w:t>世界一流战略导向管理模式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中国华能集团有限公司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hint="eastAsia" w:ascii="仿宋_GB2312" w:hAnsi="仿宋" w:cs="宋体"/>
          <w:color w:val="auto"/>
          <w:kern w:val="0"/>
          <w:szCs w:val="28"/>
        </w:rPr>
        <w:t>3</w:t>
      </w:r>
      <w:r>
        <w:rPr>
          <w:rFonts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kern w:val="0"/>
          <w:szCs w:val="28"/>
        </w:rPr>
        <w:t>“五步三化”精智管理模式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国家电网有限公司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4</w:t>
      </w:r>
      <w:r>
        <w:rPr>
          <w:rFonts w:hint="eastAsia" w:ascii="仿宋_GB2312" w:hAnsi="仿宋" w:cs="宋体"/>
          <w:color w:val="auto"/>
          <w:kern w:val="0"/>
          <w:szCs w:val="28"/>
        </w:rPr>
        <w:t>.集团化、专业化、标准化、数字化管理模式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中国核工业集团有限公司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spacing w:val="-20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5</w:t>
      </w:r>
      <w:r>
        <w:rPr>
          <w:rFonts w:hint="eastAsia" w:ascii="仿宋_GB2312" w:hAnsi="仿宋" w:cs="宋体"/>
          <w:color w:val="auto"/>
          <w:kern w:val="0"/>
          <w:szCs w:val="28"/>
        </w:rPr>
        <w:t>.</w:t>
      </w:r>
      <w:r>
        <w:rPr>
          <w:rFonts w:hint="eastAsia" w:ascii="仿宋_GB2312" w:hAnsi="仿宋" w:cs="宋体"/>
          <w:color w:val="auto"/>
          <w:spacing w:val="-20"/>
          <w:kern w:val="0"/>
          <w:szCs w:val="28"/>
        </w:rPr>
        <w:t>“六大控制七个零”高质量精细化工程项目管理模式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山东省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6</w:t>
      </w:r>
      <w:r>
        <w:rPr>
          <w:rFonts w:hint="eastAsia" w:ascii="仿宋_GB2312" w:hAnsi="仿宋" w:cs="宋体"/>
          <w:color w:val="auto"/>
          <w:kern w:val="0"/>
          <w:szCs w:val="28"/>
        </w:rPr>
        <w:t>.潍柴控股集团有限公司特色WOS管理模式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中国中车集团有限公司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7.</w:t>
      </w:r>
      <w:r>
        <w:rPr>
          <w:rFonts w:hint="eastAsia" w:ascii="仿宋_GB2312" w:hAnsi="仿宋" w:cs="宋体"/>
          <w:color w:val="auto"/>
          <w:kern w:val="0"/>
          <w:szCs w:val="28"/>
        </w:rPr>
        <w:t>中国高铁装备自主创新管理模式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国家开发投资集团有限公司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8.</w:t>
      </w:r>
      <w:r>
        <w:rPr>
          <w:rFonts w:hint="eastAsia" w:ascii="仿宋_GB2312" w:hAnsi="仿宋" w:cs="宋体"/>
          <w:color w:val="auto"/>
          <w:kern w:val="0"/>
          <w:szCs w:val="28"/>
        </w:rPr>
        <w:t>“5M”管控模式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中国东方航空集团有限公司</w:t>
      </w:r>
    </w:p>
    <w:p>
      <w:pPr>
        <w:spacing w:line="600" w:lineRule="exact"/>
        <w:ind w:firstLine="1347" w:firstLineChars="421"/>
        <w:outlineLvl w:val="1"/>
        <w:rPr>
          <w:rFonts w:ascii="仿宋_GB2312" w:hAnsi="仿宋" w:cs="宋体"/>
          <w:color w:val="auto"/>
          <w:kern w:val="0"/>
          <w:szCs w:val="28"/>
        </w:rPr>
      </w:pPr>
      <w:r>
        <w:rPr>
          <w:rFonts w:ascii="仿宋_GB2312" w:hAnsi="仿宋" w:cs="宋体"/>
          <w:color w:val="auto"/>
          <w:kern w:val="0"/>
          <w:szCs w:val="28"/>
        </w:rPr>
        <w:t>9.</w:t>
      </w:r>
      <w:r>
        <w:rPr>
          <w:rFonts w:hint="eastAsia" w:ascii="仿宋_GB2312" w:hAnsi="仿宋" w:cs="宋体"/>
          <w:color w:val="auto"/>
          <w:kern w:val="0"/>
          <w:szCs w:val="28"/>
        </w:rPr>
        <w:t>“盘、规、治、用”数据治理模式</w:t>
      </w:r>
    </w:p>
    <w:p>
      <w:pPr>
        <w:spacing w:line="600" w:lineRule="exact"/>
        <w:ind w:firstLine="707" w:firstLineChars="221"/>
        <w:outlineLvl w:val="1"/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中国联合网络通信集团有限公司</w:t>
      </w:r>
    </w:p>
    <w:p>
      <w:pPr>
        <w:ind w:firstLine="1280" w:firstLineChars="400"/>
        <w:rPr>
          <w:color w:val="auto"/>
        </w:rPr>
      </w:pPr>
      <w:r>
        <w:rPr>
          <w:rFonts w:ascii="仿宋_GB2312" w:hAnsi="仿宋" w:cs="宋体"/>
          <w:color w:val="auto"/>
          <w:kern w:val="0"/>
          <w:szCs w:val="28"/>
        </w:rPr>
        <w:t>10.</w:t>
      </w:r>
      <w:r>
        <w:rPr>
          <w:rFonts w:hint="eastAsia" w:ascii="仿宋_GB2312" w:hAnsi="仿宋" w:cs="宋体"/>
          <w:color w:val="auto"/>
          <w:kern w:val="0"/>
          <w:szCs w:val="28"/>
        </w:rPr>
        <w:t>转型改革一体化管理模式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C"/>
    <w:rsid w:val="001A3829"/>
    <w:rsid w:val="008C1BB0"/>
    <w:rsid w:val="00CB6B0C"/>
    <w:rsid w:val="39621097"/>
    <w:rsid w:val="631146BF"/>
    <w:rsid w:val="772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1158</Words>
  <Characters>6604</Characters>
  <Lines>55</Lines>
  <Paragraphs>15</Paragraphs>
  <TotalTime>61</TotalTime>
  <ScaleCrop>false</ScaleCrop>
  <LinksUpToDate>false</LinksUpToDate>
  <CharactersWithSpaces>7747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斌哥</cp:lastModifiedBy>
  <dcterms:modified xsi:type="dcterms:W3CDTF">2021-08-17T08:53:26Z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194F367FDA274F3AB1D61184DF581A02</vt:lpwstr>
  </property>
</Properties>
</file>