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ind w:left="0" w:leftChars="0" w:firstLine="0" w:firstLineChars="0"/>
        <w:jc w:val="center"/>
        <w:rPr>
          <w:rFonts w:hint="eastAsia"/>
          <w:sz w:val="36"/>
          <w:szCs w:val="36"/>
        </w:rPr>
      </w:pPr>
      <w:r>
        <w:rPr>
          <w:sz w:val="36"/>
          <w:szCs w:val="36"/>
        </w:rPr>
        <w:t>GR-3035型</w:t>
      </w:r>
      <w:r>
        <w:rPr>
          <w:rFonts w:hint="eastAsia"/>
          <w:sz w:val="36"/>
          <w:szCs w:val="36"/>
        </w:rPr>
        <w:t>便携式非甲烷总烃分析仪</w:t>
      </w:r>
    </w:p>
    <w:p>
      <w:pPr>
        <w:pStyle w:val="3"/>
        <w:rPr>
          <w:rFonts w:hint="eastAsia" w:eastAsia="微软雅黑"/>
          <w:b/>
          <w:bCs/>
          <w:color w:val="652F71"/>
          <w:sz w:val="24"/>
          <w:szCs w:val="24"/>
          <w:lang w:val="en-US" w:eastAsia="zh-CN"/>
        </w:rPr>
      </w:pPr>
      <w:r>
        <w:rPr>
          <w:rFonts w:hint="eastAsia"/>
          <w:b/>
          <w:bCs/>
          <w:color w:val="652F71"/>
          <w:sz w:val="24"/>
          <w:szCs w:val="24"/>
          <w:lang w:val="en-US" w:eastAsia="zh-CN"/>
        </w:rPr>
        <w:t>产品简介</w:t>
      </w:r>
    </w:p>
    <w:p>
      <w:pPr>
        <w:pStyle w:val="3"/>
        <w:spacing w:before="120" w:line="208" w:lineRule="auto"/>
        <w:ind w:right="1269"/>
        <w:jc w:val="both"/>
      </w:pPr>
      <w:r>
        <w:rPr>
          <w:color w:val="231F20"/>
        </w:rPr>
        <w:t>GR-3035型便携式非甲烷总烃分析仪主要由分析仪主机和取样管两大部分组成。分析仪主机由GC-FID分析模块、气瓶、采样泵、自动化控制模块和显示屏等功能单元构成。通过使用特制双担体色谱柱，反吹直测非甲烷总烃，从根本上解决氧气对总烃和非甲烷总烃测量干扰</w:t>
      </w:r>
    </w:p>
    <w:p>
      <w:pPr>
        <w:pStyle w:val="3"/>
        <w:rPr>
          <w:rFonts w:hint="eastAsia"/>
          <w:b/>
          <w:bCs/>
          <w:color w:val="652F71"/>
          <w:sz w:val="24"/>
          <w:szCs w:val="24"/>
          <w:lang w:val="en-US" w:eastAsia="zh-CN"/>
        </w:rPr>
      </w:pPr>
      <w:r>
        <w:rPr>
          <w:rFonts w:hint="eastAsia"/>
          <w:b/>
          <w:bCs/>
          <w:color w:val="652F71"/>
          <w:sz w:val="24"/>
          <w:szCs w:val="24"/>
          <w:lang w:val="en-US" w:eastAsia="zh-CN"/>
        </w:rPr>
        <w:t>执行标准</w:t>
      </w:r>
    </w:p>
    <w:p>
      <w:pPr>
        <w:pStyle w:val="3"/>
        <w:rPr>
          <w:color w:val="231F20"/>
        </w:rPr>
      </w:pPr>
      <w:r>
        <w:rPr>
          <w:color w:val="231F20"/>
        </w:rPr>
        <w:t>HJ 1012-2018 《环境空气和废气 总烃、甲烷和非甲烷总烃便携式监测仪技术要求及检测方法》</w:t>
      </w:r>
    </w:p>
    <w:p>
      <w:pPr>
        <w:pStyle w:val="3"/>
        <w:rPr>
          <w:rFonts w:hint="eastAsia"/>
          <w:color w:val="231F20"/>
          <w:lang w:val="en-US" w:eastAsia="zh-CN"/>
        </w:rPr>
      </w:pPr>
      <w:r>
        <w:rPr>
          <w:color w:val="231F20"/>
        </w:rPr>
        <w:t>DB11/T 1367 《固定污染源废气甲烷/总烃/非甲烷总烃的测定便携式氢火焰离子化检测器法》</w:t>
      </w:r>
    </w:p>
    <w:p>
      <w:pPr>
        <w:pStyle w:val="3"/>
        <w:spacing w:line="333" w:lineRule="exact"/>
      </w:pPr>
      <w:r>
        <w:rPr>
          <w:color w:val="231F20"/>
        </w:rPr>
        <w:t>JJG 700-2016 《气相色谱仪检定规程》</w:t>
      </w:r>
    </w:p>
    <w:p>
      <w:pPr>
        <w:pStyle w:val="3"/>
        <w:spacing w:before="13"/>
        <w:rPr>
          <w:rFonts w:hint="eastAsia"/>
          <w:b/>
          <w:bCs/>
          <w:color w:val="652F71"/>
          <w:sz w:val="24"/>
          <w:szCs w:val="24"/>
          <w:lang w:val="en-US" w:eastAsia="zh-CN"/>
        </w:rPr>
      </w:pPr>
      <w:r>
        <w:rPr>
          <w:rFonts w:hint="eastAsia"/>
          <w:b/>
          <w:bCs/>
          <w:color w:val="652F71"/>
          <w:sz w:val="24"/>
          <w:szCs w:val="24"/>
          <w:lang w:val="en-US" w:eastAsia="zh-CN"/>
        </w:rPr>
        <w:t>功能特点</w:t>
      </w:r>
    </w:p>
    <w:p>
      <w:pPr>
        <w:pStyle w:val="3"/>
        <w:spacing w:before="13" w:line="360" w:lineRule="auto"/>
        <w:rPr>
          <w:color w:val="231F20"/>
        </w:rPr>
      </w:pPr>
      <w:r>
        <w:rPr>
          <w:rFonts w:hint="eastAsia"/>
          <w:color w:val="231F20"/>
          <w:sz w:val="28"/>
          <w:szCs w:val="28"/>
        </w:rPr>
        <w:t>●</w:t>
      </w:r>
      <w:r>
        <w:rPr>
          <w:color w:val="231F20"/>
        </w:rPr>
        <w:t>采用双担体色谱柱实现非甲烷总烃直接测量，避免样气中氧气对总烃测量的干扰</w:t>
      </w:r>
    </w:p>
    <w:p>
      <w:pPr>
        <w:pStyle w:val="3"/>
        <w:spacing w:before="13" w:line="360" w:lineRule="auto"/>
        <w:rPr>
          <w:color w:val="231F20"/>
        </w:rPr>
      </w:pPr>
      <w:r>
        <w:rPr>
          <w:rFonts w:hint="eastAsia"/>
          <w:color w:val="231F20"/>
          <w:sz w:val="28"/>
          <w:szCs w:val="28"/>
        </w:rPr>
        <w:t>●</w:t>
      </w:r>
      <w:r>
        <w:rPr>
          <w:color w:val="231F20"/>
        </w:rPr>
        <w:t>高集成度设计，系统紧凑可靠</w:t>
      </w:r>
    </w:p>
    <w:p>
      <w:pPr>
        <w:pStyle w:val="3"/>
        <w:spacing w:line="360" w:lineRule="auto"/>
      </w:pPr>
      <w:r>
        <w:rPr>
          <w:rFonts w:hint="eastAsia"/>
          <w:color w:val="231F20"/>
          <w:sz w:val="28"/>
          <w:szCs w:val="28"/>
        </w:rPr>
        <w:t>●</w:t>
      </w:r>
      <w:r>
        <w:rPr>
          <w:color w:val="231F20"/>
        </w:rPr>
        <w:t>电子流量控制，分析气路控制稳定</w:t>
      </w:r>
    </w:p>
    <w:p>
      <w:pPr>
        <w:pStyle w:val="3"/>
        <w:spacing w:before="13" w:line="360" w:lineRule="auto"/>
        <w:rPr>
          <w:color w:val="231F20"/>
        </w:rPr>
      </w:pPr>
      <w:r>
        <w:rPr>
          <w:rFonts w:hint="eastAsia"/>
          <w:color w:val="231F20"/>
          <w:sz w:val="28"/>
          <w:szCs w:val="28"/>
        </w:rPr>
        <w:t>●</w:t>
      </w:r>
      <w:r>
        <w:rPr>
          <w:color w:val="231F20"/>
        </w:rPr>
        <w:t>金属氢化物瓶低压供氢，使用安全可靠</w:t>
      </w:r>
    </w:p>
    <w:p>
      <w:pPr>
        <w:pStyle w:val="3"/>
        <w:spacing w:before="13" w:line="360" w:lineRule="auto"/>
        <w:rPr>
          <w:rFonts w:hint="eastAsia"/>
          <w:color w:val="231F20"/>
          <w:sz w:val="28"/>
          <w:szCs w:val="28"/>
        </w:rPr>
      </w:pPr>
      <w:r>
        <w:rPr>
          <w:rFonts w:hint="eastAsia"/>
          <w:color w:val="231F20"/>
          <w:sz w:val="28"/>
          <w:szCs w:val="28"/>
        </w:rPr>
        <w:t>●</w:t>
      </w:r>
      <w:r>
        <w:rPr>
          <w:color w:val="231F20"/>
          <w:spacing w:val="-1"/>
        </w:rPr>
        <w:t>自带工作气瓶与气泵辅助供气，用气量少</w:t>
      </w:r>
    </w:p>
    <w:p>
      <w:pPr>
        <w:pStyle w:val="3"/>
        <w:spacing w:line="360" w:lineRule="auto"/>
      </w:pPr>
      <w:r>
        <w:rPr>
          <w:rFonts w:hint="eastAsia"/>
          <w:color w:val="231F20"/>
          <w:sz w:val="28"/>
          <w:szCs w:val="28"/>
        </w:rPr>
        <w:t>●</w:t>
      </w:r>
      <w:r>
        <w:rPr>
          <w:color w:val="231F20"/>
        </w:rPr>
        <w:t>反吹直测非甲烷总烃原理，2分钟完成测量</w:t>
      </w:r>
    </w:p>
    <w:p>
      <w:pPr>
        <w:pStyle w:val="3"/>
        <w:spacing w:line="360" w:lineRule="auto"/>
        <w:rPr>
          <w:color w:val="231F20"/>
        </w:rPr>
      </w:pPr>
      <w:r>
        <w:rPr>
          <w:rFonts w:hint="eastAsia"/>
          <w:color w:val="231F20"/>
          <w:sz w:val="28"/>
          <w:szCs w:val="28"/>
        </w:rPr>
        <w:t>●</w:t>
      </w:r>
      <w:r>
        <w:rPr>
          <w:color w:val="231F20"/>
        </w:rPr>
        <w:t>内置采样泵，样气采集全程高温伴热，无冷凝</w:t>
      </w:r>
    </w:p>
    <w:p>
      <w:pPr>
        <w:pStyle w:val="3"/>
        <w:spacing w:line="344" w:lineRule="exact"/>
      </w:pPr>
      <w:r>
        <w:rPr>
          <w:rFonts w:hint="eastAsia"/>
          <w:color w:val="231F20"/>
          <w:sz w:val="28"/>
          <w:szCs w:val="28"/>
        </w:rPr>
        <w:t>●</w:t>
      </w:r>
      <w:r>
        <w:rPr>
          <w:color w:val="231F20"/>
        </w:rPr>
        <w:t>配备工业平板电脑，支持主机无线操作，人机交互简单易用</w:t>
      </w:r>
    </w:p>
    <w:p>
      <w:pPr>
        <w:pStyle w:val="3"/>
        <w:spacing w:before="13"/>
        <w:rPr>
          <w:rFonts w:hint="eastAsia"/>
          <w:b/>
          <w:bCs/>
          <w:color w:val="652F71"/>
          <w:sz w:val="24"/>
          <w:szCs w:val="24"/>
          <w:lang w:val="en-US" w:eastAsia="zh-CN"/>
        </w:rPr>
      </w:pPr>
      <w:r>
        <w:rPr>
          <w:rFonts w:hint="eastAsia"/>
          <w:b/>
          <w:bCs/>
          <w:color w:val="652F71"/>
          <w:sz w:val="24"/>
          <w:szCs w:val="24"/>
          <w:lang w:val="en-US" w:eastAsia="zh-CN"/>
        </w:rPr>
        <w:t>技术指标</w:t>
      </w:r>
    </w:p>
    <w:tbl>
      <w:tblPr>
        <w:tblStyle w:val="4"/>
        <w:tblW w:w="8616" w:type="dxa"/>
        <w:jc w:val="center"/>
        <w:tblBorders>
          <w:top w:val="single" w:color="266496" w:sz="6" w:space="0"/>
          <w:left w:val="single" w:color="266496" w:sz="6" w:space="0"/>
          <w:bottom w:val="single" w:color="266496" w:sz="6" w:space="0"/>
          <w:right w:val="single" w:color="266496" w:sz="6" w:space="0"/>
          <w:insideH w:val="single" w:color="266496" w:sz="6" w:space="0"/>
          <w:insideV w:val="single" w:color="266496" w:sz="6" w:space="0"/>
        </w:tblBorders>
        <w:tblLayout w:type="fixed"/>
        <w:tblCellMar>
          <w:top w:w="0" w:type="dxa"/>
          <w:left w:w="0" w:type="dxa"/>
          <w:bottom w:w="0" w:type="dxa"/>
          <w:right w:w="0" w:type="dxa"/>
        </w:tblCellMar>
      </w:tblPr>
      <w:tblGrid>
        <w:gridCol w:w="2725"/>
        <w:gridCol w:w="5891"/>
      </w:tblGrid>
      <w:tr>
        <w:tblPrEx>
          <w:tblBorders>
            <w:top w:val="single" w:color="266496" w:sz="6" w:space="0"/>
            <w:left w:val="single" w:color="266496" w:sz="6" w:space="0"/>
            <w:bottom w:val="single" w:color="266496" w:sz="6" w:space="0"/>
            <w:right w:val="single" w:color="266496" w:sz="6" w:space="0"/>
            <w:insideH w:val="single" w:color="266496" w:sz="6" w:space="0"/>
            <w:insideV w:val="single" w:color="266496" w:sz="6" w:space="0"/>
          </w:tblBorders>
          <w:tblCellMar>
            <w:top w:w="0" w:type="dxa"/>
            <w:left w:w="0" w:type="dxa"/>
            <w:bottom w:w="0" w:type="dxa"/>
            <w:right w:w="0" w:type="dxa"/>
          </w:tblCellMar>
        </w:tblPrEx>
        <w:trPr>
          <w:trHeight w:val="285" w:hRule="atLeast"/>
          <w:jc w:val="center"/>
        </w:trPr>
        <w:tc>
          <w:tcPr>
            <w:tcW w:w="2725" w:type="dxa"/>
          </w:tcPr>
          <w:p>
            <w:pPr>
              <w:pStyle w:val="6"/>
              <w:ind w:firstLine="1000" w:firstLineChars="500"/>
              <w:rPr>
                <w:sz w:val="20"/>
              </w:rPr>
            </w:pPr>
            <w:r>
              <w:rPr>
                <w:color w:val="266496"/>
                <w:sz w:val="20"/>
              </w:rPr>
              <w:t>主要参数</w:t>
            </w:r>
          </w:p>
        </w:tc>
        <w:tc>
          <w:tcPr>
            <w:tcW w:w="5891" w:type="dxa"/>
          </w:tcPr>
          <w:p>
            <w:pPr>
              <w:pStyle w:val="6"/>
              <w:ind w:left="232" w:firstLine="2000" w:firstLineChars="1000"/>
              <w:rPr>
                <w:sz w:val="20"/>
              </w:rPr>
            </w:pPr>
            <w:r>
              <w:rPr>
                <w:color w:val="266496"/>
                <w:sz w:val="20"/>
              </w:rPr>
              <w:t>参数范围</w:t>
            </w:r>
          </w:p>
        </w:tc>
      </w:tr>
      <w:tr>
        <w:tblPrEx>
          <w:tblBorders>
            <w:top w:val="single" w:color="266496" w:sz="6" w:space="0"/>
            <w:left w:val="single" w:color="266496" w:sz="6" w:space="0"/>
            <w:bottom w:val="single" w:color="266496" w:sz="6" w:space="0"/>
            <w:right w:val="single" w:color="266496" w:sz="6" w:space="0"/>
            <w:insideH w:val="single" w:color="266496" w:sz="6" w:space="0"/>
            <w:insideV w:val="single" w:color="266496" w:sz="6" w:space="0"/>
          </w:tblBorders>
          <w:tblCellMar>
            <w:top w:w="0" w:type="dxa"/>
            <w:left w:w="0" w:type="dxa"/>
            <w:bottom w:w="0" w:type="dxa"/>
            <w:right w:w="0" w:type="dxa"/>
          </w:tblCellMar>
        </w:tblPrEx>
        <w:trPr>
          <w:trHeight w:val="283" w:hRule="atLeast"/>
          <w:jc w:val="center"/>
        </w:trPr>
        <w:tc>
          <w:tcPr>
            <w:tcW w:w="2725" w:type="dxa"/>
          </w:tcPr>
          <w:p>
            <w:pPr>
              <w:pStyle w:val="6"/>
              <w:spacing w:line="264" w:lineRule="exact"/>
              <w:jc w:val="center"/>
              <w:rPr>
                <w:sz w:val="18"/>
              </w:rPr>
            </w:pPr>
            <w:r>
              <w:rPr>
                <w:color w:val="231F20"/>
                <w:sz w:val="18"/>
              </w:rPr>
              <w:t>测量范围</w:t>
            </w:r>
          </w:p>
        </w:tc>
        <w:tc>
          <w:tcPr>
            <w:tcW w:w="5891" w:type="dxa"/>
          </w:tcPr>
          <w:p>
            <w:pPr>
              <w:pStyle w:val="6"/>
              <w:spacing w:line="264" w:lineRule="exact"/>
              <w:ind w:left="229"/>
              <w:rPr>
                <w:sz w:val="18"/>
              </w:rPr>
            </w:pPr>
            <w:r>
              <w:rPr>
                <w:color w:val="231F20"/>
                <w:sz w:val="18"/>
              </w:rPr>
              <w:t>非甲烷总烃0～300mg/m3（量程可定制）</w:t>
            </w:r>
          </w:p>
        </w:tc>
      </w:tr>
      <w:tr>
        <w:tblPrEx>
          <w:tblBorders>
            <w:top w:val="single" w:color="266496" w:sz="6" w:space="0"/>
            <w:left w:val="single" w:color="266496" w:sz="6" w:space="0"/>
            <w:bottom w:val="single" w:color="266496" w:sz="6" w:space="0"/>
            <w:right w:val="single" w:color="266496" w:sz="6" w:space="0"/>
            <w:insideH w:val="single" w:color="266496" w:sz="6" w:space="0"/>
            <w:insideV w:val="single" w:color="266496" w:sz="6" w:space="0"/>
          </w:tblBorders>
          <w:tblCellMar>
            <w:top w:w="0" w:type="dxa"/>
            <w:left w:w="0" w:type="dxa"/>
            <w:bottom w:w="0" w:type="dxa"/>
            <w:right w:w="0" w:type="dxa"/>
          </w:tblCellMar>
        </w:tblPrEx>
        <w:trPr>
          <w:trHeight w:val="283" w:hRule="atLeast"/>
          <w:jc w:val="center"/>
        </w:trPr>
        <w:tc>
          <w:tcPr>
            <w:tcW w:w="2725" w:type="dxa"/>
            <w:vAlign w:val="top"/>
          </w:tcPr>
          <w:p>
            <w:pPr>
              <w:pStyle w:val="6"/>
              <w:jc w:val="center"/>
              <w:rPr>
                <w:sz w:val="18"/>
              </w:rPr>
            </w:pPr>
            <w:r>
              <w:rPr>
                <w:color w:val="231F20"/>
                <w:sz w:val="18"/>
              </w:rPr>
              <w:t>方法原理</w:t>
            </w:r>
          </w:p>
        </w:tc>
        <w:tc>
          <w:tcPr>
            <w:tcW w:w="5891" w:type="dxa"/>
          </w:tcPr>
          <w:p>
            <w:pPr>
              <w:pStyle w:val="6"/>
              <w:ind w:left="229"/>
              <w:rPr>
                <w:sz w:val="18"/>
              </w:rPr>
            </w:pPr>
            <w:r>
              <w:rPr>
                <w:color w:val="231F20"/>
                <w:sz w:val="18"/>
              </w:rPr>
              <w:t>GC-FID检测技术</w:t>
            </w:r>
          </w:p>
        </w:tc>
      </w:tr>
      <w:tr>
        <w:tblPrEx>
          <w:tblBorders>
            <w:top w:val="single" w:color="266496" w:sz="6" w:space="0"/>
            <w:left w:val="single" w:color="266496" w:sz="6" w:space="0"/>
            <w:bottom w:val="single" w:color="266496" w:sz="6" w:space="0"/>
            <w:right w:val="single" w:color="266496" w:sz="6" w:space="0"/>
            <w:insideH w:val="single" w:color="266496" w:sz="6" w:space="0"/>
            <w:insideV w:val="single" w:color="266496" w:sz="6" w:space="0"/>
          </w:tblBorders>
          <w:tblCellMar>
            <w:top w:w="0" w:type="dxa"/>
            <w:left w:w="0" w:type="dxa"/>
            <w:bottom w:w="0" w:type="dxa"/>
            <w:right w:w="0" w:type="dxa"/>
          </w:tblCellMar>
        </w:tblPrEx>
        <w:trPr>
          <w:trHeight w:val="283" w:hRule="atLeast"/>
          <w:jc w:val="center"/>
        </w:trPr>
        <w:tc>
          <w:tcPr>
            <w:tcW w:w="2725" w:type="dxa"/>
          </w:tcPr>
          <w:p>
            <w:pPr>
              <w:pStyle w:val="6"/>
              <w:spacing w:line="264" w:lineRule="exact"/>
              <w:jc w:val="center"/>
              <w:rPr>
                <w:sz w:val="18"/>
              </w:rPr>
            </w:pPr>
            <w:r>
              <w:rPr>
                <w:color w:val="231F20"/>
                <w:sz w:val="18"/>
              </w:rPr>
              <w:t>色谱柱</w:t>
            </w:r>
          </w:p>
        </w:tc>
        <w:tc>
          <w:tcPr>
            <w:tcW w:w="5891" w:type="dxa"/>
          </w:tcPr>
          <w:p>
            <w:pPr>
              <w:pStyle w:val="6"/>
              <w:spacing w:line="264" w:lineRule="exact"/>
              <w:ind w:left="209"/>
              <w:rPr>
                <w:sz w:val="18"/>
              </w:rPr>
            </w:pPr>
            <w:r>
              <w:rPr>
                <w:color w:val="231F20"/>
                <w:sz w:val="18"/>
              </w:rPr>
              <w:t>双担体填充柱</w:t>
            </w:r>
          </w:p>
        </w:tc>
      </w:tr>
      <w:tr>
        <w:tblPrEx>
          <w:tblBorders>
            <w:top w:val="single" w:color="266496" w:sz="6" w:space="0"/>
            <w:left w:val="single" w:color="266496" w:sz="6" w:space="0"/>
            <w:bottom w:val="single" w:color="266496" w:sz="6" w:space="0"/>
            <w:right w:val="single" w:color="266496" w:sz="6" w:space="0"/>
            <w:insideH w:val="single" w:color="266496" w:sz="6" w:space="0"/>
            <w:insideV w:val="single" w:color="266496" w:sz="6" w:space="0"/>
          </w:tblBorders>
          <w:tblCellMar>
            <w:top w:w="0" w:type="dxa"/>
            <w:left w:w="0" w:type="dxa"/>
            <w:bottom w:w="0" w:type="dxa"/>
            <w:right w:w="0" w:type="dxa"/>
          </w:tblCellMar>
        </w:tblPrEx>
        <w:trPr>
          <w:trHeight w:val="285" w:hRule="atLeast"/>
          <w:jc w:val="center"/>
        </w:trPr>
        <w:tc>
          <w:tcPr>
            <w:tcW w:w="2725" w:type="dxa"/>
          </w:tcPr>
          <w:p>
            <w:pPr>
              <w:pStyle w:val="6"/>
              <w:jc w:val="center"/>
              <w:rPr>
                <w:sz w:val="18"/>
              </w:rPr>
            </w:pPr>
            <w:r>
              <w:rPr>
                <w:color w:val="231F20"/>
                <w:sz w:val="18"/>
              </w:rPr>
              <w:t>流量控制</w:t>
            </w:r>
          </w:p>
        </w:tc>
        <w:tc>
          <w:tcPr>
            <w:tcW w:w="5891" w:type="dxa"/>
          </w:tcPr>
          <w:p>
            <w:pPr>
              <w:pStyle w:val="6"/>
              <w:ind w:left="176"/>
              <w:rPr>
                <w:sz w:val="18"/>
              </w:rPr>
            </w:pPr>
            <w:r>
              <w:rPr>
                <w:color w:val="231F20"/>
                <w:sz w:val="18"/>
              </w:rPr>
              <w:t>电子流量控制</w:t>
            </w:r>
          </w:p>
        </w:tc>
      </w:tr>
      <w:tr>
        <w:tblPrEx>
          <w:tblBorders>
            <w:top w:val="single" w:color="266496" w:sz="6" w:space="0"/>
            <w:left w:val="single" w:color="266496" w:sz="6" w:space="0"/>
            <w:bottom w:val="single" w:color="266496" w:sz="6" w:space="0"/>
            <w:right w:val="single" w:color="266496" w:sz="6" w:space="0"/>
            <w:insideH w:val="single" w:color="266496" w:sz="6" w:space="0"/>
            <w:insideV w:val="single" w:color="266496" w:sz="6" w:space="0"/>
          </w:tblBorders>
          <w:tblCellMar>
            <w:top w:w="0" w:type="dxa"/>
            <w:left w:w="0" w:type="dxa"/>
            <w:bottom w:w="0" w:type="dxa"/>
            <w:right w:w="0" w:type="dxa"/>
          </w:tblCellMar>
        </w:tblPrEx>
        <w:trPr>
          <w:trHeight w:val="283" w:hRule="atLeast"/>
          <w:jc w:val="center"/>
        </w:trPr>
        <w:tc>
          <w:tcPr>
            <w:tcW w:w="2725" w:type="dxa"/>
          </w:tcPr>
          <w:p>
            <w:pPr>
              <w:pStyle w:val="6"/>
              <w:spacing w:line="264" w:lineRule="exact"/>
              <w:ind w:firstLine="1080" w:firstLineChars="600"/>
              <w:jc w:val="both"/>
              <w:rPr>
                <w:sz w:val="18"/>
              </w:rPr>
            </w:pPr>
            <w:bookmarkStart w:id="0" w:name="_GoBack"/>
            <w:bookmarkEnd w:id="0"/>
            <w:r>
              <w:rPr>
                <w:color w:val="231F20"/>
                <w:sz w:val="18"/>
              </w:rPr>
              <w:t>检出限</w:t>
            </w:r>
          </w:p>
        </w:tc>
        <w:tc>
          <w:tcPr>
            <w:tcW w:w="5891" w:type="dxa"/>
          </w:tcPr>
          <w:p>
            <w:pPr>
              <w:pStyle w:val="6"/>
              <w:spacing w:line="264" w:lineRule="exact"/>
              <w:ind w:left="155"/>
              <w:rPr>
                <w:sz w:val="18"/>
              </w:rPr>
            </w:pPr>
            <w:r>
              <w:rPr>
                <w:color w:val="231F20"/>
                <w:sz w:val="18"/>
              </w:rPr>
              <w:t>≤1.49μmol/mol（0.8mg/m3，以碳计）</w:t>
            </w:r>
          </w:p>
        </w:tc>
      </w:tr>
      <w:tr>
        <w:tblPrEx>
          <w:tblBorders>
            <w:top w:val="single" w:color="266496" w:sz="6" w:space="0"/>
            <w:left w:val="single" w:color="266496" w:sz="6" w:space="0"/>
            <w:bottom w:val="single" w:color="266496" w:sz="6" w:space="0"/>
            <w:right w:val="single" w:color="266496" w:sz="6" w:space="0"/>
            <w:insideH w:val="single" w:color="266496" w:sz="6" w:space="0"/>
            <w:insideV w:val="single" w:color="266496" w:sz="6" w:space="0"/>
          </w:tblBorders>
          <w:tblCellMar>
            <w:top w:w="0" w:type="dxa"/>
            <w:left w:w="0" w:type="dxa"/>
            <w:bottom w:w="0" w:type="dxa"/>
            <w:right w:w="0" w:type="dxa"/>
          </w:tblCellMar>
        </w:tblPrEx>
        <w:trPr>
          <w:trHeight w:val="285" w:hRule="atLeast"/>
          <w:jc w:val="center"/>
        </w:trPr>
        <w:tc>
          <w:tcPr>
            <w:tcW w:w="2725" w:type="dxa"/>
          </w:tcPr>
          <w:p>
            <w:pPr>
              <w:pStyle w:val="6"/>
              <w:jc w:val="center"/>
              <w:rPr>
                <w:sz w:val="18"/>
              </w:rPr>
            </w:pPr>
            <w:r>
              <w:rPr>
                <w:color w:val="231F20"/>
                <w:sz w:val="18"/>
              </w:rPr>
              <w:t>重复性</w:t>
            </w:r>
          </w:p>
        </w:tc>
        <w:tc>
          <w:tcPr>
            <w:tcW w:w="5891" w:type="dxa"/>
          </w:tcPr>
          <w:p>
            <w:pPr>
              <w:pStyle w:val="6"/>
              <w:ind w:left="209"/>
              <w:rPr>
                <w:sz w:val="18"/>
              </w:rPr>
            </w:pPr>
            <w:r>
              <w:rPr>
                <w:color w:val="231F20"/>
                <w:sz w:val="18"/>
              </w:rPr>
              <w:t>RSD≤2.0%</w:t>
            </w:r>
          </w:p>
        </w:tc>
      </w:tr>
      <w:tr>
        <w:tblPrEx>
          <w:tblBorders>
            <w:top w:val="single" w:color="266496" w:sz="6" w:space="0"/>
            <w:left w:val="single" w:color="266496" w:sz="6" w:space="0"/>
            <w:bottom w:val="single" w:color="266496" w:sz="6" w:space="0"/>
            <w:right w:val="single" w:color="266496" w:sz="6" w:space="0"/>
            <w:insideH w:val="single" w:color="266496" w:sz="6" w:space="0"/>
            <w:insideV w:val="single" w:color="266496" w:sz="6" w:space="0"/>
          </w:tblBorders>
          <w:tblCellMar>
            <w:top w:w="0" w:type="dxa"/>
            <w:left w:w="0" w:type="dxa"/>
            <w:bottom w:w="0" w:type="dxa"/>
            <w:right w:w="0" w:type="dxa"/>
          </w:tblCellMar>
        </w:tblPrEx>
        <w:trPr>
          <w:trHeight w:val="283" w:hRule="atLeast"/>
          <w:jc w:val="center"/>
        </w:trPr>
        <w:tc>
          <w:tcPr>
            <w:tcW w:w="2725" w:type="dxa"/>
          </w:tcPr>
          <w:p>
            <w:pPr>
              <w:pStyle w:val="6"/>
              <w:spacing w:line="264" w:lineRule="exact"/>
              <w:jc w:val="center"/>
              <w:rPr>
                <w:sz w:val="18"/>
              </w:rPr>
            </w:pPr>
            <w:r>
              <w:rPr>
                <w:color w:val="231F20"/>
                <w:sz w:val="18"/>
              </w:rPr>
              <w:t>线性误差</w:t>
            </w:r>
          </w:p>
        </w:tc>
        <w:tc>
          <w:tcPr>
            <w:tcW w:w="5891" w:type="dxa"/>
          </w:tcPr>
          <w:p>
            <w:pPr>
              <w:pStyle w:val="6"/>
              <w:spacing w:line="264" w:lineRule="exact"/>
              <w:ind w:left="176"/>
              <w:rPr>
                <w:sz w:val="18"/>
              </w:rPr>
            </w:pPr>
            <w:r>
              <w:rPr>
                <w:color w:val="231F20"/>
                <w:sz w:val="18"/>
              </w:rPr>
              <w:t>不超过±2%</w:t>
            </w:r>
          </w:p>
        </w:tc>
      </w:tr>
      <w:tr>
        <w:tblPrEx>
          <w:tblBorders>
            <w:top w:val="single" w:color="266496" w:sz="6" w:space="0"/>
            <w:left w:val="single" w:color="266496" w:sz="6" w:space="0"/>
            <w:bottom w:val="single" w:color="266496" w:sz="6" w:space="0"/>
            <w:right w:val="single" w:color="266496" w:sz="6" w:space="0"/>
            <w:insideH w:val="single" w:color="266496" w:sz="6" w:space="0"/>
            <w:insideV w:val="single" w:color="266496" w:sz="6" w:space="0"/>
          </w:tblBorders>
          <w:tblCellMar>
            <w:top w:w="0" w:type="dxa"/>
            <w:left w:w="0" w:type="dxa"/>
            <w:bottom w:w="0" w:type="dxa"/>
            <w:right w:w="0" w:type="dxa"/>
          </w:tblCellMar>
        </w:tblPrEx>
        <w:trPr>
          <w:trHeight w:val="285" w:hRule="atLeast"/>
          <w:jc w:val="center"/>
        </w:trPr>
        <w:tc>
          <w:tcPr>
            <w:tcW w:w="2725" w:type="dxa"/>
          </w:tcPr>
          <w:p>
            <w:pPr>
              <w:pStyle w:val="6"/>
              <w:jc w:val="center"/>
              <w:rPr>
                <w:sz w:val="18"/>
              </w:rPr>
            </w:pPr>
            <w:r>
              <w:rPr>
                <w:color w:val="231F20"/>
                <w:sz w:val="18"/>
              </w:rPr>
              <w:t>分析周期</w:t>
            </w:r>
          </w:p>
        </w:tc>
        <w:tc>
          <w:tcPr>
            <w:tcW w:w="5891" w:type="dxa"/>
          </w:tcPr>
          <w:p>
            <w:pPr>
              <w:pStyle w:val="6"/>
              <w:ind w:left="176"/>
              <w:rPr>
                <w:sz w:val="18"/>
              </w:rPr>
            </w:pPr>
            <w:r>
              <w:rPr>
                <w:color w:val="231F20"/>
                <w:sz w:val="18"/>
              </w:rPr>
              <w:t>≤2min</w:t>
            </w:r>
          </w:p>
        </w:tc>
      </w:tr>
      <w:tr>
        <w:tblPrEx>
          <w:tblBorders>
            <w:top w:val="single" w:color="266496" w:sz="6" w:space="0"/>
            <w:left w:val="single" w:color="266496" w:sz="6" w:space="0"/>
            <w:bottom w:val="single" w:color="266496" w:sz="6" w:space="0"/>
            <w:right w:val="single" w:color="266496" w:sz="6" w:space="0"/>
            <w:insideH w:val="single" w:color="266496" w:sz="6" w:space="0"/>
            <w:insideV w:val="single" w:color="266496" w:sz="6" w:space="0"/>
          </w:tblBorders>
          <w:tblCellMar>
            <w:top w:w="0" w:type="dxa"/>
            <w:left w:w="0" w:type="dxa"/>
            <w:bottom w:w="0" w:type="dxa"/>
            <w:right w:w="0" w:type="dxa"/>
          </w:tblCellMar>
        </w:tblPrEx>
        <w:trPr>
          <w:trHeight w:val="285" w:hRule="atLeast"/>
          <w:jc w:val="center"/>
        </w:trPr>
        <w:tc>
          <w:tcPr>
            <w:tcW w:w="2725" w:type="dxa"/>
          </w:tcPr>
          <w:p>
            <w:pPr>
              <w:pStyle w:val="6"/>
              <w:jc w:val="center"/>
              <w:rPr>
                <w:sz w:val="18"/>
              </w:rPr>
            </w:pPr>
            <w:r>
              <w:rPr>
                <w:color w:val="231F20"/>
                <w:sz w:val="18"/>
              </w:rPr>
              <w:t>显示</w:t>
            </w:r>
          </w:p>
        </w:tc>
        <w:tc>
          <w:tcPr>
            <w:tcW w:w="5891" w:type="dxa"/>
          </w:tcPr>
          <w:p>
            <w:pPr>
              <w:pStyle w:val="6"/>
              <w:ind w:left="189"/>
              <w:rPr>
                <w:sz w:val="18"/>
              </w:rPr>
            </w:pPr>
            <w:r>
              <w:rPr>
                <w:color w:val="231F20"/>
                <w:sz w:val="18"/>
              </w:rPr>
              <w:t>8寸工业平板电脑</w:t>
            </w:r>
          </w:p>
        </w:tc>
      </w:tr>
      <w:tr>
        <w:tblPrEx>
          <w:tblBorders>
            <w:top w:val="single" w:color="266496" w:sz="6" w:space="0"/>
            <w:left w:val="single" w:color="266496" w:sz="6" w:space="0"/>
            <w:bottom w:val="single" w:color="266496" w:sz="6" w:space="0"/>
            <w:right w:val="single" w:color="266496" w:sz="6" w:space="0"/>
            <w:insideH w:val="single" w:color="266496" w:sz="6" w:space="0"/>
            <w:insideV w:val="single" w:color="266496" w:sz="6" w:space="0"/>
          </w:tblBorders>
          <w:tblCellMar>
            <w:top w:w="0" w:type="dxa"/>
            <w:left w:w="0" w:type="dxa"/>
            <w:bottom w:w="0" w:type="dxa"/>
            <w:right w:w="0" w:type="dxa"/>
          </w:tblCellMar>
        </w:tblPrEx>
        <w:trPr>
          <w:trHeight w:val="283" w:hRule="atLeast"/>
          <w:jc w:val="center"/>
        </w:trPr>
        <w:tc>
          <w:tcPr>
            <w:tcW w:w="2725" w:type="dxa"/>
          </w:tcPr>
          <w:p>
            <w:pPr>
              <w:pStyle w:val="6"/>
              <w:spacing w:line="264" w:lineRule="exact"/>
              <w:jc w:val="center"/>
              <w:rPr>
                <w:sz w:val="18"/>
              </w:rPr>
            </w:pPr>
            <w:r>
              <w:rPr>
                <w:color w:val="231F20"/>
                <w:sz w:val="18"/>
              </w:rPr>
              <w:t>气瓶续航</w:t>
            </w:r>
          </w:p>
        </w:tc>
        <w:tc>
          <w:tcPr>
            <w:tcW w:w="5891" w:type="dxa"/>
          </w:tcPr>
          <w:p>
            <w:pPr>
              <w:pStyle w:val="6"/>
              <w:spacing w:line="264" w:lineRule="exact"/>
              <w:ind w:left="176"/>
              <w:rPr>
                <w:sz w:val="18"/>
              </w:rPr>
            </w:pPr>
            <w:r>
              <w:rPr>
                <w:color w:val="231F20"/>
                <w:sz w:val="18"/>
              </w:rPr>
              <w:t>5~8h连续使用</w:t>
            </w:r>
          </w:p>
        </w:tc>
      </w:tr>
      <w:tr>
        <w:tblPrEx>
          <w:tblBorders>
            <w:top w:val="single" w:color="266496" w:sz="6" w:space="0"/>
            <w:left w:val="single" w:color="266496" w:sz="6" w:space="0"/>
            <w:bottom w:val="single" w:color="266496" w:sz="6" w:space="0"/>
            <w:right w:val="single" w:color="266496" w:sz="6" w:space="0"/>
            <w:insideH w:val="single" w:color="266496" w:sz="6" w:space="0"/>
            <w:insideV w:val="single" w:color="266496" w:sz="6" w:space="0"/>
          </w:tblBorders>
          <w:tblCellMar>
            <w:top w:w="0" w:type="dxa"/>
            <w:left w:w="0" w:type="dxa"/>
            <w:bottom w:w="0" w:type="dxa"/>
            <w:right w:w="0" w:type="dxa"/>
          </w:tblCellMar>
        </w:tblPrEx>
        <w:trPr>
          <w:trHeight w:val="285" w:hRule="atLeast"/>
          <w:jc w:val="center"/>
        </w:trPr>
        <w:tc>
          <w:tcPr>
            <w:tcW w:w="2725" w:type="dxa"/>
          </w:tcPr>
          <w:p>
            <w:pPr>
              <w:pStyle w:val="6"/>
              <w:jc w:val="center"/>
              <w:rPr>
                <w:sz w:val="18"/>
              </w:rPr>
            </w:pPr>
            <w:r>
              <w:rPr>
                <w:color w:val="231F20"/>
                <w:sz w:val="18"/>
              </w:rPr>
              <w:t>工作温度</w:t>
            </w:r>
          </w:p>
        </w:tc>
        <w:tc>
          <w:tcPr>
            <w:tcW w:w="5891" w:type="dxa"/>
          </w:tcPr>
          <w:p>
            <w:pPr>
              <w:pStyle w:val="6"/>
              <w:ind w:left="176"/>
              <w:rPr>
                <w:sz w:val="18"/>
              </w:rPr>
            </w:pPr>
            <w:r>
              <w:rPr>
                <w:color w:val="231F20"/>
                <w:sz w:val="18"/>
              </w:rPr>
              <w:t>0~40℃</w:t>
            </w:r>
          </w:p>
        </w:tc>
      </w:tr>
      <w:tr>
        <w:tblPrEx>
          <w:tblBorders>
            <w:top w:val="single" w:color="266496" w:sz="6" w:space="0"/>
            <w:left w:val="single" w:color="266496" w:sz="6" w:space="0"/>
            <w:bottom w:val="single" w:color="266496" w:sz="6" w:space="0"/>
            <w:right w:val="single" w:color="266496" w:sz="6" w:space="0"/>
            <w:insideH w:val="single" w:color="266496" w:sz="6" w:space="0"/>
            <w:insideV w:val="single" w:color="266496" w:sz="6" w:space="0"/>
          </w:tblBorders>
          <w:tblCellMar>
            <w:top w:w="0" w:type="dxa"/>
            <w:left w:w="0" w:type="dxa"/>
            <w:bottom w:w="0" w:type="dxa"/>
            <w:right w:w="0" w:type="dxa"/>
          </w:tblCellMar>
        </w:tblPrEx>
        <w:trPr>
          <w:trHeight w:val="283" w:hRule="atLeast"/>
          <w:jc w:val="center"/>
        </w:trPr>
        <w:tc>
          <w:tcPr>
            <w:tcW w:w="2725" w:type="dxa"/>
          </w:tcPr>
          <w:p>
            <w:pPr>
              <w:pStyle w:val="6"/>
              <w:spacing w:line="264" w:lineRule="exact"/>
              <w:jc w:val="center"/>
              <w:rPr>
                <w:sz w:val="18"/>
              </w:rPr>
            </w:pPr>
            <w:r>
              <w:rPr>
                <w:color w:val="231F20"/>
                <w:sz w:val="18"/>
              </w:rPr>
              <w:t>采样</w:t>
            </w:r>
          </w:p>
        </w:tc>
        <w:tc>
          <w:tcPr>
            <w:tcW w:w="5891" w:type="dxa"/>
          </w:tcPr>
          <w:p>
            <w:pPr>
              <w:pStyle w:val="6"/>
              <w:spacing w:line="264" w:lineRule="exact"/>
              <w:ind w:left="189"/>
              <w:rPr>
                <w:sz w:val="18"/>
              </w:rPr>
            </w:pPr>
            <w:r>
              <w:rPr>
                <w:color w:val="231F20"/>
                <w:sz w:val="18"/>
              </w:rPr>
              <w:t>两级过滤（5μm、0.5μm）</w:t>
            </w:r>
          </w:p>
        </w:tc>
      </w:tr>
      <w:tr>
        <w:tblPrEx>
          <w:tblBorders>
            <w:top w:val="single" w:color="266496" w:sz="6" w:space="0"/>
            <w:left w:val="single" w:color="266496" w:sz="6" w:space="0"/>
            <w:bottom w:val="single" w:color="266496" w:sz="6" w:space="0"/>
            <w:right w:val="single" w:color="266496" w:sz="6" w:space="0"/>
            <w:insideH w:val="single" w:color="266496" w:sz="6" w:space="0"/>
            <w:insideV w:val="single" w:color="266496" w:sz="6" w:space="0"/>
          </w:tblBorders>
          <w:tblCellMar>
            <w:top w:w="0" w:type="dxa"/>
            <w:left w:w="0" w:type="dxa"/>
            <w:bottom w:w="0" w:type="dxa"/>
            <w:right w:w="0" w:type="dxa"/>
          </w:tblCellMar>
        </w:tblPrEx>
        <w:trPr>
          <w:trHeight w:val="285" w:hRule="atLeast"/>
          <w:jc w:val="center"/>
        </w:trPr>
        <w:tc>
          <w:tcPr>
            <w:tcW w:w="2725" w:type="dxa"/>
          </w:tcPr>
          <w:p>
            <w:pPr>
              <w:pStyle w:val="6"/>
              <w:jc w:val="center"/>
              <w:rPr>
                <w:sz w:val="18"/>
              </w:rPr>
            </w:pPr>
            <w:r>
              <w:rPr>
                <w:color w:val="231F20"/>
                <w:sz w:val="18"/>
              </w:rPr>
              <w:t>电源</w:t>
            </w:r>
          </w:p>
        </w:tc>
        <w:tc>
          <w:tcPr>
            <w:tcW w:w="5891" w:type="dxa"/>
          </w:tcPr>
          <w:p>
            <w:pPr>
              <w:pStyle w:val="6"/>
              <w:ind w:left="189"/>
              <w:rPr>
                <w:sz w:val="18"/>
              </w:rPr>
            </w:pPr>
            <w:r>
              <w:rPr>
                <w:color w:val="231F20"/>
                <w:sz w:val="18"/>
              </w:rPr>
              <w:t>220V，400W（冷机预热），200W（运行）</w:t>
            </w:r>
          </w:p>
        </w:tc>
      </w:tr>
      <w:tr>
        <w:tblPrEx>
          <w:tblBorders>
            <w:top w:val="single" w:color="266496" w:sz="6" w:space="0"/>
            <w:left w:val="single" w:color="266496" w:sz="6" w:space="0"/>
            <w:bottom w:val="single" w:color="266496" w:sz="6" w:space="0"/>
            <w:right w:val="single" w:color="266496" w:sz="6" w:space="0"/>
            <w:insideH w:val="single" w:color="266496" w:sz="6" w:space="0"/>
            <w:insideV w:val="single" w:color="266496" w:sz="6" w:space="0"/>
          </w:tblBorders>
          <w:tblCellMar>
            <w:top w:w="0" w:type="dxa"/>
            <w:left w:w="0" w:type="dxa"/>
            <w:bottom w:w="0" w:type="dxa"/>
            <w:right w:w="0" w:type="dxa"/>
          </w:tblCellMar>
        </w:tblPrEx>
        <w:trPr>
          <w:trHeight w:val="883" w:hRule="atLeast"/>
          <w:jc w:val="center"/>
        </w:trPr>
        <w:tc>
          <w:tcPr>
            <w:tcW w:w="2725" w:type="dxa"/>
          </w:tcPr>
          <w:p>
            <w:pPr>
              <w:pStyle w:val="6"/>
              <w:spacing w:line="309" w:lineRule="exact"/>
              <w:jc w:val="center"/>
              <w:rPr>
                <w:sz w:val="18"/>
              </w:rPr>
            </w:pPr>
            <w:r>
              <w:rPr>
                <w:color w:val="231F20"/>
                <w:sz w:val="18"/>
              </w:rPr>
              <w:t>尺寸</w:t>
            </w:r>
          </w:p>
        </w:tc>
        <w:tc>
          <w:tcPr>
            <w:tcW w:w="5891" w:type="dxa"/>
          </w:tcPr>
          <w:p>
            <w:pPr>
              <w:pStyle w:val="6"/>
              <w:spacing w:before="1" w:line="216" w:lineRule="auto"/>
              <w:ind w:left="202" w:right="2206" w:hanging="13"/>
              <w:rPr>
                <w:sz w:val="18"/>
              </w:rPr>
            </w:pPr>
            <w:r>
              <w:rPr>
                <w:color w:val="231F20"/>
                <w:sz w:val="18"/>
              </w:rPr>
              <w:t>便携主机箱470mm（W）*365mm（D）*190mm（H） 便携气瓶箱470mm（W）*365mm（D）*190mm（H）</w:t>
            </w:r>
          </w:p>
          <w:p>
            <w:pPr>
              <w:pStyle w:val="6"/>
              <w:ind w:left="202"/>
              <w:rPr>
                <w:sz w:val="18"/>
              </w:rPr>
            </w:pPr>
            <w:r>
              <w:rPr>
                <w:color w:val="231F20"/>
                <w:sz w:val="18"/>
              </w:rPr>
              <w:t>便携探头包200mm（W）*130mm（D）*1000mm（H）</w:t>
            </w:r>
          </w:p>
        </w:tc>
      </w:tr>
      <w:tr>
        <w:tblPrEx>
          <w:tblBorders>
            <w:top w:val="single" w:color="266496" w:sz="6" w:space="0"/>
            <w:left w:val="single" w:color="266496" w:sz="6" w:space="0"/>
            <w:bottom w:val="single" w:color="266496" w:sz="6" w:space="0"/>
            <w:right w:val="single" w:color="266496" w:sz="6" w:space="0"/>
            <w:insideH w:val="single" w:color="266496" w:sz="6" w:space="0"/>
            <w:insideV w:val="single" w:color="266496" w:sz="6" w:space="0"/>
          </w:tblBorders>
          <w:tblCellMar>
            <w:top w:w="0" w:type="dxa"/>
            <w:left w:w="0" w:type="dxa"/>
            <w:bottom w:w="0" w:type="dxa"/>
            <w:right w:w="0" w:type="dxa"/>
          </w:tblCellMar>
        </w:tblPrEx>
        <w:trPr>
          <w:trHeight w:val="285" w:hRule="atLeast"/>
          <w:jc w:val="center"/>
        </w:trPr>
        <w:tc>
          <w:tcPr>
            <w:tcW w:w="2725" w:type="dxa"/>
          </w:tcPr>
          <w:p>
            <w:pPr>
              <w:pStyle w:val="6"/>
              <w:jc w:val="center"/>
              <w:rPr>
                <w:sz w:val="18"/>
              </w:rPr>
            </w:pPr>
            <w:r>
              <w:rPr>
                <w:color w:val="231F20"/>
                <w:sz w:val="18"/>
              </w:rPr>
              <w:t>重量</w:t>
            </w:r>
          </w:p>
        </w:tc>
        <w:tc>
          <w:tcPr>
            <w:tcW w:w="5891" w:type="dxa"/>
          </w:tcPr>
          <w:p>
            <w:pPr>
              <w:pStyle w:val="6"/>
              <w:ind w:left="242"/>
              <w:rPr>
                <w:sz w:val="18"/>
              </w:rPr>
            </w:pPr>
            <w:r>
              <w:rPr>
                <w:color w:val="231F20"/>
                <w:sz w:val="18"/>
              </w:rPr>
              <w:t>约12kg</w:t>
            </w:r>
          </w:p>
        </w:tc>
      </w:tr>
    </w:tbl>
    <w:p>
      <w:pPr>
        <w:pStyle w:val="3"/>
        <w:rPr>
          <w:rFonts w:hint="eastAsia"/>
        </w:rPr>
      </w:pPr>
    </w:p>
    <w:p>
      <w:pPr>
        <w:bidi w:val="0"/>
        <w:jc w:val="left"/>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时尚中黑简体">
    <w:altName w:val="黑体"/>
    <w:panose1 w:val="01010104010101010101"/>
    <w:charset w:val="86"/>
    <w:family w:val="auto"/>
    <w:pitch w:val="default"/>
    <w:sig w:usb0="00000000" w:usb1="00000000" w:usb2="00000012"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46059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微软雅黑" w:hAnsi="微软雅黑" w:eastAsia="微软雅黑" w:cs="微软雅黑"/>
      <w:sz w:val="22"/>
      <w:szCs w:val="22"/>
      <w:lang w:val="zh-CN" w:eastAsia="zh-CN" w:bidi="zh-CN"/>
    </w:rPr>
  </w:style>
  <w:style w:type="paragraph" w:styleId="2">
    <w:name w:val="heading 1"/>
    <w:basedOn w:val="1"/>
    <w:next w:val="1"/>
    <w:qFormat/>
    <w:uiPriority w:val="1"/>
    <w:pPr>
      <w:spacing w:line="670" w:lineRule="exact"/>
      <w:ind w:left="963"/>
      <w:outlineLvl w:val="1"/>
    </w:pPr>
    <w:rPr>
      <w:rFonts w:ascii="时尚中黑简体" w:hAnsi="时尚中黑简体" w:eastAsia="时尚中黑简体" w:cs="时尚中黑简体"/>
      <w:sz w:val="53"/>
      <w:szCs w:val="53"/>
      <w:lang w:val="zh-CN" w:eastAsia="zh-CN" w:bidi="zh-CN"/>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微软雅黑" w:hAnsi="微软雅黑" w:eastAsia="微软雅黑" w:cs="微软雅黑"/>
      <w:sz w:val="20"/>
      <w:szCs w:val="20"/>
      <w:lang w:val="zh-CN" w:eastAsia="zh-CN" w:bidi="zh-CN"/>
    </w:rPr>
  </w:style>
  <w:style w:type="paragraph" w:customStyle="1" w:styleId="6">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2021-05-17T02:59:08Z</dcterms:created>
  <dc:creator>SYK</dc:creator>
  <cp:lastModifiedBy>国瑞力恒环保</cp:lastModifiedBy>
  <dcterms:modified xsi:type="dcterms:W3CDTF">2021-05-17T03:11:07Z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824E3340F2ED49B38802D3EF38158FB4</vt:lpwstr>
  </property>
</Properties>
</file>