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eastAsia="宋体" w:cs="Times New Roman"/>
          <w:bCs/>
          <w:color w:val="auto"/>
          <w:szCs w:val="32"/>
          <w:highlight w:val="none"/>
        </w:rPr>
      </w:pPr>
      <w:r>
        <w:rPr>
          <w:rFonts w:hint="eastAsia" w:ascii="Times New Roman" w:hAnsi="Times New Roman" w:eastAsia="宋体" w:cs="Times New Roman"/>
          <w:b/>
          <w:color w:val="auto"/>
          <w:sz w:val="44"/>
          <w:highlight w:val="none"/>
        </w:rPr>
        <w:drawing>
          <wp:anchor distT="0" distB="0" distL="114300" distR="114300" simplePos="0" relativeHeight="251659264" behindDoc="1" locked="0" layoutInCell="1" allowOverlap="1">
            <wp:simplePos x="0" y="0"/>
            <wp:positionH relativeFrom="column">
              <wp:posOffset>4242435</wp:posOffset>
            </wp:positionH>
            <wp:positionV relativeFrom="paragraph">
              <wp:posOffset>31115</wp:posOffset>
            </wp:positionV>
            <wp:extent cx="1628775" cy="600075"/>
            <wp:effectExtent l="0" t="0" r="9525" b="9525"/>
            <wp:wrapTight wrapText="bothSides">
              <wp:wrapPolygon>
                <wp:start x="0" y="0"/>
                <wp:lineTo x="0" y="21257"/>
                <wp:lineTo x="21474" y="21257"/>
                <wp:lineTo x="21474" y="0"/>
                <wp:lineTo x="0" y="0"/>
              </wp:wrapPolygon>
            </wp:wrapTight>
            <wp:docPr id="1"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无标题"/>
                    <pic:cNvPicPr>
                      <a:picLocks noChangeAspect="1"/>
                    </pic:cNvPicPr>
                  </pic:nvPicPr>
                  <pic:blipFill>
                    <a:blip r:embed="rId7"/>
                    <a:stretch>
                      <a:fillRect/>
                    </a:stretch>
                  </pic:blipFill>
                  <pic:spPr>
                    <a:xfrm>
                      <a:off x="0" y="0"/>
                      <a:ext cx="1628775" cy="600075"/>
                    </a:xfrm>
                    <a:prstGeom prst="rect">
                      <a:avLst/>
                    </a:prstGeom>
                    <a:noFill/>
                    <a:ln>
                      <a:noFill/>
                    </a:ln>
                  </pic:spPr>
                </pic:pic>
              </a:graphicData>
            </a:graphic>
          </wp:anchor>
        </w:drawing>
      </w:r>
      <w:r>
        <w:rPr>
          <w:rFonts w:hint="eastAsia" w:ascii="宋体" w:hAnsi="宋体" w:eastAsia="宋体" w:cs="Times New Roman"/>
          <w:b/>
          <w:color w:val="auto"/>
          <w:sz w:val="32"/>
          <w:szCs w:val="32"/>
          <w:highlight w:val="none"/>
        </w:rPr>
        <w:t xml:space="preserve">                                           </w:t>
      </w:r>
    </w:p>
    <w:p>
      <w:pPr>
        <w:ind w:right="-281"/>
        <w:jc w:val="right"/>
        <w:rPr>
          <w:rFonts w:ascii="Bookman Old Style" w:hAnsi="Bookman Old Style" w:eastAsia="宋体" w:cs="Times New Roman"/>
          <w:b/>
          <w:color w:val="auto"/>
          <w:sz w:val="28"/>
          <w:highlight w:val="none"/>
        </w:rPr>
      </w:pPr>
    </w:p>
    <w:p>
      <w:pPr>
        <w:spacing w:after="312" w:afterLines="100" w:line="500" w:lineRule="exact"/>
        <w:jc w:val="center"/>
        <w:rPr>
          <w:rFonts w:hint="eastAsia" w:ascii="Times New Roman" w:hAnsi="Times New Roman" w:eastAsia="宋体" w:cs="Times New Roman"/>
          <w:b/>
          <w:color w:val="auto"/>
          <w:sz w:val="44"/>
          <w:szCs w:val="44"/>
          <w:highlight w:val="none"/>
        </w:rPr>
      </w:pPr>
    </w:p>
    <w:p>
      <w:pPr>
        <w:spacing w:after="312" w:afterLines="100" w:line="500" w:lineRule="exact"/>
        <w:jc w:val="center"/>
        <w:rPr>
          <w:rFonts w:hint="eastAsia" w:ascii="Times New Roman" w:hAnsi="Times New Roman" w:eastAsia="宋体" w:cs="Times New Roman"/>
          <w:b/>
          <w:color w:val="auto"/>
          <w:sz w:val="52"/>
          <w:szCs w:val="52"/>
          <w:highlight w:val="none"/>
        </w:rPr>
      </w:pPr>
    </w:p>
    <w:p>
      <w:pPr>
        <w:spacing w:after="312" w:afterLines="100" w:line="500" w:lineRule="exact"/>
        <w:jc w:val="center"/>
        <w:rPr>
          <w:rFonts w:hint="eastAsia" w:ascii="Times New Roman" w:hAnsi="Times New Roman" w:eastAsia="宋体" w:cs="Times New Roman"/>
          <w:b/>
          <w:color w:val="auto"/>
          <w:sz w:val="52"/>
          <w:szCs w:val="52"/>
          <w:highlight w:val="none"/>
        </w:rPr>
      </w:pPr>
      <w:r>
        <w:rPr>
          <w:rFonts w:hint="eastAsia" w:ascii="Times New Roman" w:hAnsi="Times New Roman" w:eastAsia="宋体" w:cs="Times New Roman"/>
          <w:b/>
          <w:color w:val="auto"/>
          <w:sz w:val="52"/>
          <w:szCs w:val="52"/>
          <w:highlight w:val="none"/>
        </w:rPr>
        <w:t>中国科学院分子植物科学卓越创新中心</w:t>
      </w:r>
      <w:r>
        <w:rPr>
          <w:rFonts w:hint="eastAsia" w:ascii="Times New Roman" w:hAnsi="Times New Roman" w:eastAsia="宋体" w:cs="Times New Roman"/>
          <w:b/>
          <w:color w:val="auto"/>
          <w:sz w:val="52"/>
          <w:szCs w:val="52"/>
          <w:highlight w:val="none"/>
          <w:u w:val="single"/>
        </w:rPr>
        <w:t>离子淌度四级杆飞行时间质谱</w:t>
      </w:r>
      <w:r>
        <w:rPr>
          <w:rFonts w:hint="eastAsia" w:ascii="Times New Roman" w:hAnsi="Times New Roman" w:eastAsia="宋体" w:cs="Times New Roman"/>
          <w:b/>
          <w:color w:val="auto"/>
          <w:sz w:val="52"/>
          <w:szCs w:val="52"/>
          <w:highlight w:val="none"/>
        </w:rPr>
        <w:t>采购项目</w:t>
      </w:r>
    </w:p>
    <w:p>
      <w:pPr>
        <w:spacing w:line="360" w:lineRule="auto"/>
        <w:jc w:val="center"/>
        <w:rPr>
          <w:rFonts w:hint="eastAsia" w:ascii="Times New Roman" w:hAnsi="Times New Roman" w:eastAsia="宋体" w:cs="Times New Roman"/>
          <w:b/>
          <w:color w:val="auto"/>
          <w:sz w:val="44"/>
          <w:highlight w:val="none"/>
        </w:rPr>
      </w:pPr>
    </w:p>
    <w:p>
      <w:pPr>
        <w:spacing w:line="360" w:lineRule="auto"/>
        <w:rPr>
          <w:rFonts w:hint="eastAsia" w:ascii="Times New Roman" w:hAnsi="Times New Roman" w:eastAsia="宋体" w:cs="Times New Roman"/>
          <w:b/>
          <w:color w:val="auto"/>
          <w:sz w:val="44"/>
          <w:highlight w:val="none"/>
        </w:rPr>
      </w:pPr>
    </w:p>
    <w:p>
      <w:pPr>
        <w:spacing w:line="360"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 w:val="72"/>
          <w:szCs w:val="52"/>
          <w:highlight w:val="none"/>
        </w:rPr>
        <w:t>招</w:t>
      </w:r>
      <w:r>
        <w:rPr>
          <w:rFonts w:ascii="宋体" w:hAnsi="宋体" w:eastAsia="宋体" w:cs="Times New Roman"/>
          <w:b/>
          <w:color w:val="auto"/>
          <w:sz w:val="72"/>
          <w:szCs w:val="52"/>
          <w:highlight w:val="none"/>
        </w:rPr>
        <w:t xml:space="preserve">  </w:t>
      </w:r>
      <w:r>
        <w:rPr>
          <w:rFonts w:hint="eastAsia" w:ascii="宋体" w:hAnsi="宋体" w:eastAsia="宋体" w:cs="Times New Roman"/>
          <w:b/>
          <w:color w:val="auto"/>
          <w:sz w:val="72"/>
          <w:szCs w:val="52"/>
          <w:highlight w:val="none"/>
        </w:rPr>
        <w:t>标</w:t>
      </w:r>
      <w:r>
        <w:rPr>
          <w:rFonts w:ascii="宋体" w:hAnsi="宋体" w:eastAsia="宋体" w:cs="Times New Roman"/>
          <w:b/>
          <w:color w:val="auto"/>
          <w:sz w:val="72"/>
          <w:szCs w:val="52"/>
          <w:highlight w:val="none"/>
        </w:rPr>
        <w:t xml:space="preserve">  </w:t>
      </w:r>
      <w:r>
        <w:rPr>
          <w:rFonts w:hint="eastAsia" w:ascii="宋体" w:hAnsi="宋体" w:eastAsia="宋体" w:cs="Times New Roman"/>
          <w:b/>
          <w:color w:val="auto"/>
          <w:sz w:val="72"/>
          <w:szCs w:val="52"/>
          <w:highlight w:val="none"/>
        </w:rPr>
        <w:t>文</w:t>
      </w:r>
      <w:r>
        <w:rPr>
          <w:rFonts w:ascii="宋体" w:hAnsi="宋体" w:eastAsia="宋体" w:cs="Times New Roman"/>
          <w:b/>
          <w:color w:val="auto"/>
          <w:sz w:val="72"/>
          <w:szCs w:val="52"/>
          <w:highlight w:val="none"/>
        </w:rPr>
        <w:t xml:space="preserve">  </w:t>
      </w:r>
      <w:r>
        <w:rPr>
          <w:rFonts w:hint="eastAsia" w:ascii="宋体" w:hAnsi="宋体" w:eastAsia="宋体" w:cs="Times New Roman"/>
          <w:b/>
          <w:color w:val="auto"/>
          <w:sz w:val="72"/>
          <w:szCs w:val="52"/>
          <w:highlight w:val="none"/>
        </w:rPr>
        <w:t>件</w:t>
      </w:r>
    </w:p>
    <w:p>
      <w:pPr>
        <w:spacing w:line="360" w:lineRule="auto"/>
        <w:jc w:val="center"/>
        <w:rPr>
          <w:rFonts w:hint="eastAsia" w:ascii="宋体" w:hAnsi="宋体" w:eastAsia="宋体" w:cs="Times New Roman"/>
          <w:b/>
          <w:color w:val="auto"/>
          <w:sz w:val="32"/>
          <w:szCs w:val="32"/>
          <w:highlight w:val="none"/>
        </w:rPr>
      </w:pPr>
    </w:p>
    <w:p>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第二册</w:t>
      </w:r>
    </w:p>
    <w:p>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（专用册）</w:t>
      </w:r>
    </w:p>
    <w:p>
      <w:pPr>
        <w:spacing w:line="360" w:lineRule="auto"/>
        <w:jc w:val="center"/>
        <w:rPr>
          <w:rFonts w:hint="eastAsia" w:ascii="宋体" w:hAnsi="宋体" w:eastAsia="宋体" w:cs="Times New Roman"/>
          <w:b/>
          <w:color w:val="auto"/>
          <w:sz w:val="30"/>
          <w:szCs w:val="30"/>
          <w:highlight w:val="none"/>
        </w:rPr>
      </w:pPr>
    </w:p>
    <w:p>
      <w:pPr>
        <w:spacing w:line="360" w:lineRule="auto"/>
        <w:ind w:firstLine="2168" w:firstLineChars="600"/>
        <w:rPr>
          <w:rFonts w:hint="eastAsia" w:ascii="Times New Roman" w:hAnsi="Times New Roman" w:eastAsia="宋体" w:cs="Times New Roman"/>
          <w:b/>
          <w:color w:val="auto"/>
          <w:sz w:val="32"/>
          <w:highlight w:val="none"/>
          <w:u w:val="single"/>
        </w:rPr>
      </w:pPr>
      <w:r>
        <w:rPr>
          <w:rFonts w:hint="eastAsia" w:ascii="宋体" w:hAnsi="宋体" w:eastAsia="宋体" w:cs="Times New Roman"/>
          <w:b/>
          <w:color w:val="auto"/>
          <w:sz w:val="36"/>
          <w:szCs w:val="36"/>
          <w:highlight w:val="none"/>
        </w:rPr>
        <w:t>招标编号：</w:t>
      </w:r>
      <w:r>
        <w:rPr>
          <w:rFonts w:hint="eastAsia" w:ascii="宋体" w:hAnsi="宋体" w:eastAsia="宋体" w:cs="Times New Roman"/>
          <w:b/>
          <w:color w:val="auto"/>
          <w:sz w:val="36"/>
          <w:szCs w:val="36"/>
          <w:highlight w:val="none"/>
          <w:u w:val="single"/>
        </w:rPr>
        <w:t>OITC-G210300035</w:t>
      </w:r>
    </w:p>
    <w:p>
      <w:pPr>
        <w:spacing w:line="360" w:lineRule="auto"/>
        <w:jc w:val="center"/>
        <w:rPr>
          <w:rFonts w:hint="eastAsia" w:ascii="Times New Roman" w:hAnsi="Times New Roman" w:eastAsia="宋体" w:cs="Times New Roman"/>
          <w:b/>
          <w:color w:val="auto"/>
          <w:sz w:val="32"/>
          <w:highlight w:val="none"/>
        </w:rPr>
      </w:pPr>
    </w:p>
    <w:p>
      <w:pPr>
        <w:spacing w:line="360" w:lineRule="auto"/>
        <w:jc w:val="center"/>
        <w:rPr>
          <w:rFonts w:hint="eastAsia" w:ascii="Times New Roman" w:hAnsi="Times New Roman" w:eastAsia="宋体" w:cs="Times New Roman"/>
          <w:b/>
          <w:color w:val="auto"/>
          <w:sz w:val="32"/>
          <w:highlight w:val="none"/>
        </w:rPr>
      </w:pPr>
    </w:p>
    <w:p>
      <w:pPr>
        <w:adjustRightInd w:val="0"/>
        <w:snapToGrid w:val="0"/>
        <w:spacing w:before="120"/>
        <w:jc w:val="center"/>
        <w:rPr>
          <w:rFonts w:hint="eastAsia" w:ascii="宋体" w:hAnsi="宋体" w:eastAsia="宋体" w:cs="Times New Roman"/>
          <w:b/>
          <w:bCs/>
          <w:snapToGrid w:val="0"/>
          <w:color w:val="auto"/>
          <w:spacing w:val="20"/>
          <w:sz w:val="36"/>
          <w:szCs w:val="36"/>
          <w:highlight w:val="none"/>
        </w:rPr>
      </w:pPr>
      <w:r>
        <w:rPr>
          <w:rFonts w:hint="eastAsia" w:ascii="宋体" w:hAnsi="宋体" w:eastAsia="宋体" w:cs="Times New Roman"/>
          <w:b/>
          <w:bCs/>
          <w:snapToGrid w:val="0"/>
          <w:color w:val="auto"/>
          <w:spacing w:val="20"/>
          <w:sz w:val="36"/>
          <w:szCs w:val="36"/>
          <w:highlight w:val="none"/>
        </w:rPr>
        <w:t>东方国际招标有限责任公司</w:t>
      </w:r>
    </w:p>
    <w:p>
      <w:pPr>
        <w:adjustRightInd w:val="0"/>
        <w:snapToGrid w:val="0"/>
        <w:jc w:val="center"/>
        <w:rPr>
          <w:rFonts w:hint="eastAsia" w:ascii="宋体" w:hAnsi="宋体" w:eastAsia="宋体" w:cs="Times New Roman"/>
          <w:b/>
          <w:snapToGrid w:val="0"/>
          <w:color w:val="auto"/>
          <w:sz w:val="36"/>
          <w:szCs w:val="36"/>
          <w:highlight w:val="none"/>
        </w:rPr>
      </w:pPr>
    </w:p>
    <w:p>
      <w:pPr>
        <w:adjustRightInd w:val="0"/>
        <w:snapToGrid w:val="0"/>
        <w:jc w:val="center"/>
        <w:rPr>
          <w:rFonts w:hint="eastAsia" w:ascii="宋体" w:hAnsi="宋体" w:eastAsia="宋体" w:cs="Times New Roman"/>
          <w:b/>
          <w:snapToGrid w:val="0"/>
          <w:color w:val="auto"/>
          <w:sz w:val="36"/>
          <w:szCs w:val="36"/>
          <w:highlight w:val="none"/>
        </w:rPr>
      </w:pPr>
      <w:r>
        <w:rPr>
          <w:rFonts w:hint="eastAsia" w:ascii="宋体" w:hAnsi="宋体" w:eastAsia="宋体" w:cs="Times New Roman"/>
          <w:b/>
          <w:snapToGrid w:val="0"/>
          <w:color w:val="auto"/>
          <w:sz w:val="36"/>
          <w:szCs w:val="36"/>
          <w:highlight w:val="none"/>
        </w:rPr>
        <w:t>中国 · 北京</w:t>
      </w:r>
    </w:p>
    <w:p>
      <w:pPr>
        <w:adjustRightInd w:val="0"/>
        <w:snapToGrid w:val="0"/>
        <w:jc w:val="center"/>
        <w:rPr>
          <w:rFonts w:hint="eastAsia" w:ascii="宋体" w:hAnsi="宋体" w:eastAsia="宋体" w:cs="Times New Roman"/>
          <w:b/>
          <w:snapToGrid w:val="0"/>
          <w:color w:val="auto"/>
          <w:sz w:val="36"/>
          <w:szCs w:val="36"/>
          <w:highlight w:val="none"/>
        </w:rPr>
      </w:pPr>
    </w:p>
    <w:p>
      <w:pPr>
        <w:adjustRightInd w:val="0"/>
        <w:snapToGrid w:val="0"/>
        <w:jc w:val="center"/>
        <w:rPr>
          <w:rFonts w:hint="eastAsia" w:ascii="宋体" w:hAnsi="宋体" w:eastAsia="宋体" w:cs="Times New Roman"/>
          <w:b/>
          <w:color w:val="auto"/>
          <w:sz w:val="32"/>
          <w:szCs w:val="32"/>
          <w:highlight w:val="none"/>
        </w:rPr>
      </w:pPr>
      <w:r>
        <w:rPr>
          <w:rFonts w:hint="eastAsia" w:ascii="宋体" w:hAnsi="宋体" w:eastAsia="宋体" w:cs="Times New Roman"/>
          <w:b/>
          <w:snapToGrid w:val="0"/>
          <w:color w:val="auto"/>
          <w:sz w:val="36"/>
          <w:szCs w:val="36"/>
          <w:highlight w:val="none"/>
        </w:rPr>
        <w:t>2021年</w:t>
      </w:r>
      <w:r>
        <w:rPr>
          <w:rFonts w:hint="eastAsia" w:ascii="宋体" w:hAnsi="宋体" w:eastAsia="宋体" w:cs="Times New Roman"/>
          <w:b/>
          <w:snapToGrid w:val="0"/>
          <w:color w:val="auto"/>
          <w:sz w:val="36"/>
          <w:szCs w:val="36"/>
          <w:highlight w:val="none"/>
          <w:lang w:val="en-US" w:eastAsia="zh-CN"/>
        </w:rPr>
        <w:t>5</w:t>
      </w:r>
      <w:r>
        <w:rPr>
          <w:rFonts w:hint="eastAsia" w:ascii="宋体" w:hAnsi="宋体" w:eastAsia="宋体" w:cs="Times New Roman"/>
          <w:b/>
          <w:snapToGrid w:val="0"/>
          <w:color w:val="auto"/>
          <w:sz w:val="36"/>
          <w:szCs w:val="36"/>
          <w:highlight w:val="none"/>
        </w:rPr>
        <w:t>月</w:t>
      </w:r>
    </w:p>
    <w:p>
      <w:pPr>
        <w:pStyle w:val="2"/>
        <w:snapToGrid w:val="0"/>
        <w:spacing w:before="0" w:after="0" w:line="240" w:lineRule="auto"/>
        <w:rPr>
          <w:rFonts w:hint="eastAsia" w:hAnsi="宋体" w:eastAsia="宋体" w:cs="Times New Roman"/>
          <w:color w:val="auto"/>
          <w:sz w:val="24"/>
          <w:szCs w:val="24"/>
          <w:highlight w:val="none"/>
        </w:rPr>
      </w:pPr>
    </w:p>
    <w:p>
      <w:pPr>
        <w:adjustRightInd w:val="0"/>
        <w:snapToGrid w:val="0"/>
        <w:rPr>
          <w:rFonts w:hint="eastAsia" w:ascii="宋体" w:hAnsi="宋体" w:eastAsia="宋体" w:cs="Times New Roman"/>
          <w:color w:val="auto"/>
          <w:highlight w:val="none"/>
        </w:rPr>
      </w:pPr>
    </w:p>
    <w:p>
      <w:pPr>
        <w:adjustRightInd w:val="0"/>
        <w:snapToGrid w:val="0"/>
        <w:rPr>
          <w:rFonts w:hint="eastAsia" w:ascii="宋体" w:hAnsi="宋体" w:eastAsia="宋体" w:cs="Times New Roman"/>
          <w:color w:val="auto"/>
          <w:highlight w:val="none"/>
        </w:rPr>
      </w:pPr>
    </w:p>
    <w:p>
      <w:pPr>
        <w:adjustRightInd w:val="0"/>
        <w:snapToGrid w:val="0"/>
        <w:rPr>
          <w:rFonts w:hint="eastAsia" w:ascii="宋体" w:hAnsi="宋体" w:eastAsia="宋体" w:cs="Times New Roman"/>
          <w:color w:val="auto"/>
          <w:highlight w:val="none"/>
        </w:rPr>
      </w:pPr>
    </w:p>
    <w:p>
      <w:pPr>
        <w:adjustRightInd w:val="0"/>
        <w:snapToGrid w:val="0"/>
        <w:jc w:val="center"/>
        <w:rPr>
          <w:rFonts w:hint="eastAsia" w:ascii="宋体" w:hAnsi="宋体" w:eastAsia="宋体" w:cs="Times New Roman"/>
          <w:b/>
          <w:color w:val="auto"/>
          <w:sz w:val="24"/>
          <w:highlight w:val="none"/>
        </w:rPr>
      </w:pPr>
      <w:bookmarkStart w:id="1" w:name="_GoBack"/>
      <w:bookmarkEnd w:id="1"/>
      <w:bookmarkStart w:id="0" w:name="_Toc512937852"/>
      <w:r>
        <w:rPr>
          <w:rFonts w:ascii="宋体" w:hAnsi="宋体" w:eastAsia="宋体" w:cs="Times New Roman"/>
          <w:b/>
          <w:color w:val="auto"/>
          <w:sz w:val="24"/>
          <w:highlight w:val="none"/>
        </w:rPr>
        <w:br w:type="page"/>
      </w:r>
    </w:p>
    <w:p>
      <w:pPr>
        <w:adjustRightInd w:val="0"/>
        <w:snapToGrid w:val="0"/>
        <w:jc w:val="center"/>
        <w:rPr>
          <w:rFonts w:hint="eastAsia" w:ascii="宋体" w:hAnsi="宋体" w:eastAsia="宋体" w:cs="Times New Roman"/>
          <w:b/>
          <w:color w:val="auto"/>
          <w:sz w:val="24"/>
          <w:highlight w:val="none"/>
        </w:rPr>
      </w:pPr>
    </w:p>
    <w:p>
      <w:pPr>
        <w:adjustRightInd w:val="0"/>
        <w:snapToGrid w:val="0"/>
        <w:jc w:val="center"/>
        <w:rPr>
          <w:rFonts w:hint="eastAsia" w:ascii="宋体" w:hAnsi="宋体" w:eastAsia="宋体" w:cs="Times New Roman"/>
          <w:b/>
          <w:color w:val="auto"/>
          <w:sz w:val="24"/>
          <w:highlight w:val="none"/>
        </w:rPr>
      </w:pPr>
    </w:p>
    <w:p>
      <w:pPr>
        <w:adjustRightInd w:val="0"/>
        <w:snapToGrid w:val="0"/>
        <w:jc w:val="center"/>
        <w:rPr>
          <w:rFonts w:hint="eastAsia" w:ascii="宋体" w:hAnsi="宋体" w:eastAsia="宋体" w:cs="Times New Roman"/>
          <w:b/>
          <w:color w:val="auto"/>
          <w:sz w:val="24"/>
          <w:highlight w:val="none"/>
        </w:rPr>
      </w:pPr>
    </w:p>
    <w:p>
      <w:pPr>
        <w:adjustRightInd w:val="0"/>
        <w:snapToGrid w:val="0"/>
        <w:jc w:val="center"/>
        <w:rPr>
          <w:rFonts w:hint="eastAsia" w:ascii="宋体" w:hAnsi="宋体" w:eastAsia="宋体" w:cs="Times New Roman"/>
          <w:b/>
          <w:color w:val="auto"/>
          <w:sz w:val="24"/>
          <w:highlight w:val="none"/>
        </w:rPr>
      </w:pPr>
    </w:p>
    <w:p>
      <w:pPr>
        <w:adjustRightInd w:val="0"/>
        <w:snapToGrid w:val="0"/>
        <w:jc w:val="center"/>
        <w:rPr>
          <w:rFonts w:hint="eastAsia" w:ascii="宋体" w:hAnsi="宋体" w:eastAsia="宋体" w:cs="Times New Roman"/>
          <w:b/>
          <w:color w:val="auto"/>
          <w:sz w:val="24"/>
          <w:highlight w:val="none"/>
        </w:rPr>
      </w:pPr>
    </w:p>
    <w:p>
      <w:pPr>
        <w:adjustRightInd w:val="0"/>
        <w:snapToGrid w:val="0"/>
        <w:jc w:val="center"/>
        <w:rPr>
          <w:rFonts w:hint="eastAsia" w:ascii="宋体" w:hAnsi="宋体" w:eastAsia="宋体" w:cs="Times New Roman"/>
          <w:b/>
          <w:color w:val="auto"/>
          <w:sz w:val="24"/>
          <w:highlight w:val="none"/>
        </w:rPr>
      </w:pPr>
    </w:p>
    <w:p>
      <w:pPr>
        <w:adjustRightInd w:val="0"/>
        <w:snapToGrid w:val="0"/>
        <w:jc w:val="center"/>
        <w:rPr>
          <w:rFonts w:hint="eastAsia" w:ascii="宋体" w:hAnsi="宋体" w:eastAsia="宋体" w:cs="Times New Roman"/>
          <w:b/>
          <w:color w:val="auto"/>
          <w:sz w:val="24"/>
          <w:highlight w:val="none"/>
        </w:rPr>
      </w:pPr>
    </w:p>
    <w:p>
      <w:pPr>
        <w:adjustRightInd w:val="0"/>
        <w:snapToGrid w:val="0"/>
        <w:jc w:val="center"/>
        <w:rPr>
          <w:rFonts w:hint="eastAsia" w:ascii="宋体" w:hAnsi="宋体" w:eastAsia="宋体" w:cs="Times New Roman"/>
          <w:b/>
          <w:color w:val="auto"/>
          <w:sz w:val="24"/>
          <w:highlight w:val="none"/>
        </w:rPr>
      </w:pPr>
    </w:p>
    <w:p>
      <w:pPr>
        <w:adjustRightInd w:val="0"/>
        <w:snapToGrid w:val="0"/>
        <w:jc w:val="center"/>
        <w:rPr>
          <w:rFonts w:hint="eastAsia" w:ascii="宋体" w:hAnsi="宋体" w:eastAsia="宋体" w:cs="Times New Roman"/>
          <w:b/>
          <w:color w:val="auto"/>
          <w:sz w:val="24"/>
          <w:highlight w:val="none"/>
        </w:rPr>
      </w:pPr>
    </w:p>
    <w:p>
      <w:pPr>
        <w:adjustRightInd w:val="0"/>
        <w:snapToGrid w:val="0"/>
        <w:jc w:val="center"/>
        <w:rPr>
          <w:rFonts w:hint="eastAsia" w:ascii="宋体" w:hAnsi="宋体" w:eastAsia="宋体" w:cs="Times New Roman"/>
          <w:b/>
          <w:color w:val="auto"/>
          <w:sz w:val="24"/>
          <w:highlight w:val="none"/>
        </w:rPr>
      </w:pPr>
    </w:p>
    <w:p>
      <w:pPr>
        <w:adjustRightInd w:val="0"/>
        <w:snapToGrid w:val="0"/>
        <w:jc w:val="center"/>
        <w:rPr>
          <w:rFonts w:hint="eastAsia" w:ascii="宋体" w:hAnsi="宋体" w:eastAsia="宋体" w:cs="Times New Roman"/>
          <w:b/>
          <w:color w:val="auto"/>
          <w:sz w:val="24"/>
          <w:highlight w:val="none"/>
        </w:rPr>
      </w:pPr>
    </w:p>
    <w:p>
      <w:pPr>
        <w:adjustRightInd w:val="0"/>
        <w:snapToGrid w:val="0"/>
        <w:spacing w:before="936" w:beforeLines="300"/>
        <w:jc w:val="center"/>
        <w:rPr>
          <w:rFonts w:hint="eastAsia" w:ascii="黑体" w:hAnsi="Times New Roman" w:eastAsia="黑体" w:cs="Times New Roman"/>
          <w:b/>
          <w:color w:val="auto"/>
          <w:kern w:val="44"/>
          <w:sz w:val="48"/>
          <w:szCs w:val="20"/>
          <w:highlight w:val="none"/>
        </w:rPr>
      </w:pPr>
      <w:r>
        <w:rPr>
          <w:rFonts w:hint="eastAsia" w:ascii="黑体" w:hAnsi="Times New Roman" w:eastAsia="黑体" w:cs="Times New Roman"/>
          <w:b/>
          <w:color w:val="auto"/>
          <w:kern w:val="44"/>
          <w:sz w:val="48"/>
          <w:szCs w:val="20"/>
          <w:highlight w:val="none"/>
        </w:rPr>
        <w:t>第八部分  技术部分</w:t>
      </w:r>
      <w:r>
        <w:rPr>
          <w:rFonts w:ascii="黑体" w:hAnsi="Times New Roman" w:eastAsia="黑体" w:cs="Times New Roman"/>
          <w:b/>
          <w:color w:val="auto"/>
          <w:kern w:val="44"/>
          <w:sz w:val="48"/>
          <w:szCs w:val="20"/>
          <w:highlight w:val="none"/>
        </w:rPr>
        <w:br w:type="page"/>
      </w:r>
    </w:p>
    <w:bookmarkEnd w:id="0"/>
    <w:p>
      <w:pPr>
        <w:numPr>
          <w:ilvl w:val="2"/>
          <w:numId w:val="1"/>
        </w:numPr>
        <w:adjustRightInd w:val="0"/>
        <w:snapToGrid w:val="0"/>
        <w:ind w:left="1560" w:hanging="720"/>
        <w:jc w:val="center"/>
        <w:rPr>
          <w:rFonts w:hint="eastAsia"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货物需求一览表</w:t>
      </w:r>
    </w:p>
    <w:p>
      <w:pPr>
        <w:adjustRightInd w:val="0"/>
        <w:snapToGrid w:val="0"/>
        <w:jc w:val="center"/>
        <w:rPr>
          <w:rFonts w:hint="eastAsia" w:ascii="宋体" w:hAnsi="宋体" w:eastAsia="宋体" w:cs="Times New Roman"/>
          <w:b/>
          <w:color w:val="auto"/>
          <w:sz w:val="30"/>
          <w:szCs w:val="30"/>
          <w:highlight w:val="none"/>
        </w:rPr>
      </w:pPr>
    </w:p>
    <w:tbl>
      <w:tblPr>
        <w:tblStyle w:val="6"/>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noWrap w:val="0"/>
            <w:vAlign w:val="center"/>
          </w:tcPr>
          <w:p>
            <w:pPr>
              <w:jc w:val="center"/>
              <w:rPr>
                <w:rFonts w:ascii="宋体" w:hAnsi="Bookman Old Style" w:eastAsia="宋体" w:cs="Times New Roman"/>
                <w:color w:val="auto"/>
                <w:sz w:val="24"/>
                <w:highlight w:val="none"/>
              </w:rPr>
            </w:pPr>
            <w:r>
              <w:rPr>
                <w:rFonts w:hint="eastAsia" w:ascii="宋体" w:hAnsi="Bookman Old Style" w:eastAsia="宋体" w:cs="Times New Roman"/>
                <w:color w:val="auto"/>
                <w:sz w:val="24"/>
                <w:highlight w:val="none"/>
              </w:rPr>
              <w:t>包号</w:t>
            </w:r>
          </w:p>
        </w:tc>
        <w:tc>
          <w:tcPr>
            <w:tcW w:w="2640" w:type="dxa"/>
            <w:noWrap w:val="0"/>
            <w:vAlign w:val="center"/>
          </w:tcPr>
          <w:p>
            <w:pPr>
              <w:jc w:val="center"/>
              <w:rPr>
                <w:rFonts w:ascii="宋体" w:hAnsi="Bookman Old Style" w:eastAsia="宋体" w:cs="Times New Roman"/>
                <w:color w:val="auto"/>
                <w:sz w:val="24"/>
                <w:highlight w:val="none"/>
              </w:rPr>
            </w:pPr>
            <w:r>
              <w:rPr>
                <w:rFonts w:hint="eastAsia" w:ascii="宋体" w:hAnsi="Bookman Old Style" w:eastAsia="宋体" w:cs="Times New Roman"/>
                <w:color w:val="auto"/>
                <w:sz w:val="24"/>
                <w:highlight w:val="none"/>
              </w:rPr>
              <w:t>货物名称</w:t>
            </w:r>
          </w:p>
        </w:tc>
        <w:tc>
          <w:tcPr>
            <w:tcW w:w="635" w:type="dxa"/>
            <w:noWrap w:val="0"/>
            <w:vAlign w:val="center"/>
          </w:tcPr>
          <w:p>
            <w:pPr>
              <w:jc w:val="center"/>
              <w:rPr>
                <w:rFonts w:ascii="宋体" w:hAnsi="Bookman Old Style" w:eastAsia="宋体" w:cs="Times New Roman"/>
                <w:color w:val="auto"/>
                <w:sz w:val="24"/>
                <w:highlight w:val="none"/>
              </w:rPr>
            </w:pPr>
            <w:r>
              <w:rPr>
                <w:rFonts w:hint="eastAsia" w:ascii="宋体" w:hAnsi="Bookman Old Style" w:eastAsia="宋体" w:cs="Times New Roman"/>
                <w:color w:val="auto"/>
                <w:sz w:val="24"/>
                <w:highlight w:val="none"/>
              </w:rPr>
              <w:t>数量</w:t>
            </w:r>
          </w:p>
        </w:tc>
        <w:tc>
          <w:tcPr>
            <w:tcW w:w="1320" w:type="dxa"/>
            <w:noWrap w:val="0"/>
            <w:vAlign w:val="center"/>
          </w:tcPr>
          <w:p>
            <w:pPr>
              <w:jc w:val="center"/>
              <w:rPr>
                <w:rFonts w:ascii="宋体" w:hAnsi="Bookman Old Style" w:eastAsia="宋体" w:cs="Times New Roman"/>
                <w:color w:val="auto"/>
                <w:sz w:val="24"/>
                <w:highlight w:val="none"/>
              </w:rPr>
            </w:pPr>
            <w:r>
              <w:rPr>
                <w:rFonts w:hint="eastAsia" w:ascii="宋体" w:hAnsi="Bookman Old Style" w:eastAsia="宋体" w:cs="Times New Roman"/>
                <w:color w:val="auto"/>
                <w:sz w:val="24"/>
                <w:highlight w:val="none"/>
              </w:rPr>
              <w:t>交货期</w:t>
            </w:r>
          </w:p>
        </w:tc>
        <w:tc>
          <w:tcPr>
            <w:tcW w:w="1765" w:type="dxa"/>
            <w:noWrap w:val="0"/>
            <w:vAlign w:val="center"/>
          </w:tcPr>
          <w:p>
            <w:pPr>
              <w:jc w:val="center"/>
              <w:rPr>
                <w:rFonts w:hint="eastAsia" w:ascii="宋体" w:hAnsi="Bookman Old Style" w:eastAsia="宋体" w:cs="Times New Roman"/>
                <w:color w:val="auto"/>
                <w:sz w:val="24"/>
                <w:highlight w:val="none"/>
              </w:rPr>
            </w:pPr>
            <w:r>
              <w:rPr>
                <w:rFonts w:hint="eastAsia" w:ascii="宋体" w:hAnsi="Bookman Old Style" w:eastAsia="宋体" w:cs="Times New Roman"/>
                <w:color w:val="auto"/>
                <w:sz w:val="24"/>
                <w:highlight w:val="none"/>
              </w:rPr>
              <w:t>指定到货港</w:t>
            </w:r>
          </w:p>
        </w:tc>
        <w:tc>
          <w:tcPr>
            <w:tcW w:w="2520" w:type="dxa"/>
            <w:noWrap w:val="0"/>
            <w:vAlign w:val="center"/>
          </w:tcPr>
          <w:p>
            <w:pPr>
              <w:jc w:val="center"/>
              <w:rPr>
                <w:rFonts w:ascii="宋体" w:hAnsi="Bookman Old Style" w:eastAsia="宋体" w:cs="Times New Roman"/>
                <w:color w:val="auto"/>
                <w:sz w:val="24"/>
                <w:highlight w:val="none"/>
                <w:shd w:val="pct10" w:color="auto" w:fill="FFFFFF"/>
              </w:rPr>
            </w:pPr>
            <w:r>
              <w:rPr>
                <w:rFonts w:hint="eastAsia" w:ascii="宋体" w:hAnsi="Bookman Old Style" w:eastAsia="宋体" w:cs="Times New Roman"/>
                <w:color w:val="auto"/>
                <w:sz w:val="24"/>
                <w:highlight w:val="none"/>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1</w:t>
            </w:r>
          </w:p>
        </w:tc>
        <w:tc>
          <w:tcPr>
            <w:tcW w:w="2640" w:type="dxa"/>
            <w:noWrap w:val="0"/>
            <w:vAlign w:val="center"/>
          </w:tcPr>
          <w:p>
            <w:pPr>
              <w:jc w:val="center"/>
              <w:rPr>
                <w:rFonts w:hint="eastAsia" w:ascii="Bookman Old Style" w:hAnsi="Bookman Old Style" w:eastAsia="宋体" w:cs="Times New Roman"/>
                <w:color w:val="auto"/>
                <w:sz w:val="24"/>
                <w:highlight w:val="none"/>
              </w:rPr>
            </w:pPr>
            <w:r>
              <w:rPr>
                <w:rFonts w:hint="eastAsia" w:ascii="Bookman Old Style" w:hAnsi="Bookman Old Style" w:eastAsia="宋体" w:cs="Times New Roman"/>
                <w:color w:val="auto"/>
                <w:sz w:val="24"/>
                <w:highlight w:val="none"/>
              </w:rPr>
              <w:t>离子淌度四级杆飞行时间质谱</w:t>
            </w:r>
          </w:p>
        </w:tc>
        <w:tc>
          <w:tcPr>
            <w:tcW w:w="635" w:type="dxa"/>
            <w:noWrap w:val="0"/>
            <w:vAlign w:val="center"/>
          </w:tcPr>
          <w:p>
            <w:pPr>
              <w:jc w:val="center"/>
              <w:rPr>
                <w:rFonts w:hint="default" w:ascii="宋体" w:hAnsi="Bookman Old Style" w:eastAsia="宋体" w:cs="Times New Roman"/>
                <w:color w:val="auto"/>
                <w:sz w:val="24"/>
                <w:highlight w:val="none"/>
                <w:lang w:val="en-US" w:eastAsia="zh-CN"/>
              </w:rPr>
            </w:pPr>
            <w:r>
              <w:rPr>
                <w:rFonts w:hint="eastAsia" w:ascii="宋体" w:hAnsi="Bookman Old Style" w:eastAsia="宋体" w:cs="Times New Roman"/>
                <w:color w:val="auto"/>
                <w:sz w:val="24"/>
                <w:highlight w:val="none"/>
                <w:lang w:val="en-US" w:eastAsia="zh-CN"/>
              </w:rPr>
              <w:t>1套</w:t>
            </w:r>
          </w:p>
        </w:tc>
        <w:tc>
          <w:tcPr>
            <w:tcW w:w="5605" w:type="dxa"/>
            <w:gridSpan w:val="3"/>
            <w:noWrap w:val="0"/>
            <w:vAlign w:val="center"/>
          </w:tcPr>
          <w:p>
            <w:pPr>
              <w:jc w:val="center"/>
              <w:rPr>
                <w:rFonts w:hint="default" w:ascii="宋体" w:hAnsi="Bookman Old Style" w:eastAsia="宋体" w:cs="Times New Roman"/>
                <w:color w:val="auto"/>
                <w:sz w:val="24"/>
                <w:highlight w:val="none"/>
                <w:lang w:val="en-US" w:eastAsia="zh-CN"/>
              </w:rPr>
            </w:pPr>
            <w:r>
              <w:rPr>
                <w:rFonts w:hint="eastAsia" w:ascii="宋体" w:hAnsi="Bookman Old Style" w:eastAsia="宋体" w:cs="Times New Roman"/>
                <w:color w:val="auto"/>
                <w:sz w:val="24"/>
                <w:highlight w:val="none"/>
                <w:lang w:val="en-US" w:eastAsia="zh-CN"/>
              </w:rPr>
              <w:t>详见具体技术规格</w:t>
            </w:r>
          </w:p>
        </w:tc>
      </w:tr>
    </w:tbl>
    <w:p>
      <w:pPr>
        <w:adjustRightInd w:val="0"/>
        <w:snapToGrid w:val="0"/>
        <w:jc w:val="center"/>
        <w:rPr>
          <w:rFonts w:hint="eastAsia" w:ascii="宋体" w:hAnsi="宋体" w:eastAsia="宋体" w:cs="Times New Roman"/>
          <w:b/>
          <w:color w:val="auto"/>
          <w:sz w:val="30"/>
          <w:szCs w:val="30"/>
          <w:highlight w:val="none"/>
        </w:rPr>
      </w:pPr>
    </w:p>
    <w:p>
      <w:pPr>
        <w:adjustRightInd w:val="0"/>
        <w:snapToGrid w:val="0"/>
        <w:jc w:val="center"/>
        <w:rPr>
          <w:rFonts w:hint="eastAsia" w:ascii="宋体" w:hAnsi="宋体" w:eastAsia="宋体" w:cs="Times New Roman"/>
          <w:b/>
          <w:color w:val="auto"/>
          <w:sz w:val="30"/>
          <w:szCs w:val="30"/>
          <w:highlight w:val="none"/>
        </w:rPr>
      </w:pPr>
    </w:p>
    <w:p>
      <w:pPr>
        <w:adjustRightInd w:val="0"/>
        <w:snapToGrid w:val="0"/>
        <w:jc w:val="center"/>
        <w:rPr>
          <w:rFonts w:hint="eastAsia" w:ascii="宋体" w:hAnsi="宋体" w:eastAsia="宋体" w:cs="Times New Roman"/>
          <w:b/>
          <w:color w:val="auto"/>
          <w:sz w:val="30"/>
          <w:szCs w:val="30"/>
          <w:highlight w:val="none"/>
        </w:rPr>
      </w:pPr>
    </w:p>
    <w:p>
      <w:pPr>
        <w:rPr>
          <w:rFonts w:hint="eastAsia" w:ascii="Bookman Old Style" w:hAnsi="Bookman Old Style" w:eastAsia="宋体" w:cs="Times New Roman"/>
          <w:color w:val="auto"/>
          <w:sz w:val="24"/>
          <w:highlight w:val="none"/>
        </w:rPr>
      </w:pPr>
      <w:r>
        <w:rPr>
          <w:rFonts w:hint="eastAsia" w:ascii="Times New Roman" w:hAnsi="Times New Roman" w:eastAsia="宋体" w:cs="Times New Roman"/>
          <w:color w:val="auto"/>
          <w:sz w:val="24"/>
          <w:highlight w:val="none"/>
        </w:rPr>
        <w:t>注：投标人须对上述投标内容中完整的一包或几包进行投标，</w:t>
      </w:r>
      <w:r>
        <w:rPr>
          <w:rFonts w:hint="eastAsia" w:ascii="Bookman Old Style" w:hAnsi="Bookman Old Style" w:eastAsia="宋体" w:cs="Times New Roman"/>
          <w:color w:val="auto"/>
          <w:sz w:val="24"/>
          <w:highlight w:val="none"/>
        </w:rPr>
        <w:t>不完整的投标将视为非响应性投标予以拒绝。</w:t>
      </w:r>
    </w:p>
    <w:p>
      <w:pPr>
        <w:adjustRightInd w:val="0"/>
        <w:snapToGrid w:val="0"/>
        <w:rPr>
          <w:rFonts w:hint="eastAsia" w:ascii="宋体" w:hAnsi="宋体" w:eastAsia="宋体" w:cs="Times New Roman"/>
          <w:color w:val="auto"/>
          <w:szCs w:val="21"/>
          <w:highlight w:val="none"/>
        </w:rPr>
      </w:pPr>
    </w:p>
    <w:p>
      <w:pPr>
        <w:adjustRightInd w:val="0"/>
        <w:snapToGrid w:val="0"/>
        <w:rPr>
          <w:rFonts w:hint="eastAsia" w:ascii="宋体" w:hAnsi="宋体" w:eastAsia="宋体" w:cs="Times New Roman"/>
          <w:color w:val="auto"/>
          <w:szCs w:val="21"/>
          <w:highlight w:val="none"/>
        </w:rPr>
      </w:pPr>
    </w:p>
    <w:p>
      <w:pPr>
        <w:adjustRightInd w:val="0"/>
        <w:snapToGrid w:val="0"/>
        <w:rPr>
          <w:rFonts w:hint="eastAsia" w:ascii="宋体" w:hAnsi="宋体" w:eastAsia="宋体" w:cs="Times New Roman"/>
          <w:color w:val="auto"/>
          <w:szCs w:val="21"/>
          <w:highlight w:val="none"/>
        </w:rPr>
      </w:pPr>
    </w:p>
    <w:p>
      <w:pPr>
        <w:adjustRightInd w:val="0"/>
        <w:snapToGrid w:val="0"/>
        <w:rPr>
          <w:rFonts w:hint="eastAsia" w:ascii="宋体" w:hAnsi="宋体" w:eastAsia="宋体" w:cs="Times New Roman"/>
          <w:color w:val="auto"/>
          <w:szCs w:val="21"/>
          <w:highlight w:val="none"/>
        </w:rPr>
      </w:pPr>
    </w:p>
    <w:p>
      <w:pPr>
        <w:adjustRightInd w:val="0"/>
        <w:snapToGrid w:val="0"/>
        <w:rPr>
          <w:rFonts w:hint="eastAsia" w:ascii="宋体" w:hAnsi="宋体" w:eastAsia="宋体" w:cs="Times New Roman"/>
          <w:color w:val="auto"/>
          <w:szCs w:val="21"/>
          <w:highlight w:val="none"/>
        </w:rPr>
      </w:pPr>
    </w:p>
    <w:p>
      <w:pPr>
        <w:adjustRightInd w:val="0"/>
        <w:snapToGrid w:val="0"/>
        <w:rPr>
          <w:rFonts w:hint="eastAsia" w:ascii="宋体" w:hAnsi="宋体" w:eastAsia="宋体" w:cs="Times New Roman"/>
          <w:color w:val="auto"/>
          <w:szCs w:val="21"/>
          <w:highlight w:val="none"/>
        </w:rPr>
      </w:pPr>
    </w:p>
    <w:p>
      <w:pPr>
        <w:adjustRightInd w:val="0"/>
        <w:snapToGrid w:val="0"/>
        <w:rPr>
          <w:rFonts w:hint="eastAsia" w:ascii="宋体" w:hAnsi="宋体" w:eastAsia="宋体" w:cs="Times New Roman"/>
          <w:color w:val="auto"/>
          <w:szCs w:val="21"/>
          <w:highlight w:val="none"/>
        </w:rPr>
      </w:pPr>
    </w:p>
    <w:p>
      <w:pPr>
        <w:adjustRightInd w:val="0"/>
        <w:snapToGrid w:val="0"/>
        <w:rPr>
          <w:rFonts w:hint="eastAsia" w:ascii="宋体" w:hAnsi="宋体" w:eastAsia="宋体" w:cs="Times New Roman"/>
          <w:color w:val="auto"/>
          <w:szCs w:val="21"/>
          <w:highlight w:val="none"/>
        </w:rPr>
      </w:pPr>
    </w:p>
    <w:p>
      <w:pPr>
        <w:adjustRightInd w:val="0"/>
        <w:snapToGrid w:val="0"/>
        <w:rPr>
          <w:rFonts w:hint="eastAsia" w:ascii="宋体" w:hAnsi="宋体" w:eastAsia="宋体" w:cs="Times New Roman"/>
          <w:color w:val="auto"/>
          <w:szCs w:val="21"/>
          <w:highlight w:val="none"/>
        </w:rPr>
      </w:pPr>
    </w:p>
    <w:p>
      <w:pPr>
        <w:adjustRightInd w:val="0"/>
        <w:snapToGrid w:val="0"/>
        <w:rPr>
          <w:rFonts w:hint="eastAsia" w:ascii="宋体" w:hAnsi="宋体" w:eastAsia="宋体" w:cs="Times New Roman"/>
          <w:color w:val="auto"/>
          <w:szCs w:val="21"/>
          <w:highlight w:val="none"/>
        </w:rPr>
      </w:pPr>
    </w:p>
    <w:p>
      <w:pPr>
        <w:adjustRightInd w:val="0"/>
        <w:snapToGrid w:val="0"/>
        <w:rPr>
          <w:rFonts w:hint="eastAsia" w:ascii="宋体" w:hAnsi="宋体" w:eastAsia="宋体" w:cs="Times New Roman"/>
          <w:color w:val="auto"/>
          <w:szCs w:val="21"/>
          <w:highlight w:val="none"/>
        </w:rPr>
      </w:pPr>
    </w:p>
    <w:p>
      <w:pPr>
        <w:adjustRightInd w:val="0"/>
        <w:snapToGrid w:val="0"/>
        <w:rPr>
          <w:rFonts w:hint="eastAsia" w:ascii="宋体" w:hAnsi="宋体" w:eastAsia="宋体" w:cs="Times New Roman"/>
          <w:color w:val="auto"/>
          <w:szCs w:val="21"/>
          <w:highlight w:val="none"/>
        </w:rPr>
      </w:pPr>
    </w:p>
    <w:p>
      <w:pPr>
        <w:adjustRightInd w:val="0"/>
        <w:snapToGrid w:val="0"/>
        <w:rPr>
          <w:rFonts w:hint="eastAsia" w:ascii="宋体" w:hAnsi="宋体" w:eastAsia="宋体" w:cs="Times New Roman"/>
          <w:b/>
          <w:color w:val="auto"/>
          <w:sz w:val="30"/>
          <w:szCs w:val="30"/>
          <w:highlight w:val="none"/>
        </w:rPr>
      </w:pPr>
      <w:r>
        <w:rPr>
          <w:rFonts w:ascii="宋体" w:hAnsi="宋体" w:eastAsia="宋体" w:cs="Times New Roman"/>
          <w:b/>
          <w:color w:val="auto"/>
          <w:sz w:val="30"/>
          <w:szCs w:val="30"/>
          <w:highlight w:val="none"/>
        </w:rPr>
        <w:br w:type="page"/>
      </w:r>
    </w:p>
    <w:p>
      <w:pPr>
        <w:numPr>
          <w:ilvl w:val="2"/>
          <w:numId w:val="1"/>
        </w:numPr>
        <w:tabs>
          <w:tab w:val="left" w:pos="720"/>
          <w:tab w:val="clear" w:pos="1560"/>
        </w:tabs>
        <w:adjustRightInd w:val="0"/>
        <w:snapToGrid w:val="0"/>
        <w:ind w:hanging="1560"/>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技术规格</w:t>
      </w:r>
    </w:p>
    <w:p>
      <w:pPr>
        <w:spacing w:line="360" w:lineRule="auto"/>
        <w:ind w:left="600" w:hanging="600"/>
        <w:rPr>
          <w:rFonts w:hint="eastAsia"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一、总</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则</w:t>
      </w:r>
    </w:p>
    <w:p>
      <w:pPr>
        <w:spacing w:before="156" w:beforeLines="50" w:after="156" w:afterLines="50" w:line="360" w:lineRule="auto"/>
        <w:ind w:left="601" w:hanging="601"/>
        <w:rPr>
          <w:rFonts w:ascii="宋体" w:hAnsi="宋体" w:eastAsia="宋体" w:cs="Times New Roman"/>
          <w:b/>
          <w:color w:val="auto"/>
          <w:sz w:val="28"/>
          <w:highlight w:val="none"/>
        </w:rPr>
      </w:pPr>
      <w:r>
        <w:rPr>
          <w:rFonts w:ascii="宋体" w:hAnsi="宋体" w:eastAsia="宋体" w:cs="Times New Roman"/>
          <w:b/>
          <w:color w:val="auto"/>
          <w:sz w:val="28"/>
          <w:highlight w:val="none"/>
        </w:rPr>
        <w:t>1</w:t>
      </w:r>
      <w:r>
        <w:rPr>
          <w:rFonts w:hint="eastAsia" w:ascii="宋体" w:hAnsi="宋体" w:eastAsia="宋体" w:cs="Times New Roman"/>
          <w:b/>
          <w:color w:val="auto"/>
          <w:sz w:val="28"/>
          <w:highlight w:val="none"/>
        </w:rPr>
        <w:t>、投标要求</w:t>
      </w:r>
    </w:p>
    <w:p>
      <w:pPr>
        <w:spacing w:line="360" w:lineRule="auto"/>
        <w:ind w:left="554" w:hanging="554" w:hangingChars="231"/>
        <w:rPr>
          <w:rFonts w:hint="eastAsia" w:ascii="宋体" w:hAnsi="宋体" w:eastAsia="宋体" w:cs="Times New Roman"/>
          <w:color w:val="auto"/>
          <w:sz w:val="24"/>
          <w:highlight w:val="none"/>
        </w:rPr>
      </w:pPr>
      <w:r>
        <w:rPr>
          <w:rFonts w:ascii="宋体" w:hAnsi="宋体" w:eastAsia="宋体" w:cs="Times New Roman"/>
          <w:color w:val="auto"/>
          <w:sz w:val="24"/>
          <w:highlight w:val="none"/>
        </w:rPr>
        <w:t xml:space="preserve">1.1 </w:t>
      </w:r>
      <w:r>
        <w:rPr>
          <w:rFonts w:hint="eastAsia" w:ascii="宋体" w:hAnsi="宋体" w:eastAsia="宋体" w:cs="Times New Roman"/>
          <w:color w:val="auto"/>
          <w:sz w:val="24"/>
          <w:highlight w:val="none"/>
        </w:rPr>
        <w:t xml:space="preserve"> 投标人在准备投标书时，务必在所提供的商品的技术规格文件中，标明型号、商标名称、目录号。</w:t>
      </w:r>
    </w:p>
    <w:p>
      <w:pPr>
        <w:spacing w:line="360" w:lineRule="auto"/>
        <w:ind w:left="554" w:hanging="554" w:hangingChars="231"/>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1.2  </w:t>
      </w:r>
      <w:r>
        <w:rPr>
          <w:rFonts w:hint="eastAsia" w:ascii="宋体" w:hAnsi="宋体" w:eastAsia="宋体" w:cs="Times New Roman"/>
          <w:color w:val="auto"/>
          <w:sz w:val="24"/>
          <w:highlight w:val="none"/>
        </w:rPr>
        <w:t>投标人提供的货物须是成熟的全新的产品</w:t>
      </w:r>
      <w:r>
        <w:rPr>
          <w:rFonts w:hint="eastAsia" w:ascii="宋体" w:hAnsi="宋体" w:eastAsia="宋体" w:cs="Times New Roman"/>
          <w:color w:val="auto"/>
          <w:sz w:val="24"/>
          <w:highlight w:val="none"/>
        </w:rPr>
        <w:t>，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1.3  </w:t>
      </w:r>
      <w:r>
        <w:rPr>
          <w:rFonts w:hint="eastAsia" w:ascii="Times New Roman" w:hAnsi="Times New Roman" w:eastAsia="宋体" w:cs="Times New Roman"/>
          <w:color w:val="auto"/>
          <w:sz w:val="24"/>
          <w:highlight w:val="none"/>
        </w:rPr>
        <w:t>投标人提供的</w:t>
      </w:r>
      <w:r>
        <w:rPr>
          <w:rFonts w:hint="eastAsia" w:ascii="宋体" w:hAnsi="Times New Roman" w:eastAsia="宋体" w:cs="Times New Roman"/>
          <w:color w:val="auto"/>
          <w:sz w:val="24"/>
          <w:highlight w:val="none"/>
        </w:rPr>
        <w:t>产品</w:t>
      </w:r>
      <w:r>
        <w:rPr>
          <w:rFonts w:hint="eastAsia" w:ascii="Times New Roman" w:hAnsi="Times New Roman" w:eastAsia="宋体" w:cs="Times New Roman"/>
          <w:color w:val="auto"/>
          <w:sz w:val="24"/>
          <w:highlight w:val="none"/>
        </w:rPr>
        <w:t>样本，必须是“原件”而非复印件，</w:t>
      </w:r>
      <w:r>
        <w:rPr>
          <w:rFonts w:hint="eastAsia" w:ascii="宋体" w:hAnsi="Times New Roman" w:eastAsia="宋体" w:cs="Times New Roman"/>
          <w:color w:val="auto"/>
          <w:sz w:val="24"/>
          <w:highlight w:val="none"/>
        </w:rPr>
        <w:t>图表、简图、电路图以及印刷电路板图等都应</w:t>
      </w:r>
      <w:r>
        <w:rPr>
          <w:rFonts w:hint="eastAsia" w:ascii="Times New Roman" w:hAnsi="Times New Roman" w:eastAsia="宋体" w:cs="Times New Roman"/>
          <w:color w:val="auto"/>
          <w:sz w:val="24"/>
          <w:highlight w:val="none"/>
        </w:rPr>
        <w:t>清晰易读。买方有权</w:t>
      </w:r>
      <w:r>
        <w:rPr>
          <w:rFonts w:hint="eastAsia" w:ascii="宋体" w:hAnsi="Times New Roman" w:eastAsia="宋体" w:cs="Times New Roman"/>
          <w:color w:val="auto"/>
          <w:sz w:val="24"/>
          <w:highlight w:val="none"/>
        </w:rPr>
        <w:t>不付任何附加费用</w:t>
      </w:r>
      <w:r>
        <w:rPr>
          <w:rFonts w:hint="eastAsia" w:ascii="Times New Roman" w:hAnsi="Times New Roman" w:eastAsia="宋体" w:cs="Times New Roman"/>
          <w:color w:val="auto"/>
          <w:sz w:val="24"/>
          <w:highlight w:val="none"/>
        </w:rPr>
        <w:t>复制这些资料</w:t>
      </w:r>
      <w:r>
        <w:rPr>
          <w:rFonts w:hint="eastAsia" w:ascii="宋体" w:hAnsi="Times New Roman" w:eastAsia="宋体" w:cs="Times New Roman"/>
          <w:color w:val="auto"/>
          <w:sz w:val="24"/>
          <w:highlight w:val="none"/>
        </w:rPr>
        <w:t>以供参考。</w:t>
      </w:r>
    </w:p>
    <w:p>
      <w:pPr>
        <w:spacing w:before="156" w:beforeLines="50" w:after="156" w:afterLines="50" w:line="360" w:lineRule="auto"/>
        <w:ind w:left="601" w:hanging="601"/>
        <w:rPr>
          <w:rFonts w:ascii="宋体" w:hAnsi="宋体" w:eastAsia="宋体" w:cs="Times New Roman"/>
          <w:b/>
          <w:color w:val="auto"/>
          <w:sz w:val="28"/>
          <w:highlight w:val="none"/>
        </w:rPr>
      </w:pPr>
      <w:r>
        <w:rPr>
          <w:rFonts w:hint="eastAsia" w:ascii="宋体" w:hAnsi="宋体" w:eastAsia="宋体" w:cs="Times New Roman"/>
          <w:b/>
          <w:color w:val="auto"/>
          <w:sz w:val="28"/>
          <w:highlight w:val="none"/>
        </w:rPr>
        <w:t>2、评标标准</w:t>
      </w:r>
    </w:p>
    <w:p>
      <w:pPr>
        <w:spacing w:line="360" w:lineRule="auto"/>
        <w:ind w:left="554" w:hanging="554" w:hangingChars="231"/>
        <w:rPr>
          <w:rFonts w:hint="eastAsia" w:ascii="宋体" w:hAnsi="Times New Roman" w:eastAsia="宋体" w:cs="Times New Roman"/>
          <w:color w:val="auto"/>
          <w:sz w:val="24"/>
          <w:highlight w:val="none"/>
        </w:rPr>
      </w:pPr>
      <w:r>
        <w:rPr>
          <w:rFonts w:ascii="宋体" w:hAnsi="宋体" w:eastAsia="宋体" w:cs="Times New Roman"/>
          <w:color w:val="auto"/>
          <w:sz w:val="24"/>
          <w:highlight w:val="none"/>
        </w:rPr>
        <w:t>2.</w:t>
      </w:r>
      <w:r>
        <w:rPr>
          <w:rFonts w:hint="eastAsia" w:ascii="宋体" w:hAnsi="宋体" w:eastAsia="宋体" w:cs="Times New Roman"/>
          <w:color w:val="auto"/>
          <w:sz w:val="24"/>
          <w:highlight w:val="none"/>
        </w:rPr>
        <w:t xml:space="preserve">1  </w:t>
      </w:r>
      <w:r>
        <w:rPr>
          <w:rFonts w:hint="eastAsia" w:ascii="Times New Roman" w:hAnsi="Times New Roman" w:eastAsia="宋体" w:cs="Times New Roman"/>
          <w:color w:val="auto"/>
          <w:sz w:val="24"/>
          <w:highlight w:val="none"/>
        </w:rPr>
        <w:t>除招标文件中指定的附件和专用工具外，</w:t>
      </w:r>
      <w:r>
        <w:rPr>
          <w:rFonts w:hint="eastAsia" w:ascii="宋体" w:hAnsi="Times New Roman" w:eastAsia="宋体" w:cs="Times New Roman"/>
          <w:color w:val="auto"/>
          <w:sz w:val="24"/>
          <w:highlight w:val="none"/>
        </w:rPr>
        <w:t>投标人应提供仪器设备的正常运行和常规保养所需的全套标准附件、专用工具</w:t>
      </w:r>
      <w:r>
        <w:rPr>
          <w:rFonts w:hint="eastAsia" w:ascii="Times New Roman" w:hAnsi="Times New Roman" w:eastAsia="宋体" w:cs="Times New Roman"/>
          <w:color w:val="auto"/>
          <w:sz w:val="24"/>
          <w:highlight w:val="none"/>
        </w:rPr>
        <w:t>和消耗品</w:t>
      </w:r>
      <w:r>
        <w:rPr>
          <w:rFonts w:hint="eastAsia" w:ascii="宋体" w:hAnsi="Times New Roman" w:eastAsia="宋体" w:cs="Times New Roman"/>
          <w:color w:val="auto"/>
          <w:sz w:val="24"/>
          <w:highlight w:val="none"/>
        </w:rPr>
        <w:t>。投标人在投标书中需列出这些附件和工具的数量和单价的清单，这些附件和工具的报价的总值需计入投标价中。</w:t>
      </w:r>
    </w:p>
    <w:p>
      <w:pPr>
        <w:spacing w:line="360" w:lineRule="auto"/>
        <w:ind w:left="554" w:hanging="554" w:hangingChars="231"/>
        <w:rPr>
          <w:rFonts w:hint="eastAsia" w:ascii="Times New Roman" w:hAnsi="Times New Roman" w:eastAsia="宋体" w:cs="Times New Roman"/>
          <w:color w:val="auto"/>
          <w:sz w:val="24"/>
          <w:highlight w:val="none"/>
        </w:rPr>
      </w:pPr>
      <w:r>
        <w:rPr>
          <w:rFonts w:hint="eastAsia" w:ascii="宋体" w:hAnsi="宋体" w:eastAsia="宋体" w:cs="Times New Roman"/>
          <w:color w:val="auto"/>
          <w:sz w:val="24"/>
          <w:highlight w:val="none"/>
        </w:rPr>
        <w:t xml:space="preserve">2.2  </w:t>
      </w:r>
      <w:r>
        <w:rPr>
          <w:rFonts w:hint="eastAsia" w:ascii="Times New Roman" w:hAnsi="Times New Roman" w:eastAsia="宋体" w:cs="Times New Roman"/>
          <w:color w:val="auto"/>
          <w:sz w:val="24"/>
          <w:highlight w:val="none"/>
        </w:rPr>
        <w:t>对于标书</w:t>
      </w:r>
      <w:r>
        <w:rPr>
          <w:rFonts w:hint="eastAsia" w:ascii="宋体" w:hAnsi="Times New Roman" w:eastAsia="宋体" w:cs="Times New Roman"/>
          <w:color w:val="auto"/>
          <w:sz w:val="24"/>
          <w:highlight w:val="none"/>
        </w:rPr>
        <w:t>技术规范中已列</w:t>
      </w:r>
      <w:r>
        <w:rPr>
          <w:rFonts w:hint="eastAsia" w:ascii="Times New Roman" w:hAnsi="Times New Roman" w:eastAsia="宋体" w:cs="Times New Roman"/>
          <w:color w:val="auto"/>
          <w:sz w:val="24"/>
          <w:highlight w:val="none"/>
        </w:rPr>
        <w:t>出的作为查询选件的附件、零配件、专用工具和消耗品，投标书中</w:t>
      </w:r>
      <w:r>
        <w:rPr>
          <w:rFonts w:hint="eastAsia" w:ascii="宋体" w:hAnsi="Times New Roman" w:eastAsia="宋体" w:cs="Times New Roman"/>
          <w:color w:val="auto"/>
          <w:sz w:val="24"/>
          <w:highlight w:val="none"/>
        </w:rPr>
        <w:t>应列明其数量、单价、总价供买方参考。投标人也可推荐买方没有要求的附件或专用工具作为选件，并列明其数量、单价、总价供买方参考。选件价格不计入评标价中。</w:t>
      </w:r>
      <w:r>
        <w:rPr>
          <w:rFonts w:hint="eastAsia" w:ascii="Times New Roman" w:hAnsi="Times New Roman" w:eastAsia="宋体" w:cs="Times New Roman"/>
          <w:color w:val="auto"/>
          <w:sz w:val="24"/>
          <w:highlight w:val="none"/>
        </w:rPr>
        <w:t>选件一旦为用户接受，其费用将加入合同价中。</w:t>
      </w:r>
    </w:p>
    <w:p>
      <w:pPr>
        <w:spacing w:line="360" w:lineRule="auto"/>
        <w:ind w:left="554" w:hanging="554" w:hangingChars="231"/>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2.3  为便于用户进行接收仪器的准备工作，卖方应在合同生效后</w:t>
      </w:r>
      <w:r>
        <w:rPr>
          <w:rFonts w:hint="eastAsia" w:ascii="宋体" w:hAnsi="宋体" w:eastAsia="宋体" w:cs="Times New Roman"/>
          <w:b/>
          <w:color w:val="auto"/>
          <w:sz w:val="24"/>
          <w:highlight w:val="none"/>
        </w:rPr>
        <w:t>60</w:t>
      </w:r>
      <w:r>
        <w:rPr>
          <w:rFonts w:hint="eastAsia" w:ascii="宋体" w:hAnsi="宋体" w:eastAsia="宋体" w:cs="Times New Roman"/>
          <w:color w:val="auto"/>
          <w:sz w:val="24"/>
          <w:highlight w:val="none"/>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4</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eastAsia="宋体" w:cs="Times New Roman"/>
          <w:color w:val="auto"/>
          <w:sz w:val="24"/>
          <w:highlight w:val="none"/>
        </w:rPr>
      </w:pPr>
      <w:r>
        <w:rPr>
          <w:rFonts w:ascii="宋体" w:hAnsi="宋体" w:eastAsia="宋体" w:cs="Times New Roman"/>
          <w:color w:val="auto"/>
          <w:sz w:val="24"/>
          <w:highlight w:val="none"/>
        </w:rPr>
        <w:t>2.</w:t>
      </w:r>
      <w:r>
        <w:rPr>
          <w:rFonts w:hint="eastAsia" w:ascii="宋体" w:hAnsi="宋体" w:eastAsia="宋体" w:cs="Times New Roman"/>
          <w:color w:val="auto"/>
          <w:sz w:val="24"/>
          <w:highlight w:val="none"/>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 xml:space="preserve">6  </w:t>
      </w:r>
      <w:r>
        <w:rPr>
          <w:rFonts w:hint="eastAsia" w:ascii="Times New Roman" w:hAnsi="Times New Roman" w:eastAsia="宋体" w:cs="Times New Roman"/>
          <w:color w:val="auto"/>
          <w:sz w:val="24"/>
          <w:highlight w:val="none"/>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hint="eastAsia" w:ascii="宋体" w:hAnsi="宋体" w:eastAsia="宋体" w:cs="Times New Roman"/>
          <w:b/>
          <w:color w:val="auto"/>
          <w:sz w:val="28"/>
          <w:highlight w:val="none"/>
        </w:rPr>
      </w:pPr>
      <w:r>
        <w:rPr>
          <w:rFonts w:hint="eastAsia" w:ascii="宋体" w:hAnsi="宋体" w:eastAsia="宋体" w:cs="Times New Roman"/>
          <w:b/>
          <w:color w:val="auto"/>
          <w:sz w:val="28"/>
          <w:highlight w:val="none"/>
        </w:rPr>
        <w:t>3、工作条件</w:t>
      </w:r>
    </w:p>
    <w:p>
      <w:pPr>
        <w:spacing w:after="312" w:afterLines="100"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除非在技术规格中另有说明，所有仪器、设备和系统都应符合下列要求：</w:t>
      </w:r>
      <w:r>
        <w:rPr>
          <w:rFonts w:ascii="宋体" w:hAnsi="宋体" w:eastAsia="宋体" w:cs="Times New Roman"/>
          <w:color w:val="auto"/>
          <w:sz w:val="24"/>
          <w:highlight w:val="none"/>
        </w:rPr>
        <w:t xml:space="preserve"> </w:t>
      </w:r>
    </w:p>
    <w:p>
      <w:pPr>
        <w:spacing w:line="360" w:lineRule="auto"/>
        <w:ind w:left="554" w:hanging="554" w:hangingChars="231"/>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3.1  适于在气温为摄氏</w:t>
      </w:r>
      <w:r>
        <w:rPr>
          <w:rFonts w:ascii="宋体" w:hAnsi="宋体" w:eastAsia="宋体" w:cs="Times New Roman"/>
          <w:b/>
          <w:color w:val="auto"/>
          <w:sz w:val="24"/>
          <w:highlight w:val="none"/>
        </w:rPr>
        <w:t>-40</w:t>
      </w:r>
      <w:r>
        <w:rPr>
          <w:rFonts w:hint="eastAsia" w:ascii="宋体" w:hAnsi="宋体" w:eastAsia="宋体" w:cs="Times New Roman"/>
          <w:b/>
          <w:color w:val="auto"/>
          <w:sz w:val="24"/>
          <w:highlight w:val="none"/>
        </w:rPr>
        <w:t>℃～＋</w:t>
      </w:r>
      <w:r>
        <w:rPr>
          <w:rFonts w:ascii="宋体" w:hAnsi="宋体" w:eastAsia="宋体" w:cs="Times New Roman"/>
          <w:b/>
          <w:color w:val="auto"/>
          <w:sz w:val="24"/>
          <w:highlight w:val="none"/>
        </w:rPr>
        <w:t>50</w:t>
      </w:r>
      <w:r>
        <w:rPr>
          <w:rFonts w:hint="eastAsia" w:ascii="宋体" w:hAnsi="宋体" w:eastAsia="宋体" w:cs="Times New Roman"/>
          <w:b/>
          <w:color w:val="auto"/>
          <w:sz w:val="24"/>
          <w:highlight w:val="none"/>
        </w:rPr>
        <w:t>℃</w:t>
      </w:r>
      <w:r>
        <w:rPr>
          <w:rFonts w:hint="eastAsia" w:ascii="宋体" w:hAnsi="宋体" w:eastAsia="宋体" w:cs="Times New Roman"/>
          <w:color w:val="auto"/>
          <w:sz w:val="24"/>
          <w:highlight w:val="none"/>
        </w:rPr>
        <w:t>和相对湿度为</w:t>
      </w:r>
      <w:r>
        <w:rPr>
          <w:rFonts w:ascii="宋体" w:hAnsi="宋体" w:eastAsia="宋体" w:cs="Times New Roman"/>
          <w:b/>
          <w:color w:val="auto"/>
          <w:sz w:val="24"/>
          <w:highlight w:val="none"/>
        </w:rPr>
        <w:t>90</w:t>
      </w:r>
      <w:r>
        <w:rPr>
          <w:rFonts w:hint="eastAsia" w:ascii="宋体" w:hAnsi="宋体" w:eastAsia="宋体" w:cs="Times New Roman"/>
          <w:b/>
          <w:color w:val="auto"/>
          <w:sz w:val="24"/>
          <w:highlight w:val="none"/>
        </w:rPr>
        <w:t>％</w:t>
      </w:r>
      <w:r>
        <w:rPr>
          <w:rFonts w:hint="eastAsia" w:ascii="宋体" w:hAnsi="宋体" w:eastAsia="宋体" w:cs="Times New Roman"/>
          <w:color w:val="auto"/>
          <w:sz w:val="24"/>
          <w:highlight w:val="none"/>
        </w:rPr>
        <w:t>的环境条件下运输和贮存。</w:t>
      </w:r>
    </w:p>
    <w:p>
      <w:pPr>
        <w:spacing w:line="360" w:lineRule="auto"/>
        <w:ind w:left="554" w:hanging="554" w:hangingChars="231"/>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3.2  适于在电源</w:t>
      </w:r>
      <w:r>
        <w:rPr>
          <w:rFonts w:ascii="宋体" w:hAnsi="宋体" w:eastAsia="宋体" w:cs="Times New Roman"/>
          <w:b/>
          <w:color w:val="auto"/>
          <w:sz w:val="24"/>
          <w:highlight w:val="none"/>
        </w:rPr>
        <w:t>220V</w:t>
      </w:r>
      <w:r>
        <w:rPr>
          <w:rFonts w:hint="eastAsia" w:ascii="宋体" w:hAnsi="宋体" w:eastAsia="宋体" w:cs="Times New Roman"/>
          <w:b/>
          <w:color w:val="auto"/>
          <w:sz w:val="24"/>
          <w:highlight w:val="none"/>
        </w:rPr>
        <w:t>（</w:t>
      </w:r>
      <w:r>
        <w:rPr>
          <w:rFonts w:ascii="宋体" w:hAnsi="宋体" w:eastAsia="宋体" w:cs="Times New Roman"/>
          <w:b/>
          <w:color w:val="auto"/>
          <w:sz w:val="24"/>
          <w:highlight w:val="none"/>
        </w:rPr>
        <w:sym w:font="Symbol" w:char="F0B1"/>
      </w:r>
      <w:r>
        <w:rPr>
          <w:rFonts w:ascii="宋体" w:hAnsi="宋体" w:eastAsia="宋体" w:cs="Times New Roman"/>
          <w:b/>
          <w:color w:val="auto"/>
          <w:sz w:val="24"/>
          <w:highlight w:val="none"/>
        </w:rPr>
        <w:t>10</w:t>
      </w:r>
      <w:r>
        <w:rPr>
          <w:rFonts w:hint="eastAsia" w:ascii="宋体" w:hAnsi="宋体" w:eastAsia="宋体" w:cs="Times New Roman"/>
          <w:b/>
          <w:color w:val="auto"/>
          <w:sz w:val="24"/>
          <w:highlight w:val="none"/>
        </w:rPr>
        <w:t>％）</w:t>
      </w:r>
      <w:r>
        <w:rPr>
          <w:rFonts w:ascii="宋体" w:hAnsi="宋体" w:eastAsia="宋体" w:cs="Times New Roman"/>
          <w:b/>
          <w:color w:val="auto"/>
          <w:sz w:val="24"/>
          <w:highlight w:val="none"/>
        </w:rPr>
        <w:t>/50Hz</w:t>
      </w:r>
      <w:r>
        <w:rPr>
          <w:rFonts w:hint="eastAsia" w:ascii="宋体" w:hAnsi="宋体" w:eastAsia="宋体" w:cs="Times New Roman"/>
          <w:color w:val="auto"/>
          <w:sz w:val="24"/>
          <w:highlight w:val="none"/>
        </w:rPr>
        <w:t>、气温摄氏</w:t>
      </w:r>
      <w:r>
        <w:rPr>
          <w:rFonts w:hint="eastAsia" w:ascii="宋体" w:hAnsi="宋体" w:eastAsia="宋体" w:cs="Times New Roman"/>
          <w:b/>
          <w:color w:val="auto"/>
          <w:sz w:val="24"/>
          <w:highlight w:val="none"/>
        </w:rPr>
        <w:t>+1</w:t>
      </w:r>
      <w:r>
        <w:rPr>
          <w:rFonts w:ascii="宋体" w:hAnsi="宋体" w:eastAsia="宋体" w:cs="Times New Roman"/>
          <w:b/>
          <w:color w:val="auto"/>
          <w:sz w:val="24"/>
          <w:highlight w:val="none"/>
        </w:rPr>
        <w:t>5</w:t>
      </w:r>
      <w:r>
        <w:rPr>
          <w:rFonts w:hint="eastAsia" w:ascii="宋体" w:hAnsi="宋体" w:eastAsia="宋体" w:cs="Times New Roman"/>
          <w:b/>
          <w:color w:val="auto"/>
          <w:sz w:val="24"/>
          <w:highlight w:val="none"/>
        </w:rPr>
        <w:t>℃～＋3</w:t>
      </w:r>
      <w:r>
        <w:rPr>
          <w:rFonts w:ascii="宋体" w:hAnsi="宋体" w:eastAsia="宋体" w:cs="Times New Roman"/>
          <w:b/>
          <w:color w:val="auto"/>
          <w:sz w:val="24"/>
          <w:highlight w:val="none"/>
        </w:rPr>
        <w:t>0</w:t>
      </w:r>
      <w:r>
        <w:rPr>
          <w:rFonts w:hint="eastAsia" w:ascii="宋体" w:hAnsi="宋体" w:eastAsia="宋体" w:cs="Times New Roman"/>
          <w:b/>
          <w:color w:val="auto"/>
          <w:sz w:val="24"/>
          <w:highlight w:val="none"/>
        </w:rPr>
        <w:t>℃</w:t>
      </w:r>
      <w:r>
        <w:rPr>
          <w:rFonts w:hint="eastAsia" w:ascii="宋体" w:hAnsi="宋体" w:eastAsia="宋体" w:cs="Times New Roman"/>
          <w:color w:val="auto"/>
          <w:sz w:val="24"/>
          <w:highlight w:val="none"/>
        </w:rPr>
        <w:t>和相对湿度小于</w:t>
      </w:r>
      <w:r>
        <w:rPr>
          <w:rFonts w:ascii="宋体" w:hAnsi="宋体" w:eastAsia="宋体" w:cs="Times New Roman"/>
          <w:b/>
          <w:color w:val="auto"/>
          <w:sz w:val="24"/>
          <w:highlight w:val="none"/>
        </w:rPr>
        <w:t>8</w:t>
      </w:r>
      <w:r>
        <w:rPr>
          <w:rFonts w:hint="eastAsia" w:ascii="宋体" w:hAnsi="宋体" w:eastAsia="宋体" w:cs="Times New Roman"/>
          <w:b/>
          <w:color w:val="auto"/>
          <w:sz w:val="24"/>
          <w:highlight w:val="none"/>
        </w:rPr>
        <w:t>0％</w:t>
      </w:r>
      <w:r>
        <w:rPr>
          <w:rFonts w:hint="eastAsia" w:ascii="宋体" w:hAnsi="宋体" w:eastAsia="宋体" w:cs="Times New Roman"/>
          <w:color w:val="auto"/>
          <w:sz w:val="24"/>
          <w:highlight w:val="none"/>
        </w:rPr>
        <w:t>的环境条件下运行。</w:t>
      </w:r>
      <w:r>
        <w:rPr>
          <w:rFonts w:hint="eastAsia" w:ascii="宋体" w:hAnsi="宋体" w:eastAsia="宋体" w:cs="Times New Roman"/>
          <w:b/>
          <w:color w:val="auto"/>
          <w:sz w:val="24"/>
          <w:highlight w:val="none"/>
        </w:rPr>
        <w:t>能够连续正常工作。</w:t>
      </w:r>
    </w:p>
    <w:p>
      <w:pPr>
        <w:spacing w:line="360" w:lineRule="auto"/>
        <w:ind w:left="554" w:hanging="554" w:hangingChars="231"/>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3.3  配置符合中国有关标准要求的插头，如果没有这样的插头，则需</w:t>
      </w:r>
      <w:r>
        <w:rPr>
          <w:rFonts w:hint="eastAsia" w:ascii="宋体" w:hAnsi="Times New Roman" w:eastAsia="宋体" w:cs="Times New Roman"/>
          <w:color w:val="auto"/>
          <w:sz w:val="24"/>
          <w:highlight w:val="none"/>
        </w:rPr>
        <w:t>提供适当的转</w:t>
      </w:r>
      <w:r>
        <w:rPr>
          <w:rFonts w:hint="eastAsia" w:ascii="宋体" w:hAnsi="宋体" w:eastAsia="宋体" w:cs="Times New Roman"/>
          <w:color w:val="auto"/>
          <w:sz w:val="24"/>
          <w:highlight w:val="none"/>
        </w:rPr>
        <w:t>换插座。</w:t>
      </w:r>
    </w:p>
    <w:p>
      <w:pPr>
        <w:spacing w:line="360" w:lineRule="auto"/>
        <w:ind w:left="554" w:hanging="554" w:hangingChars="231"/>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3.4  如产品达不到上述要求，投标人应注明其偏差。如仪器设备需要特殊工作条件（如水、电源、磁场强度、温度、湿度、动强度等）投标人应在投标书中加以说明。</w:t>
      </w:r>
    </w:p>
    <w:p>
      <w:pPr>
        <w:rPr>
          <w:rFonts w:hint="eastAsia" w:ascii="Times New Roman" w:hAnsi="Times New Roman" w:eastAsia="黑体" w:cs="Times New Roman"/>
          <w:b/>
          <w:bCs/>
          <w:color w:val="auto"/>
          <w:kern w:val="44"/>
          <w:sz w:val="24"/>
          <w:highlight w:val="none"/>
        </w:rPr>
      </w:pPr>
    </w:p>
    <w:p>
      <w:pPr>
        <w:spacing w:before="156" w:beforeLines="50" w:after="156" w:afterLines="50" w:line="360" w:lineRule="auto"/>
        <w:ind w:left="601" w:hanging="601"/>
        <w:rPr>
          <w:rFonts w:hint="eastAsia" w:ascii="宋体" w:hAnsi="宋体" w:eastAsia="宋体" w:cs="Times New Roman"/>
          <w:b/>
          <w:color w:val="auto"/>
          <w:sz w:val="28"/>
          <w:highlight w:val="none"/>
        </w:rPr>
      </w:pPr>
      <w:r>
        <w:rPr>
          <w:rFonts w:hint="eastAsia" w:ascii="宋体" w:hAnsi="宋体" w:eastAsia="宋体" w:cs="Times New Roman"/>
          <w:b/>
          <w:color w:val="auto"/>
          <w:sz w:val="28"/>
          <w:highlight w:val="none"/>
        </w:rPr>
        <w:t>4、验收标准</w:t>
      </w:r>
    </w:p>
    <w:p>
      <w:pPr>
        <w:spacing w:after="312" w:afterLines="100"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除非在技术规格中另有说明，所有仪器、设备和系统按下列要求进行验收：</w:t>
      </w:r>
      <w:r>
        <w:rPr>
          <w:rFonts w:ascii="宋体" w:hAnsi="宋体" w:eastAsia="宋体" w:cs="Times New Roman"/>
          <w:color w:val="auto"/>
          <w:sz w:val="24"/>
          <w:highlight w:val="none"/>
        </w:rPr>
        <w:t xml:space="preserve"> </w:t>
      </w:r>
    </w:p>
    <w:p>
      <w:pPr>
        <w:spacing w:line="360" w:lineRule="auto"/>
        <w:ind w:left="554" w:hanging="554" w:hangingChars="231"/>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4.1  仪器设备运抵安装现场后，买方将与卖方共同开箱验收</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如卖方届时不派人来</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则验收结果应以买方的验收报告为最终验收结果。验收时发现短缺、破损</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买方有权要求卖方负责更换。</w:t>
      </w:r>
    </w:p>
    <w:p>
      <w:pPr>
        <w:spacing w:line="360" w:lineRule="auto"/>
        <w:ind w:left="554" w:hanging="554" w:hangingChars="231"/>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4.2  </w:t>
      </w:r>
      <w:r>
        <w:rPr>
          <w:rFonts w:hint="eastAsia" w:ascii="Times New Roman" w:hAnsi="Times New Roman" w:eastAsia="宋体" w:cs="Times New Roman"/>
          <w:color w:val="auto"/>
          <w:sz w:val="24"/>
          <w:highlight w:val="none"/>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4.3  </w:t>
      </w:r>
      <w:r>
        <w:rPr>
          <w:rFonts w:ascii="宋体" w:hAnsi="宋体" w:eastAsia="宋体" w:cs="Times New Roman"/>
          <w:color w:val="auto"/>
          <w:sz w:val="24"/>
          <w:highlight w:val="none"/>
        </w:rPr>
        <w:t>验收由采购人、中标人及相关人员依国家有关标准、合同及有关附件要求进行，验收完毕由采购人及中标人在验收报告上签名。</w:t>
      </w:r>
    </w:p>
    <w:p>
      <w:pPr>
        <w:pStyle w:val="3"/>
        <w:spacing w:line="360" w:lineRule="auto"/>
        <w:ind w:left="410" w:hanging="410" w:hangingChars="170"/>
        <w:rPr>
          <w:rFonts w:hint="eastAsia" w:hAnsi="宋体" w:eastAsia="宋体" w:cs="Times New Roman"/>
          <w:b/>
          <w:color w:val="auto"/>
          <w:sz w:val="24"/>
          <w:szCs w:val="24"/>
          <w:highlight w:val="none"/>
        </w:rPr>
      </w:pPr>
    </w:p>
    <w:p>
      <w:pPr>
        <w:pStyle w:val="3"/>
        <w:spacing w:line="360" w:lineRule="auto"/>
        <w:ind w:left="410" w:hanging="410" w:hangingChars="170"/>
        <w:rPr>
          <w:rFonts w:hint="eastAsia" w:hAnsi="宋体" w:eastAsia="宋体" w:cs="Times New Roman"/>
          <w:b/>
          <w:color w:val="auto"/>
          <w:sz w:val="24"/>
          <w:szCs w:val="24"/>
          <w:highlight w:val="none"/>
        </w:rPr>
      </w:pPr>
      <w:r>
        <w:rPr>
          <w:rFonts w:hint="eastAsia" w:hAnsi="宋体" w:eastAsia="宋体" w:cs="Times New Roman"/>
          <w:b/>
          <w:color w:val="auto"/>
          <w:sz w:val="24"/>
          <w:szCs w:val="24"/>
          <w:highlight w:val="none"/>
        </w:rPr>
        <w:t>5、本技术规格书中标注“*”号的为关键技术参数，对这些关键技术参数的任何负偏离将导致废标。</w:t>
      </w:r>
    </w:p>
    <w:p>
      <w:pPr>
        <w:pStyle w:val="3"/>
        <w:spacing w:line="360" w:lineRule="auto"/>
        <w:rPr>
          <w:rFonts w:hint="eastAsia" w:hAnsi="宋体" w:eastAsia="宋体" w:cs="Times New Roman"/>
          <w:b/>
          <w:color w:val="auto"/>
          <w:sz w:val="24"/>
          <w:szCs w:val="24"/>
          <w:highlight w:val="none"/>
        </w:rPr>
      </w:pPr>
    </w:p>
    <w:p>
      <w:pPr>
        <w:pStyle w:val="3"/>
        <w:spacing w:line="360" w:lineRule="auto"/>
        <w:rPr>
          <w:rFonts w:hint="eastAsia" w:hAnsi="宋体" w:eastAsia="宋体" w:cs="Times New Roman"/>
          <w:b/>
          <w:color w:val="auto"/>
          <w:sz w:val="24"/>
          <w:szCs w:val="24"/>
          <w:highlight w:val="none"/>
        </w:rPr>
      </w:pPr>
      <w:r>
        <w:rPr>
          <w:rFonts w:hint="eastAsia" w:hAnsi="宋体" w:eastAsia="宋体" w:cs="Times New Roman"/>
          <w:b/>
          <w:color w:val="auto"/>
          <w:sz w:val="24"/>
          <w:szCs w:val="24"/>
          <w:highlight w:val="none"/>
        </w:rPr>
        <w:t>6、如在具体技术规格中有本总则不一致之处，以具体技术规格中的要求为准。</w:t>
      </w:r>
    </w:p>
    <w:p>
      <w:pPr>
        <w:spacing w:after="156" w:afterLines="50"/>
        <w:ind w:left="601" w:hanging="601"/>
        <w:rPr>
          <w:rFonts w:hint="eastAsia" w:ascii="宋体" w:hAnsi="宋体" w:eastAsia="宋体" w:cs="Times New Roman"/>
          <w:b/>
          <w:color w:val="auto"/>
          <w:sz w:val="28"/>
          <w:highlight w:val="none"/>
        </w:rPr>
      </w:pPr>
      <w:r>
        <w:rPr>
          <w:rFonts w:ascii="宋体" w:hAnsi="宋体" w:eastAsia="宋体" w:cs="Times New Roman"/>
          <w:b/>
          <w:color w:val="auto"/>
          <w:sz w:val="28"/>
          <w:highlight w:val="none"/>
        </w:rPr>
        <w:br w:type="page"/>
      </w:r>
      <w:r>
        <w:rPr>
          <w:rFonts w:hint="eastAsia" w:ascii="宋体" w:hAnsi="宋体" w:eastAsia="宋体" w:cs="Times New Roman"/>
          <w:b/>
          <w:color w:val="auto"/>
          <w:sz w:val="28"/>
          <w:highlight w:val="none"/>
        </w:rPr>
        <w:t>二、具体技术规格</w:t>
      </w:r>
    </w:p>
    <w:p>
      <w:pPr>
        <w:rPr>
          <w:rFonts w:hint="eastAsia" w:ascii="Times New Roman" w:hAnsi="Times New Roman" w:eastAsia="宋体" w:cs="Times New Roman"/>
          <w:color w:val="auto"/>
          <w:sz w:val="24"/>
          <w:highlight w:val="none"/>
        </w:rPr>
      </w:pPr>
    </w:p>
    <w:p>
      <w:pPr>
        <w:jc w:val="center"/>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离子淌度四级杆飞行时间质谱</w:t>
      </w:r>
    </w:p>
    <w:p>
      <w:pPr>
        <w:widowControl w:val="0"/>
        <w:numPr>
          <w:ilvl w:val="0"/>
          <w:numId w:val="2"/>
        </w:numPr>
        <w:adjustRightInd w:val="0"/>
        <w:spacing w:line="360" w:lineRule="auto"/>
        <w:ind w:left="368" w:hanging="368" w:firstLineChars="0"/>
        <w:jc w:val="both"/>
        <w:rPr>
          <w:rFonts w:ascii="Times New Roman" w:hAnsi="宋体" w:eastAsia="宋体" w:cs="Times New Roman"/>
          <w:b/>
          <w:color w:val="auto"/>
          <w:kern w:val="2"/>
          <w:sz w:val="24"/>
          <w:szCs w:val="24"/>
          <w:highlight w:val="none"/>
          <w:lang w:val="en-US" w:eastAsia="zh-CN" w:bidi="ar-SA"/>
        </w:rPr>
      </w:pPr>
      <w:r>
        <w:rPr>
          <w:rFonts w:ascii="Times New Roman" w:hAnsi="宋体" w:eastAsia="宋体" w:cs="Times New Roman"/>
          <w:b/>
          <w:color w:val="auto"/>
          <w:kern w:val="2"/>
          <w:sz w:val="24"/>
          <w:szCs w:val="24"/>
          <w:highlight w:val="none"/>
          <w:lang w:val="en-US" w:eastAsia="zh-CN" w:bidi="ar-SA"/>
        </w:rPr>
        <w:t>工作条件</w:t>
      </w:r>
    </w:p>
    <w:p>
      <w:pPr>
        <w:adjustRightInd w:val="0"/>
        <w:spacing w:line="360" w:lineRule="auto"/>
        <w:ind w:left="360" w:firstLine="0"/>
        <w:rPr>
          <w:rFonts w:ascii="Times New Roman" w:hAnsi="Times New Roman" w:eastAsia="宋体" w:cs="Times New Roman"/>
          <w:color w:val="auto"/>
          <w:sz w:val="24"/>
          <w:highlight w:val="none"/>
        </w:rPr>
      </w:pPr>
      <w:r>
        <w:rPr>
          <w:rFonts w:hint="eastAsia" w:ascii="Times New Roman" w:hAnsi="Times New Roman" w:eastAsia="宋体" w:cs="Times New Roman"/>
          <w:b w:val="0"/>
          <w:bCs/>
          <w:color w:val="auto"/>
          <w:sz w:val="24"/>
          <w:highlight w:val="none"/>
        </w:rPr>
        <w:t>1</w:t>
      </w:r>
      <w:r>
        <w:rPr>
          <w:rFonts w:ascii="Times New Roman" w:hAnsi="Times New Roman" w:eastAsia="宋体" w:cs="Times New Roman"/>
          <w:b w:val="0"/>
          <w:bCs/>
          <w:color w:val="auto"/>
          <w:sz w:val="24"/>
          <w:highlight w:val="none"/>
        </w:rPr>
        <w:t>.1</w:t>
      </w:r>
      <w:r>
        <w:rPr>
          <w:rFonts w:ascii="Times New Roman" w:hAnsi="Times New Roman" w:eastAsia="宋体" w:cs="Times New Roman"/>
          <w:color w:val="auto"/>
          <w:sz w:val="24"/>
          <w:highlight w:val="none"/>
        </w:rPr>
        <w:t>工</w:t>
      </w:r>
      <w:r>
        <w:rPr>
          <w:rFonts w:hint="eastAsia" w:ascii="Times New Roman" w:hAnsi="Times New Roman" w:eastAsia="宋体" w:cs="Times New Roman"/>
          <w:color w:val="auto"/>
          <w:sz w:val="24"/>
          <w:highlight w:val="none"/>
        </w:rPr>
        <w:t>作温度</w:t>
      </w:r>
      <w:r>
        <w:rPr>
          <w:rFonts w:ascii="Times New Roman" w:hAnsi="Times New Roman" w:eastAsia="宋体" w:cs="Times New Roman"/>
          <w:color w:val="auto"/>
          <w:sz w:val="24"/>
          <w:highlight w:val="none"/>
        </w:rPr>
        <w:t>：20 ~ 28</w:t>
      </w:r>
      <w:r>
        <w:rPr>
          <w:rFonts w:ascii="Times New Roman" w:hAnsi="Times New Roman" w:eastAsia="宋体" w:cs="Times New Roman"/>
          <w:color w:val="auto"/>
          <w:sz w:val="24"/>
          <w:highlight w:val="none"/>
          <w:vertAlign w:val="superscript"/>
        </w:rPr>
        <w:t>o</w:t>
      </w:r>
      <w:r>
        <w:rPr>
          <w:rFonts w:ascii="Times New Roman" w:hAnsi="Times New Roman" w:eastAsia="宋体" w:cs="Times New Roman"/>
          <w:color w:val="auto"/>
          <w:sz w:val="24"/>
          <w:highlight w:val="none"/>
        </w:rPr>
        <w:t>C</w:t>
      </w:r>
      <w:r>
        <w:rPr>
          <w:rFonts w:hint="eastAsia" w:ascii="Times New Roman" w:hAnsi="Times New Roman" w:eastAsia="宋体" w:cs="Times New Roman"/>
          <w:color w:val="auto"/>
          <w:sz w:val="24"/>
          <w:highlight w:val="none"/>
        </w:rPr>
        <w:t xml:space="preserve"> </w:t>
      </w:r>
    </w:p>
    <w:p>
      <w:pPr>
        <w:tabs>
          <w:tab w:val="left" w:pos="900"/>
        </w:tabs>
        <w:adjustRightInd w:val="0"/>
        <w:spacing w:line="360" w:lineRule="auto"/>
        <w:ind w:left="712" w:leftChars="170" w:hanging="355" w:hangingChars="148"/>
        <w:rPr>
          <w:rFonts w:ascii="Times New Roman" w:hAnsi="宋体" w:eastAsia="宋体" w:cs="Times New Roman"/>
          <w:color w:val="auto"/>
          <w:sz w:val="24"/>
          <w:highlight w:val="none"/>
        </w:rPr>
      </w:pPr>
      <w:r>
        <w:rPr>
          <w:rFonts w:ascii="Times New Roman" w:hAnsi="Times New Roman" w:eastAsia="宋体" w:cs="Times New Roman"/>
          <w:color w:val="auto"/>
          <w:sz w:val="24"/>
          <w:highlight w:val="none"/>
        </w:rPr>
        <w:t>1.2</w:t>
      </w:r>
      <w:r>
        <w:rPr>
          <w:rFonts w:hint="eastAsia" w:ascii="Times New Roman" w:hAnsi="Times New Roman" w:eastAsia="宋体" w:cs="Times New Roman"/>
          <w:color w:val="auto"/>
          <w:sz w:val="24"/>
          <w:highlight w:val="none"/>
        </w:rPr>
        <w:t>工作</w:t>
      </w:r>
      <w:r>
        <w:rPr>
          <w:rFonts w:ascii="Times New Roman" w:hAnsi="Times New Roman" w:eastAsia="宋体" w:cs="Times New Roman"/>
          <w:color w:val="auto"/>
          <w:sz w:val="24"/>
          <w:highlight w:val="none"/>
        </w:rPr>
        <w:t>湿度</w:t>
      </w:r>
      <w:r>
        <w:rPr>
          <w:rFonts w:ascii="Times New Roman" w:hAnsi="宋体" w:eastAsia="宋体" w:cs="Times New Roman"/>
          <w:color w:val="auto"/>
          <w:sz w:val="24"/>
          <w:highlight w:val="none"/>
        </w:rPr>
        <w:t>：</w:t>
      </w:r>
      <w:r>
        <w:rPr>
          <w:rFonts w:hint="eastAsia" w:ascii="Times New Roman" w:hAnsi="宋体" w:eastAsia="宋体" w:cs="Times New Roman"/>
          <w:color w:val="auto"/>
          <w:sz w:val="24"/>
          <w:highlight w:val="none"/>
        </w:rPr>
        <w:t>&lt; 75%</w:t>
      </w:r>
    </w:p>
    <w:p>
      <w:pPr>
        <w:tabs>
          <w:tab w:val="left" w:pos="900"/>
        </w:tabs>
        <w:adjustRightInd w:val="0"/>
        <w:spacing w:line="360" w:lineRule="auto"/>
        <w:ind w:left="712" w:leftChars="170" w:hanging="355" w:hangingChars="148"/>
        <w:rPr>
          <w:rFonts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1</w:t>
      </w:r>
      <w:r>
        <w:rPr>
          <w:rFonts w:ascii="Times New Roman" w:hAnsi="宋体" w:eastAsia="宋体" w:cs="Times New Roman"/>
          <w:color w:val="auto"/>
          <w:sz w:val="24"/>
          <w:highlight w:val="none"/>
        </w:rPr>
        <w:t xml:space="preserve">.3 </w:t>
      </w:r>
      <w:r>
        <w:rPr>
          <w:rFonts w:hint="eastAsia" w:ascii="Times New Roman" w:hAnsi="宋体" w:eastAsia="宋体" w:cs="Times New Roman"/>
          <w:color w:val="auto"/>
          <w:sz w:val="24"/>
          <w:highlight w:val="none"/>
        </w:rPr>
        <w:t>电源要求：220V，50Hz。</w:t>
      </w:r>
    </w:p>
    <w:p>
      <w:pPr>
        <w:widowControl/>
        <w:tabs>
          <w:tab w:val="left" w:pos="-720"/>
          <w:tab w:val="left" w:pos="360"/>
          <w:tab w:val="left" w:pos="1080"/>
          <w:tab w:val="left" w:pos="2160"/>
          <w:tab w:val="left" w:pos="2880"/>
          <w:tab w:val="left" w:pos="3600"/>
          <w:tab w:val="left" w:pos="4320"/>
          <w:tab w:val="left" w:pos="5040"/>
          <w:tab w:val="left" w:pos="5760"/>
          <w:tab w:val="left" w:pos="6480"/>
          <w:tab w:val="left" w:pos="7200"/>
        </w:tabs>
        <w:suppressAutoHyphens/>
        <w:spacing w:line="360" w:lineRule="auto"/>
        <w:ind w:left="0" w:right="-694" w:firstLine="0"/>
        <w:jc w:val="left"/>
        <w:rPr>
          <w:rFonts w:ascii="Calibri" w:hAnsi="Calibri" w:eastAsia="宋体" w:cs="Times New Roman"/>
          <w:b/>
          <w:color w:val="auto"/>
          <w:kern w:val="0"/>
          <w:sz w:val="24"/>
          <w:szCs w:val="24"/>
          <w:highlight w:val="none"/>
          <w:lang w:val="en-US" w:eastAsia="zh-CN" w:bidi="ar-SA"/>
        </w:rPr>
      </w:pPr>
      <w:r>
        <w:rPr>
          <w:rFonts w:ascii="Calibri" w:hAnsi="Calibri" w:eastAsia="宋体" w:cs="Times New Roman"/>
          <w:b/>
          <w:color w:val="auto"/>
          <w:kern w:val="0"/>
          <w:sz w:val="24"/>
          <w:szCs w:val="24"/>
          <w:highlight w:val="none"/>
          <w:lang w:val="en-US" w:eastAsia="zh-CN" w:bidi="ar-SA"/>
        </w:rPr>
        <w:t>2、</w:t>
      </w:r>
      <w:r>
        <w:rPr>
          <w:rFonts w:hint="eastAsia" w:ascii="Calibri" w:hAnsi="Calibri" w:eastAsia="宋体" w:cs="Times New Roman"/>
          <w:b/>
          <w:color w:val="auto"/>
          <w:kern w:val="0"/>
          <w:sz w:val="24"/>
          <w:szCs w:val="24"/>
          <w:highlight w:val="none"/>
          <w:lang w:val="en-US" w:eastAsia="zh-CN" w:bidi="ar-SA"/>
        </w:rPr>
        <w:t>设备用途</w:t>
      </w:r>
    </w:p>
    <w:p>
      <w:pPr>
        <w:widowControl/>
        <w:tabs>
          <w:tab w:val="left" w:pos="-720"/>
          <w:tab w:val="left" w:pos="360"/>
          <w:tab w:val="left" w:pos="1080"/>
          <w:tab w:val="left" w:pos="2160"/>
          <w:tab w:val="left" w:pos="2880"/>
          <w:tab w:val="left" w:pos="3600"/>
          <w:tab w:val="left" w:pos="4320"/>
          <w:tab w:val="left" w:pos="5040"/>
          <w:tab w:val="left" w:pos="5760"/>
          <w:tab w:val="left" w:pos="6480"/>
          <w:tab w:val="left" w:pos="7200"/>
        </w:tabs>
        <w:suppressAutoHyphens/>
        <w:spacing w:line="360" w:lineRule="auto"/>
        <w:ind w:left="0" w:right="-694" w:firstLine="480" w:firstLineChars="200"/>
        <w:jc w:val="left"/>
        <w:rPr>
          <w:rFonts w:ascii="Calibri" w:hAnsi="Calibri" w:eastAsia="宋体" w:cs="Times New Roman"/>
          <w:bCs/>
          <w:color w:val="auto"/>
          <w:kern w:val="0"/>
          <w:sz w:val="24"/>
          <w:szCs w:val="24"/>
          <w:highlight w:val="none"/>
          <w:lang w:val="en-US" w:eastAsia="zh-CN" w:bidi="ar-SA"/>
        </w:rPr>
      </w:pPr>
      <w:r>
        <w:rPr>
          <w:rFonts w:hint="eastAsia" w:ascii="Calibri" w:hAnsi="Calibri" w:eastAsia="宋体" w:cs="Times New Roman"/>
          <w:bCs/>
          <w:color w:val="auto"/>
          <w:kern w:val="0"/>
          <w:sz w:val="24"/>
          <w:szCs w:val="24"/>
          <w:highlight w:val="none"/>
          <w:lang w:val="en-US" w:eastAsia="zh-CN" w:bidi="ar-SA"/>
        </w:rPr>
        <w:t>主要用于</w:t>
      </w:r>
      <w:r>
        <w:rPr>
          <w:rFonts w:ascii="Calibri" w:hAnsi="Calibri" w:eastAsia="宋体" w:cs="Times New Roman"/>
          <w:bCs/>
          <w:color w:val="auto"/>
          <w:kern w:val="0"/>
          <w:sz w:val="24"/>
          <w:szCs w:val="24"/>
          <w:highlight w:val="none"/>
          <w:lang w:val="en-US" w:eastAsia="zh-CN" w:bidi="ar-SA"/>
        </w:rPr>
        <w:t>分子式确认和未知物分子式推断，有机化合物的定性定量，目标化合物和未知物的筛选、定量、确证</w:t>
      </w:r>
      <w:r>
        <w:rPr>
          <w:rFonts w:hint="eastAsia" w:ascii="Calibri" w:hAnsi="Calibri" w:eastAsia="宋体" w:cs="Times New Roman"/>
          <w:bCs/>
          <w:color w:val="auto"/>
          <w:kern w:val="0"/>
          <w:sz w:val="24"/>
          <w:szCs w:val="24"/>
          <w:highlight w:val="none"/>
          <w:lang w:val="en-US" w:eastAsia="zh-CN" w:bidi="ar-SA"/>
        </w:rPr>
        <w:t>，</w:t>
      </w:r>
      <w:r>
        <w:rPr>
          <w:rFonts w:ascii="Calibri" w:hAnsi="Calibri" w:eastAsia="宋体" w:cs="Times New Roman"/>
          <w:bCs/>
          <w:color w:val="auto"/>
          <w:kern w:val="0"/>
          <w:sz w:val="24"/>
          <w:szCs w:val="24"/>
          <w:highlight w:val="none"/>
          <w:lang w:val="en-US" w:eastAsia="zh-CN" w:bidi="ar-SA"/>
        </w:rPr>
        <w:t>化合物的表征和定性</w:t>
      </w:r>
      <w:r>
        <w:rPr>
          <w:rFonts w:hint="eastAsia" w:ascii="Calibri" w:hAnsi="Calibri" w:eastAsia="宋体" w:cs="Times New Roman"/>
          <w:bCs/>
          <w:color w:val="auto"/>
          <w:kern w:val="0"/>
          <w:sz w:val="24"/>
          <w:szCs w:val="24"/>
          <w:highlight w:val="none"/>
          <w:lang w:val="en-US" w:eastAsia="zh-CN" w:bidi="ar-SA"/>
        </w:rPr>
        <w:t>，</w:t>
      </w:r>
      <w:r>
        <w:rPr>
          <w:rFonts w:ascii="Calibri" w:hAnsi="Calibri" w:eastAsia="宋体" w:cs="Times New Roman"/>
          <w:bCs/>
          <w:color w:val="auto"/>
          <w:kern w:val="0"/>
          <w:sz w:val="24"/>
          <w:szCs w:val="24"/>
          <w:highlight w:val="none"/>
          <w:lang w:val="en-US" w:eastAsia="zh-CN" w:bidi="ar-SA"/>
        </w:rPr>
        <w:t>带CCS值的淌度分离技术区分同分异构</w:t>
      </w:r>
      <w:r>
        <w:rPr>
          <w:rFonts w:hint="eastAsia" w:ascii="Calibri" w:hAnsi="Calibri" w:eastAsia="宋体" w:cs="Times New Roman"/>
          <w:bCs/>
          <w:color w:val="auto"/>
          <w:kern w:val="0"/>
          <w:sz w:val="24"/>
          <w:szCs w:val="24"/>
          <w:highlight w:val="none"/>
          <w:lang w:val="en-US" w:eastAsia="zh-CN" w:bidi="ar-SA"/>
        </w:rPr>
        <w:t>，</w:t>
      </w:r>
      <w:r>
        <w:rPr>
          <w:rFonts w:ascii="Calibri" w:hAnsi="Calibri" w:eastAsia="宋体" w:cs="Times New Roman"/>
          <w:bCs/>
          <w:color w:val="auto"/>
          <w:kern w:val="0"/>
          <w:sz w:val="24"/>
          <w:szCs w:val="24"/>
          <w:highlight w:val="none"/>
          <w:lang w:val="en-US" w:eastAsia="zh-CN" w:bidi="ar-SA"/>
        </w:rPr>
        <w:t>痕量多目标物质的快速筛查</w:t>
      </w:r>
      <w:r>
        <w:rPr>
          <w:rFonts w:hint="eastAsia" w:ascii="Calibri" w:hAnsi="Calibri" w:eastAsia="宋体" w:cs="Times New Roman"/>
          <w:bCs/>
          <w:color w:val="auto"/>
          <w:kern w:val="0"/>
          <w:sz w:val="24"/>
          <w:szCs w:val="24"/>
          <w:highlight w:val="none"/>
          <w:lang w:val="en-US" w:eastAsia="zh-CN" w:bidi="ar-SA"/>
        </w:rPr>
        <w:t>，</w:t>
      </w:r>
      <w:r>
        <w:rPr>
          <w:rFonts w:ascii="Calibri" w:hAnsi="Calibri" w:eastAsia="宋体" w:cs="Times New Roman"/>
          <w:bCs/>
          <w:color w:val="auto"/>
          <w:kern w:val="0"/>
          <w:sz w:val="24"/>
          <w:szCs w:val="24"/>
          <w:highlight w:val="none"/>
          <w:lang w:val="en-US" w:eastAsia="zh-CN" w:bidi="ar-SA"/>
        </w:rPr>
        <w:t>代谢物分析</w:t>
      </w:r>
    </w:p>
    <w:p>
      <w:pPr>
        <w:widowControl w:val="0"/>
        <w:numPr>
          <w:ilvl w:val="0"/>
          <w:numId w:val="3"/>
        </w:numPr>
        <w:adjustRightInd w:val="0"/>
        <w:spacing w:line="360" w:lineRule="auto"/>
        <w:ind w:left="368" w:hanging="368" w:firstLineChars="0"/>
        <w:jc w:val="both"/>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宋体" w:cs="Times New Roman"/>
          <w:b/>
          <w:color w:val="auto"/>
          <w:kern w:val="2"/>
          <w:sz w:val="24"/>
          <w:szCs w:val="24"/>
          <w:highlight w:val="none"/>
          <w:lang w:val="en-US" w:eastAsia="zh-CN" w:bidi="ar-SA"/>
        </w:rPr>
        <w:t>技术规格</w:t>
      </w:r>
    </w:p>
    <w:p>
      <w:pPr>
        <w:tabs>
          <w:tab w:val="left" w:pos="1080"/>
        </w:tabs>
        <w:adjustRightInd w:val="0"/>
        <w:spacing w:line="360" w:lineRule="auto"/>
        <w:ind w:left="0" w:firstLine="0"/>
        <w:rPr>
          <w:rFonts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rPr>
        <w:t>3</w:t>
      </w:r>
      <w:r>
        <w:rPr>
          <w:rFonts w:ascii="Times New Roman" w:hAnsi="Times New Roman" w:eastAsia="宋体" w:cs="Times New Roman"/>
          <w:bCs/>
          <w:color w:val="auto"/>
          <w:sz w:val="24"/>
          <w:highlight w:val="none"/>
        </w:rPr>
        <w:t>.1</w:t>
      </w:r>
      <w:r>
        <w:rPr>
          <w:rFonts w:hint="eastAsia" w:ascii="Times New Roman" w:hAnsi="Times New Roman" w:eastAsia="宋体" w:cs="Times New Roman"/>
          <w:bCs/>
          <w:color w:val="auto"/>
          <w:sz w:val="24"/>
          <w:highlight w:val="none"/>
        </w:rPr>
        <w:t>质量分析器类型：离子淌度四级杆飞行时间分析器</w:t>
      </w:r>
    </w:p>
    <w:p>
      <w:pPr>
        <w:tabs>
          <w:tab w:val="left" w:pos="1080"/>
        </w:tabs>
        <w:adjustRightInd w:val="0"/>
        <w:spacing w:line="360" w:lineRule="auto"/>
        <w:ind w:left="0" w:firstLine="0"/>
        <w:rPr>
          <w:rFonts w:ascii="Times New Roman" w:hAnsi="Times New Roman" w:eastAsia="宋体" w:cs="Times New Roman"/>
          <w:color w:val="auto"/>
          <w:sz w:val="24"/>
          <w:highlight w:val="none"/>
        </w:rPr>
      </w:pPr>
      <w:r>
        <w:rPr>
          <w:rFonts w:ascii="Times New Roman" w:hAnsi="宋体" w:eastAsia="宋体" w:cs="Times New Roman"/>
          <w:bCs/>
          <w:color w:val="auto"/>
          <w:sz w:val="24"/>
          <w:highlight w:val="none"/>
        </w:rPr>
        <w:t>3.1.1#</w:t>
      </w:r>
      <w:r>
        <w:rPr>
          <w:rFonts w:hint="eastAsia" w:ascii="Times New Roman" w:hAnsi="Times New Roman" w:eastAsia="宋体" w:cs="Times New Roman"/>
          <w:color w:val="auto"/>
          <w:sz w:val="24"/>
          <w:highlight w:val="none"/>
        </w:rPr>
        <w:t>一体化的离子漏斗－四级杆装置，可从离子源前端轻松拆卸，方便维护</w:t>
      </w:r>
    </w:p>
    <w:p>
      <w:pPr>
        <w:tabs>
          <w:tab w:val="left" w:pos="1080"/>
        </w:tabs>
        <w:adjustRightInd w:val="0"/>
        <w:spacing w:line="360" w:lineRule="auto"/>
        <w:ind w:left="357" w:hanging="357"/>
        <w:rPr>
          <w:rFonts w:ascii="Times New Roman" w:hAnsi="Times New Roman" w:eastAsia="宋体" w:cs="Times New Roman"/>
          <w:color w:val="auto"/>
          <w:sz w:val="24"/>
          <w:highlight w:val="none"/>
        </w:rPr>
      </w:pPr>
      <w:r>
        <w:rPr>
          <w:rFonts w:ascii="Times New Roman" w:hAnsi="宋体" w:eastAsia="宋体" w:cs="Times New Roman"/>
          <w:bCs/>
          <w:color w:val="auto"/>
          <w:sz w:val="24"/>
          <w:highlight w:val="none"/>
        </w:rPr>
        <w:t>3.1.2</w:t>
      </w:r>
      <w:r>
        <w:rPr>
          <w:rFonts w:hint="eastAsia" w:ascii="Times New Roman" w:hAnsi="宋体" w:eastAsia="宋体" w:cs="Times New Roman"/>
          <w:bCs/>
          <w:color w:val="auto"/>
          <w:sz w:val="24"/>
          <w:highlight w:val="none"/>
        </w:rPr>
        <w:t>*</w:t>
      </w:r>
      <w:r>
        <w:rPr>
          <w:rFonts w:hint="eastAsia" w:ascii="Times New Roman" w:hAnsi="Times New Roman" w:eastAsia="宋体" w:cs="Times New Roman"/>
          <w:color w:val="auto"/>
          <w:sz w:val="24"/>
          <w:highlight w:val="none"/>
        </w:rPr>
        <w:t>捕集型离子淌度时间和空间聚焦＞50倍，可以把液相100毫秒保留时间的色谱峰聚积在5毫秒内，再进到检测单元，提高灵敏度20-50倍。</w:t>
      </w:r>
    </w:p>
    <w:p>
      <w:pPr>
        <w:tabs>
          <w:tab w:val="left" w:pos="1080"/>
        </w:tabs>
        <w:adjustRightInd w:val="0"/>
        <w:spacing w:line="360" w:lineRule="auto"/>
        <w:ind w:left="357" w:hanging="357"/>
        <w:rPr>
          <w:rFonts w:ascii="Times New Roman" w:hAnsi="Times New Roman" w:eastAsia="宋体" w:cs="Times New Roman"/>
          <w:color w:val="auto"/>
          <w:sz w:val="24"/>
          <w:highlight w:val="none"/>
        </w:rPr>
      </w:pPr>
      <w:r>
        <w:rPr>
          <w:rFonts w:ascii="Times New Roman" w:hAnsi="宋体" w:eastAsia="宋体" w:cs="Times New Roman"/>
          <w:bCs/>
          <w:color w:val="auto"/>
          <w:sz w:val="24"/>
          <w:highlight w:val="none"/>
        </w:rPr>
        <w:t>3.1.3</w:t>
      </w:r>
      <w:r>
        <w:rPr>
          <w:rFonts w:hint="eastAsia" w:ascii="Times New Roman" w:hAnsi="宋体" w:eastAsia="宋体" w:cs="Times New Roman"/>
          <w:bCs/>
          <w:color w:val="auto"/>
          <w:sz w:val="24"/>
          <w:highlight w:val="none"/>
        </w:rPr>
        <w:t>#</w:t>
      </w:r>
      <w:r>
        <w:rPr>
          <w:rFonts w:hint="eastAsia" w:ascii="Times New Roman" w:hAnsi="Times New Roman" w:eastAsia="宋体" w:cs="Times New Roman"/>
          <w:color w:val="auto"/>
          <w:sz w:val="24"/>
          <w:highlight w:val="none"/>
        </w:rPr>
        <w:t xml:space="preserve">捕集型离子淌度，可以将单电荷离子与多电荷离子完全分离开，在复杂蛋白组学分析时，可以屏蔽单电荷的干扰，得到更高质量的 </w:t>
      </w:r>
      <w:r>
        <w:rPr>
          <w:rFonts w:ascii="Times New Roman" w:hAnsi="Times New Roman" w:eastAsia="宋体" w:cs="Times New Roman"/>
          <w:color w:val="auto"/>
          <w:sz w:val="24"/>
          <w:highlight w:val="none"/>
        </w:rPr>
        <w:t>MS2</w:t>
      </w:r>
      <w:r>
        <w:rPr>
          <w:rFonts w:hint="eastAsia" w:ascii="Times New Roman" w:hAnsi="Times New Roman" w:eastAsia="宋体" w:cs="Times New Roman"/>
          <w:color w:val="auto"/>
          <w:sz w:val="24"/>
          <w:highlight w:val="none"/>
        </w:rPr>
        <w:t>谱图。</w:t>
      </w:r>
    </w:p>
    <w:p>
      <w:pPr>
        <w:tabs>
          <w:tab w:val="left" w:pos="1080"/>
        </w:tabs>
        <w:adjustRightInd w:val="0"/>
        <w:spacing w:line="360" w:lineRule="auto"/>
        <w:ind w:left="357" w:hanging="357"/>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3.1.4</w:t>
      </w:r>
      <w:r>
        <w:rPr>
          <w:rFonts w:hint="eastAsia" w:ascii="Times New Roman" w:hAnsi="Times New Roman" w:eastAsia="宋体" w:cs="Times New Roman"/>
          <w:color w:val="auto"/>
          <w:sz w:val="24"/>
          <w:highlight w:val="none"/>
        </w:rPr>
        <w:t>非轴线型的气体辅助喷雾，可承受流速高达</w:t>
      </w:r>
      <w:r>
        <w:rPr>
          <w:rFonts w:ascii="Times New Roman" w:hAnsi="Times New Roman" w:eastAsia="宋体" w:cs="Times New Roman"/>
          <w:color w:val="auto"/>
          <w:sz w:val="24"/>
          <w:highlight w:val="none"/>
        </w:rPr>
        <w:t>1 mL/min</w:t>
      </w:r>
      <w:r>
        <w:rPr>
          <w:rFonts w:hint="eastAsia" w:ascii="Times New Roman" w:hAnsi="Times New Roman" w:eastAsia="宋体" w:cs="Times New Roman"/>
          <w:color w:val="auto"/>
          <w:sz w:val="24"/>
          <w:highlight w:val="none"/>
        </w:rPr>
        <w:t>和从</w:t>
      </w:r>
      <w:r>
        <w:rPr>
          <w:rFonts w:ascii="Times New Roman" w:hAnsi="Times New Roman" w:eastAsia="宋体" w:cs="Times New Roman"/>
          <w:color w:val="auto"/>
          <w:sz w:val="24"/>
          <w:highlight w:val="none"/>
        </w:rPr>
        <w:t>100 %</w:t>
      </w:r>
      <w:r>
        <w:rPr>
          <w:rFonts w:hint="eastAsia" w:ascii="Times New Roman" w:hAnsi="Times New Roman" w:eastAsia="宋体" w:cs="Times New Roman"/>
          <w:color w:val="auto"/>
          <w:sz w:val="24"/>
          <w:highlight w:val="none"/>
        </w:rPr>
        <w:t>水相到</w:t>
      </w:r>
      <w:r>
        <w:rPr>
          <w:rFonts w:ascii="Times New Roman" w:hAnsi="Times New Roman" w:eastAsia="宋体" w:cs="Times New Roman"/>
          <w:color w:val="auto"/>
          <w:sz w:val="24"/>
          <w:highlight w:val="none"/>
        </w:rPr>
        <w:t>100 %</w:t>
      </w:r>
      <w:r>
        <w:rPr>
          <w:rFonts w:hint="eastAsia" w:ascii="Times New Roman" w:hAnsi="Times New Roman" w:eastAsia="宋体" w:cs="Times New Roman"/>
          <w:color w:val="auto"/>
          <w:sz w:val="24"/>
          <w:highlight w:val="none"/>
        </w:rPr>
        <w:t xml:space="preserve">有机相 </w:t>
      </w:r>
      <w:r>
        <w:rPr>
          <w:rFonts w:ascii="Times New Roman" w:hAnsi="Times New Roman" w:eastAsia="宋体" w:cs="Times New Roman"/>
          <w:color w:val="auto"/>
          <w:sz w:val="24"/>
          <w:highlight w:val="none"/>
        </w:rPr>
        <w:t xml:space="preserve"> </w:t>
      </w:r>
    </w:p>
    <w:p>
      <w:pPr>
        <w:tabs>
          <w:tab w:val="left" w:pos="1080"/>
        </w:tabs>
        <w:adjustRightInd w:val="0"/>
        <w:spacing w:line="360" w:lineRule="auto"/>
        <w:ind w:left="357" w:hanging="357"/>
        <w:rPr>
          <w:rFonts w:ascii="Times New Roman" w:hAnsi="Times New Roman" w:eastAsia="宋体" w:cs="Times New Roman"/>
          <w:color w:val="auto"/>
          <w:sz w:val="24"/>
          <w:highlight w:val="none"/>
        </w:rPr>
      </w:pPr>
      <w:r>
        <w:rPr>
          <w:rFonts w:ascii="Times New Roman" w:hAnsi="宋体" w:eastAsia="宋体" w:cs="Times New Roman"/>
          <w:bCs/>
          <w:color w:val="auto"/>
          <w:sz w:val="24"/>
          <w:highlight w:val="none"/>
        </w:rPr>
        <w:t xml:space="preserve">3.1.5 </w:t>
      </w:r>
      <w:r>
        <w:rPr>
          <w:rFonts w:hint="eastAsia" w:ascii="Times New Roman" w:hAnsi="Times New Roman" w:eastAsia="宋体" w:cs="Times New Roman"/>
          <w:color w:val="auto"/>
          <w:sz w:val="24"/>
          <w:highlight w:val="none"/>
        </w:rPr>
        <w:t>喷针零电压设计，方便与各种分离系统连用</w:t>
      </w:r>
    </w:p>
    <w:p>
      <w:pPr>
        <w:tabs>
          <w:tab w:val="left" w:pos="1080"/>
        </w:tabs>
        <w:adjustRightInd w:val="0"/>
        <w:spacing w:line="360" w:lineRule="auto"/>
        <w:ind w:left="357" w:hanging="357"/>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3.1.6</w:t>
      </w:r>
      <w:r>
        <w:rPr>
          <w:rFonts w:hint="eastAsia" w:ascii="Times New Roman" w:hAnsi="Times New Roman" w:eastAsia="宋体" w:cs="Times New Roman"/>
          <w:color w:val="auto"/>
          <w:sz w:val="24"/>
          <w:highlight w:val="none"/>
        </w:rPr>
        <w:t>玻璃毛细管，起到将大气压与真空系统隔离和产生电压差的目的</w:t>
      </w:r>
    </w:p>
    <w:p>
      <w:pPr>
        <w:tabs>
          <w:tab w:val="left" w:pos="1080"/>
        </w:tabs>
        <w:adjustRightInd w:val="0"/>
        <w:spacing w:line="360" w:lineRule="auto"/>
        <w:ind w:left="357" w:hanging="357"/>
        <w:rPr>
          <w:rFonts w:ascii="Times New Roman" w:hAnsi="Times New Roman" w:eastAsia="宋体" w:cs="Times New Roman"/>
          <w:color w:val="auto"/>
          <w:sz w:val="24"/>
          <w:highlight w:val="none"/>
        </w:rPr>
      </w:pPr>
      <w:r>
        <w:rPr>
          <w:rFonts w:ascii="Times New Roman" w:hAnsi="宋体" w:eastAsia="宋体" w:cs="Times New Roman"/>
          <w:bCs/>
          <w:color w:val="auto"/>
          <w:sz w:val="24"/>
          <w:highlight w:val="none"/>
        </w:rPr>
        <w:t>3.1.7</w:t>
      </w:r>
      <w:r>
        <w:rPr>
          <w:rFonts w:hint="eastAsia" w:ascii="Times New Roman" w:hAnsi="宋体" w:eastAsia="宋体" w:cs="Times New Roman"/>
          <w:bCs/>
          <w:color w:val="auto"/>
          <w:sz w:val="24"/>
          <w:highlight w:val="none"/>
        </w:rPr>
        <w:t>*</w:t>
      </w:r>
      <w:r>
        <w:rPr>
          <w:rFonts w:hint="eastAsia" w:ascii="Times New Roman" w:hAnsi="Times New Roman" w:eastAsia="宋体" w:cs="Times New Roman"/>
          <w:color w:val="auto"/>
          <w:sz w:val="24"/>
          <w:highlight w:val="none"/>
        </w:rPr>
        <w:t>具备离子淌度功能，离子淌度分辨率</w:t>
      </w:r>
      <w:r>
        <w:rPr>
          <w:rFonts w:ascii="Times New Roman" w:hAnsi="Times New Roman" w:eastAsia="宋体" w:cs="Times New Roman"/>
          <w:color w:val="auto"/>
          <w:sz w:val="24"/>
          <w:highlight w:val="none"/>
        </w:rPr>
        <w:t>≥150</w:t>
      </w:r>
      <w:r>
        <w:rPr>
          <w:rFonts w:hint="eastAsia" w:ascii="Times New Roman" w:hAnsi="Times New Roman" w:eastAsia="宋体" w:cs="Times New Roman"/>
          <w:color w:val="auto"/>
          <w:sz w:val="24"/>
          <w:highlight w:val="none"/>
        </w:rPr>
        <w:t>（采用</w:t>
      </w:r>
      <w:r>
        <w:rPr>
          <w:rFonts w:ascii="Times New Roman" w:hAnsi="Times New Roman" w:eastAsia="宋体" w:cs="Times New Roman"/>
          <w:color w:val="auto"/>
          <w:sz w:val="24"/>
          <w:highlight w:val="none"/>
        </w:rPr>
        <w:t>Tuning Mix m/z 622</w:t>
      </w:r>
      <w:r>
        <w:rPr>
          <w:rFonts w:hint="eastAsia" w:ascii="Times New Roman" w:hAnsi="Times New Roman" w:eastAsia="宋体" w:cs="Times New Roman"/>
          <w:color w:val="auto"/>
          <w:sz w:val="24"/>
          <w:highlight w:val="none"/>
        </w:rPr>
        <w:t xml:space="preserve">进行测试） </w:t>
      </w:r>
      <w:r>
        <w:rPr>
          <w:rFonts w:ascii="Times New Roman" w:hAnsi="Times New Roman" w:eastAsia="宋体" w:cs="Times New Roman"/>
          <w:color w:val="auto"/>
          <w:sz w:val="24"/>
          <w:highlight w:val="none"/>
        </w:rPr>
        <w:t xml:space="preserve"> </w:t>
      </w:r>
    </w:p>
    <w:p>
      <w:pPr>
        <w:tabs>
          <w:tab w:val="left" w:pos="1080"/>
        </w:tabs>
        <w:adjustRightInd w:val="0"/>
        <w:spacing w:line="360" w:lineRule="auto"/>
        <w:ind w:left="357" w:hanging="357"/>
        <w:rPr>
          <w:rFonts w:ascii="Times New Roman" w:hAnsi="Times New Roman" w:eastAsia="宋体" w:cs="Times New Roman"/>
          <w:b/>
          <w:color w:val="auto"/>
          <w:sz w:val="24"/>
          <w:highlight w:val="none"/>
        </w:rPr>
      </w:pPr>
      <w:r>
        <w:rPr>
          <w:rFonts w:ascii="Times New Roman" w:hAnsi="宋体" w:eastAsia="宋体" w:cs="Times New Roman"/>
          <w:bCs/>
          <w:color w:val="auto"/>
          <w:sz w:val="24"/>
          <w:highlight w:val="none"/>
        </w:rPr>
        <w:t xml:space="preserve">3.1.8 </w:t>
      </w:r>
      <w:r>
        <w:rPr>
          <w:rFonts w:hint="eastAsia" w:ascii="Times New Roman" w:hAnsi="宋体" w:eastAsia="宋体" w:cs="Times New Roman"/>
          <w:bCs/>
          <w:color w:val="auto"/>
          <w:sz w:val="24"/>
          <w:highlight w:val="none"/>
        </w:rPr>
        <w:t>*</w:t>
      </w:r>
      <w:r>
        <w:rPr>
          <w:rFonts w:hint="eastAsia" w:ascii="Times New Roman" w:hAnsi="Times New Roman" w:eastAsia="宋体" w:cs="Times New Roman"/>
          <w:color w:val="auto"/>
          <w:sz w:val="24"/>
          <w:highlight w:val="none"/>
        </w:rPr>
        <w:t>离子淌度分辨率可调节，共三种不同的离子淌度分辨率模式可供选择</w:t>
      </w:r>
    </w:p>
    <w:p>
      <w:pPr>
        <w:widowControl w:val="0"/>
        <w:numPr>
          <w:ilvl w:val="0"/>
          <w:numId w:val="0"/>
        </w:numPr>
        <w:tabs>
          <w:tab w:val="left" w:pos="1080"/>
        </w:tabs>
        <w:adjustRightInd w:val="0"/>
        <w:spacing w:line="360" w:lineRule="auto"/>
        <w:ind w:leftChars="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3.1.9四极杆质量过滤器，质量范围20-</w:t>
      </w:r>
      <w:r>
        <w:rPr>
          <w:rFonts w:ascii="Times New Roman" w:hAnsi="Times New Roman" w:eastAsia="宋体" w:cs="Times New Roman"/>
          <w:color w:val="auto"/>
          <w:kern w:val="2"/>
          <w:sz w:val="24"/>
          <w:szCs w:val="24"/>
          <w:highlight w:val="none"/>
          <w:lang w:val="en-US" w:eastAsia="zh-CN" w:bidi="ar-SA"/>
        </w:rPr>
        <w:t>3000</w:t>
      </w:r>
      <w:r>
        <w:rPr>
          <w:rFonts w:hint="eastAsia" w:ascii="Times New Roman" w:hAnsi="Times New Roman" w:eastAsia="宋体" w:cs="Times New Roman"/>
          <w:color w:val="auto"/>
          <w:kern w:val="2"/>
          <w:sz w:val="24"/>
          <w:szCs w:val="24"/>
          <w:highlight w:val="none"/>
          <w:lang w:val="en-US" w:eastAsia="zh-CN" w:bidi="ar-SA"/>
        </w:rPr>
        <w:t>m/z</w:t>
      </w:r>
      <w:r>
        <w:rPr>
          <w:rFonts w:ascii="Times New Roman" w:hAnsi="Times New Roman" w:eastAsia="宋体" w:cs="Times New Roman"/>
          <w:color w:val="auto"/>
          <w:kern w:val="2"/>
          <w:sz w:val="24"/>
          <w:szCs w:val="24"/>
          <w:highlight w:val="none"/>
          <w:lang w:val="en-US" w:eastAsia="zh-CN" w:bidi="ar-SA"/>
        </w:rPr>
        <w:t xml:space="preserve"> </w:t>
      </w:r>
      <w:r>
        <w:rPr>
          <w:rFonts w:hint="eastAsia" w:ascii="Times New Roman" w:hAnsi="Times New Roman" w:eastAsia="宋体" w:cs="Times New Roman"/>
          <w:color w:val="auto"/>
          <w:kern w:val="2"/>
          <w:sz w:val="24"/>
          <w:szCs w:val="24"/>
          <w:highlight w:val="none"/>
          <w:lang w:val="en-US" w:eastAsia="zh-CN" w:bidi="ar-SA"/>
        </w:rPr>
        <w:t>，可用于母离子单同位素的选择，具有轴向直流电压梯度的</w:t>
      </w:r>
      <w:r>
        <w:rPr>
          <w:rFonts w:ascii="Times New Roman" w:hAnsi="Times New Roman" w:eastAsia="宋体" w:cs="Times New Roman"/>
          <w:color w:val="auto"/>
          <w:kern w:val="2"/>
          <w:sz w:val="24"/>
          <w:szCs w:val="24"/>
          <w:highlight w:val="none"/>
          <w:lang w:val="en-US" w:eastAsia="zh-CN" w:bidi="ar-SA"/>
        </w:rPr>
        <w:t>CID</w:t>
      </w:r>
      <w:r>
        <w:rPr>
          <w:rFonts w:hint="eastAsia" w:ascii="Times New Roman" w:hAnsi="Times New Roman" w:eastAsia="宋体" w:cs="Times New Roman"/>
          <w:color w:val="auto"/>
          <w:kern w:val="2"/>
          <w:sz w:val="24"/>
          <w:szCs w:val="24"/>
          <w:highlight w:val="none"/>
          <w:lang w:val="en-US" w:eastAsia="zh-CN" w:bidi="ar-SA"/>
        </w:rPr>
        <w:t>碰撞池，宽质量范围设计，可调节碰撞气。</w:t>
      </w:r>
    </w:p>
    <w:p>
      <w:pPr>
        <w:tabs>
          <w:tab w:val="left" w:pos="1080"/>
        </w:tabs>
        <w:adjustRightInd w:val="0"/>
        <w:spacing w:line="360" w:lineRule="auto"/>
        <w:ind w:left="357" w:hanging="357"/>
        <w:rPr>
          <w:rFonts w:ascii="Times New Roman" w:hAnsi="Times New Roman" w:eastAsia="宋体" w:cs="Times New Roman"/>
          <w:color w:val="auto"/>
          <w:sz w:val="24"/>
          <w:highlight w:val="none"/>
        </w:rPr>
      </w:pPr>
      <w:r>
        <w:rPr>
          <w:rFonts w:ascii="Times New Roman" w:hAnsi="宋体" w:eastAsia="宋体" w:cs="Times New Roman"/>
          <w:bCs/>
          <w:color w:val="auto"/>
          <w:sz w:val="24"/>
          <w:highlight w:val="none"/>
        </w:rPr>
        <w:t xml:space="preserve">3.1.10 </w:t>
      </w:r>
      <w:r>
        <w:rPr>
          <w:rFonts w:ascii="Times New Roman" w:hAnsi="Times New Roman" w:eastAsia="宋体" w:cs="Times New Roman"/>
          <w:color w:val="auto"/>
          <w:sz w:val="24"/>
          <w:highlight w:val="none"/>
        </w:rPr>
        <w:t>进样口喷针部分电压为零，利于HPLC的联接，安全可靠</w:t>
      </w:r>
      <w:r>
        <w:rPr>
          <w:rFonts w:hint="eastAsia" w:ascii="Times New Roman" w:hAnsi="Times New Roman" w:eastAsia="宋体" w:cs="Times New Roman"/>
          <w:color w:val="auto"/>
          <w:sz w:val="24"/>
          <w:highlight w:val="none"/>
        </w:rPr>
        <w:t>。</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3.1.11</w:t>
      </w:r>
      <w:r>
        <w:rPr>
          <w:rFonts w:hint="eastAsia" w:ascii="Times New Roman" w:hAnsi="Times New Roman" w:eastAsia="宋体" w:cs="Times New Roman"/>
          <w:color w:val="auto"/>
          <w:sz w:val="24"/>
          <w:highlight w:val="none"/>
        </w:rPr>
        <w:t>飞行时间质量分析器采用反射模式，采用飞行中重聚焦离子光学系统，提供更好灵敏度。</w:t>
      </w:r>
    </w:p>
    <w:p>
      <w:pPr>
        <w:widowControl w:val="0"/>
        <w:numPr>
          <w:ilvl w:val="0"/>
          <w:numId w:val="0"/>
        </w:numPr>
        <w:tabs>
          <w:tab w:val="left" w:pos="1080"/>
          <w:tab w:val="left" w:pos="1350"/>
        </w:tabs>
        <w:adjustRightInd w:val="0"/>
        <w:spacing w:line="360" w:lineRule="auto"/>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宋体" w:eastAsia="宋体" w:cs="Times New Roman"/>
          <w:bCs/>
          <w:color w:val="auto"/>
          <w:kern w:val="2"/>
          <w:sz w:val="24"/>
          <w:szCs w:val="24"/>
          <w:highlight w:val="none"/>
          <w:lang w:val="en-US" w:eastAsia="zh-CN" w:bidi="ar-SA"/>
        </w:rPr>
        <w:t>3.1.12</w:t>
      </w:r>
      <w:r>
        <w:rPr>
          <w:rFonts w:ascii="Times New Roman" w:hAnsi="宋体" w:eastAsia="宋体" w:cs="Times New Roman"/>
          <w:bCs/>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可正负离子切换，且飞行管配有先进的水冷恒温温控装置和智能化温度补偿装置，在</w:t>
      </w:r>
      <w:r>
        <w:rPr>
          <w:rFonts w:ascii="Times New Roman" w:hAnsi="Times New Roman" w:eastAsia="宋体" w:cs="Times New Roman"/>
          <w:color w:val="auto"/>
          <w:kern w:val="2"/>
          <w:sz w:val="24"/>
          <w:szCs w:val="24"/>
          <w:highlight w:val="none"/>
          <w:lang w:val="en-US" w:eastAsia="zh-CN" w:bidi="ar-SA"/>
        </w:rPr>
        <w:t>MS</w:t>
      </w:r>
      <w:r>
        <w:rPr>
          <w:rFonts w:hint="eastAsia" w:ascii="Times New Roman" w:hAnsi="Times New Roman" w:eastAsia="宋体" w:cs="Times New Roman"/>
          <w:color w:val="auto"/>
          <w:kern w:val="2"/>
          <w:sz w:val="24"/>
          <w:szCs w:val="24"/>
          <w:highlight w:val="none"/>
          <w:lang w:val="en-US" w:eastAsia="zh-CN" w:bidi="ar-SA"/>
        </w:rPr>
        <w:t>和</w:t>
      </w:r>
      <w:r>
        <w:rPr>
          <w:rFonts w:ascii="Times New Roman" w:hAnsi="Times New Roman" w:eastAsia="宋体" w:cs="Times New Roman"/>
          <w:color w:val="auto"/>
          <w:kern w:val="2"/>
          <w:sz w:val="24"/>
          <w:szCs w:val="24"/>
          <w:highlight w:val="none"/>
          <w:lang w:val="en-US" w:eastAsia="zh-CN" w:bidi="ar-SA"/>
        </w:rPr>
        <w:t>MS/MS</w:t>
      </w:r>
      <w:r>
        <w:rPr>
          <w:rFonts w:hint="eastAsia" w:ascii="Times New Roman" w:hAnsi="Times New Roman" w:eastAsia="宋体" w:cs="Times New Roman"/>
          <w:color w:val="auto"/>
          <w:kern w:val="2"/>
          <w:sz w:val="24"/>
          <w:szCs w:val="24"/>
          <w:highlight w:val="none"/>
          <w:lang w:val="en-US" w:eastAsia="zh-CN" w:bidi="ar-SA"/>
        </w:rPr>
        <w:t>模式下质量准确度具有长时间的超稳定性。</w:t>
      </w:r>
    </w:p>
    <w:p>
      <w:pPr>
        <w:widowControl w:val="0"/>
        <w:numPr>
          <w:ilvl w:val="0"/>
          <w:numId w:val="0"/>
        </w:numPr>
        <w:tabs>
          <w:tab w:val="left" w:pos="1080"/>
          <w:tab w:val="left" w:pos="1350"/>
        </w:tabs>
        <w:adjustRightInd w:val="0"/>
        <w:spacing w:line="360" w:lineRule="auto"/>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3.1.13五级真空差动系统</w:t>
      </w:r>
      <w:r>
        <w:rPr>
          <w:rFonts w:ascii="Times New Roman" w:hAnsi="Times New Roman" w:eastAsia="宋体" w:cs="Times New Roman"/>
          <w:color w:val="auto"/>
          <w:kern w:val="2"/>
          <w:sz w:val="24"/>
          <w:szCs w:val="24"/>
          <w:highlight w:val="none"/>
          <w:lang w:val="en-US" w:eastAsia="zh-CN" w:bidi="ar-SA"/>
        </w:rPr>
        <w:t xml:space="preserve">   </w:t>
      </w:r>
    </w:p>
    <w:p>
      <w:pPr>
        <w:widowControl w:val="0"/>
        <w:numPr>
          <w:ilvl w:val="0"/>
          <w:numId w:val="0"/>
        </w:numPr>
        <w:tabs>
          <w:tab w:val="left" w:pos="1080"/>
          <w:tab w:val="left" w:pos="1350"/>
        </w:tabs>
        <w:adjustRightInd w:val="0"/>
        <w:spacing w:line="360" w:lineRule="auto"/>
        <w:jc w:val="both"/>
        <w:rPr>
          <w:rFonts w:ascii="Times New Roman" w:hAnsi="Times New Roman" w:eastAsia="宋体" w:cs="Times New Roman"/>
          <w:b/>
          <w:color w:val="auto"/>
          <w:kern w:val="0"/>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3.1.14#</w:t>
      </w:r>
      <w:r>
        <w:rPr>
          <w:rFonts w:ascii="Arial" w:hAnsi="Arial" w:eastAsia="宋体" w:cs="Arial"/>
          <w:color w:val="auto"/>
          <w:kern w:val="0"/>
          <w:sz w:val="24"/>
          <w:szCs w:val="24"/>
          <w:highlight w:val="none"/>
          <w:lang w:val="en-US" w:eastAsia="zh-CN" w:bidi="ar-SA"/>
        </w:rPr>
        <w:t>TOF</w:t>
      </w:r>
      <w:r>
        <w:rPr>
          <w:rFonts w:hint="eastAsia" w:ascii="Times New Roman" w:hAnsi="Times New Roman" w:eastAsia="宋体" w:cs="Times New Roman"/>
          <w:color w:val="auto"/>
          <w:kern w:val="2"/>
          <w:sz w:val="24"/>
          <w:szCs w:val="24"/>
          <w:highlight w:val="none"/>
          <w:lang w:val="en-US" w:eastAsia="zh-CN" w:bidi="ar-SA"/>
        </w:rPr>
        <w:t>分辨率：采用V模式条件，仪器分辨率 ≥</w:t>
      </w:r>
      <w:r>
        <w:rPr>
          <w:rFonts w:ascii="Times New Roman" w:hAnsi="Times New Roman" w:eastAsia="宋体" w:cs="Times New Roman"/>
          <w:color w:val="auto"/>
          <w:kern w:val="2"/>
          <w:sz w:val="24"/>
          <w:szCs w:val="24"/>
          <w:highlight w:val="none"/>
          <w:lang w:val="en-US" w:eastAsia="zh-CN" w:bidi="ar-SA"/>
        </w:rPr>
        <w:t>600</w:t>
      </w:r>
      <w:r>
        <w:rPr>
          <w:rFonts w:hint="eastAsia" w:ascii="Times New Roman" w:hAnsi="Times New Roman" w:eastAsia="宋体" w:cs="Times New Roman"/>
          <w:color w:val="auto"/>
          <w:kern w:val="2"/>
          <w:sz w:val="24"/>
          <w:szCs w:val="24"/>
          <w:highlight w:val="none"/>
          <w:lang w:val="en-US" w:eastAsia="zh-CN" w:bidi="ar-SA"/>
        </w:rPr>
        <w:t>00 FSR（1222m/z）。</w:t>
      </w:r>
      <w:r>
        <w:rPr>
          <w:rFonts w:ascii="Times New Roman" w:hAnsi="Times New Roman" w:eastAsia="宋体" w:cs="Times New Roman"/>
          <w:color w:val="auto"/>
          <w:kern w:val="2"/>
          <w:sz w:val="24"/>
          <w:szCs w:val="24"/>
          <w:highlight w:val="none"/>
          <w:lang w:val="en-US" w:eastAsia="zh-CN" w:bidi="ar-SA"/>
        </w:rPr>
        <w:t xml:space="preserve">   </w:t>
      </w:r>
    </w:p>
    <w:p>
      <w:pPr>
        <w:widowControl w:val="0"/>
        <w:numPr>
          <w:ilvl w:val="0"/>
          <w:numId w:val="0"/>
        </w:numPr>
        <w:tabs>
          <w:tab w:val="left" w:pos="1080"/>
          <w:tab w:val="left" w:pos="1350"/>
        </w:tabs>
        <w:adjustRightInd w:val="0"/>
        <w:spacing w:line="360" w:lineRule="auto"/>
        <w:jc w:val="both"/>
        <w:rPr>
          <w:rFonts w:ascii="Times New Roman" w:hAnsi="Times New Roman" w:eastAsia="宋体" w:cs="Times New Roman"/>
          <w:bCs/>
          <w:color w:val="auto"/>
          <w:kern w:val="0"/>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3.1.15#</w:t>
      </w:r>
      <w:r>
        <w:rPr>
          <w:rFonts w:ascii="Arial" w:hAnsi="Arial" w:eastAsia="宋体" w:cs="Arial"/>
          <w:color w:val="auto"/>
          <w:kern w:val="0"/>
          <w:sz w:val="24"/>
          <w:szCs w:val="24"/>
          <w:highlight w:val="none"/>
          <w:lang w:val="en-US" w:eastAsia="zh-CN" w:bidi="ar-SA"/>
        </w:rPr>
        <w:t>TOF</w:t>
      </w:r>
      <w:r>
        <w:rPr>
          <w:rFonts w:hint="eastAsia" w:ascii="Times New Roman" w:hAnsi="Times New Roman" w:eastAsia="宋体" w:cs="Times New Roman"/>
          <w:color w:val="auto"/>
          <w:kern w:val="2"/>
          <w:sz w:val="24"/>
          <w:szCs w:val="24"/>
          <w:highlight w:val="none"/>
          <w:lang w:val="en-US" w:eastAsia="zh-CN" w:bidi="ar-SA"/>
        </w:rPr>
        <w:t>准确度：</w:t>
      </w:r>
      <w:r>
        <w:rPr>
          <w:rFonts w:hint="eastAsia" w:ascii="Times New Roman" w:hAnsi="Times New Roman" w:eastAsia="宋体" w:cs="Times New Roman"/>
          <w:bCs/>
          <w:color w:val="auto"/>
          <w:kern w:val="0"/>
          <w:sz w:val="24"/>
          <w:szCs w:val="24"/>
          <w:highlight w:val="none"/>
          <w:lang w:val="en-US" w:eastAsia="zh-CN" w:bidi="ar-SA"/>
        </w:rPr>
        <w:t>内标校准：平均误差 ≤ 0.8 ppm(tuning mix  m/z 1221.990637 测量30张图谱)</w:t>
      </w:r>
    </w:p>
    <w:p>
      <w:pPr>
        <w:widowControl w:val="0"/>
        <w:tabs>
          <w:tab w:val="left" w:pos="210"/>
          <w:tab w:val="left" w:pos="420"/>
          <w:tab w:val="left" w:pos="640"/>
        </w:tabs>
        <w:adjustRightInd w:val="0"/>
        <w:spacing w:line="360" w:lineRule="auto"/>
        <w:ind w:left="720" w:firstLine="0" w:firstLineChars="0"/>
        <w:jc w:val="both"/>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外标校准：平均误差 ≤ 2 ppm（tuning mix  m/z 1221.990637 测量10张图谱)</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3.2  </w:t>
      </w:r>
      <w:r>
        <w:rPr>
          <w:rFonts w:hint="eastAsia" w:ascii="Times New Roman" w:hAnsi="Times New Roman" w:eastAsia="宋体" w:cs="Times New Roman"/>
          <w:color w:val="auto"/>
          <w:sz w:val="24"/>
          <w:highlight w:val="none"/>
        </w:rPr>
        <w:t>性能参数</w:t>
      </w:r>
      <w:r>
        <w:rPr>
          <w:rFonts w:ascii="Times New Roman" w:hAnsi="Times New Roman" w:eastAsia="宋体" w:cs="Times New Roman"/>
          <w:color w:val="auto"/>
          <w:sz w:val="24"/>
          <w:highlight w:val="none"/>
        </w:rPr>
        <w:t xml:space="preserve"> </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ascii="Times New Roman" w:hAnsi="宋体" w:eastAsia="宋体" w:cs="Times New Roman"/>
          <w:bCs/>
          <w:color w:val="auto"/>
          <w:sz w:val="24"/>
          <w:highlight w:val="none"/>
        </w:rPr>
        <w:t xml:space="preserve">3.2.1 </w:t>
      </w:r>
      <w:r>
        <w:rPr>
          <w:rFonts w:hint="eastAsia" w:ascii="Times New Roman" w:hAnsi="宋体" w:eastAsia="宋体" w:cs="Times New Roman"/>
          <w:bCs/>
          <w:color w:val="auto"/>
          <w:sz w:val="24"/>
          <w:highlight w:val="none"/>
        </w:rPr>
        <w:t>*</w:t>
      </w:r>
      <w:r>
        <w:rPr>
          <w:rFonts w:hint="eastAsia" w:ascii="Times New Roman" w:hAnsi="Times New Roman" w:eastAsia="宋体" w:cs="Times New Roman"/>
          <w:color w:val="auto"/>
          <w:sz w:val="24"/>
          <w:highlight w:val="none"/>
        </w:rPr>
        <w:t>同位素丰度真实值与理论值比率偏差(用TOF-MS Tuning Mix m/z=622、922、1522测试)：＜2%</w:t>
      </w:r>
    </w:p>
    <w:p>
      <w:pPr>
        <w:keepNext w:val="0"/>
        <w:keepLines w:val="0"/>
        <w:pageBreakBefore w:val="0"/>
        <w:widowControl w:val="0"/>
        <w:numPr>
          <w:ilvl w:val="0"/>
          <w:numId w:val="0"/>
        </w:numPr>
        <w:tabs>
          <w:tab w:val="left" w:pos="1080"/>
          <w:tab w:val="left" w:pos="1350"/>
        </w:tabs>
        <w:kinsoku/>
        <w:wordWrap/>
        <w:overflowPunct/>
        <w:topLinePunct w:val="0"/>
        <w:autoSpaceDE/>
        <w:autoSpaceDN/>
        <w:bidi w:val="0"/>
        <w:adjustRightInd w:val="0"/>
        <w:snapToGrid/>
        <w:spacing w:line="360" w:lineRule="auto"/>
        <w:ind w:leftChars="0"/>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宋体" w:eastAsia="宋体" w:cs="Times New Roman"/>
          <w:bCs/>
          <w:color w:val="auto"/>
          <w:kern w:val="2"/>
          <w:sz w:val="24"/>
          <w:szCs w:val="24"/>
          <w:highlight w:val="none"/>
          <w:lang w:val="en-US" w:eastAsia="zh-CN" w:bidi="ar-SA"/>
        </w:rPr>
        <w:t>3.2.2</w:t>
      </w:r>
      <w:r>
        <w:rPr>
          <w:rFonts w:ascii="Times New Roman" w:hAnsi="宋体" w:eastAsia="宋体" w:cs="Times New Roman"/>
          <w:bCs/>
          <w:color w:val="auto"/>
          <w:kern w:val="2"/>
          <w:sz w:val="24"/>
          <w:szCs w:val="24"/>
          <w:highlight w:val="none"/>
          <w:lang w:val="en-US" w:eastAsia="zh-CN" w:bidi="ar-SA"/>
        </w:rPr>
        <w:t>#</w:t>
      </w:r>
      <w:r>
        <w:rPr>
          <w:rFonts w:hint="eastAsia" w:ascii="Times New Roman" w:hAnsi="Times New Roman" w:eastAsia="宋体" w:cs="Times New Roman"/>
          <w:snapToGrid w:val="0"/>
          <w:color w:val="auto"/>
          <w:kern w:val="2"/>
          <w:sz w:val="24"/>
          <w:szCs w:val="24"/>
          <w:highlight w:val="none"/>
          <w:lang w:val="en-US" w:eastAsia="zh-CN" w:bidi="ar-SA"/>
        </w:rPr>
        <w:t>数字转换器</w:t>
      </w:r>
      <w:r>
        <w:rPr>
          <w:rFonts w:hint="eastAsia" w:ascii="Times New Roman" w:hAnsi="Times New Roman" w:eastAsia="宋体" w:cs="Times New Roman"/>
          <w:color w:val="auto"/>
          <w:kern w:val="2"/>
          <w:sz w:val="24"/>
          <w:szCs w:val="24"/>
          <w:highlight w:val="none"/>
          <w:lang w:val="en-US" w:eastAsia="zh-CN" w:bidi="ar-SA"/>
        </w:rPr>
        <w:t>：</w:t>
      </w:r>
      <w:r>
        <w:rPr>
          <w:rFonts w:ascii="Times New Roman" w:hAnsi="Times New Roman" w:eastAsia="宋体" w:cs="Times New Roman"/>
          <w:color w:val="auto"/>
          <w:kern w:val="2"/>
          <w:sz w:val="24"/>
          <w:szCs w:val="24"/>
          <w:highlight w:val="none"/>
          <w:lang w:val="en-US" w:eastAsia="zh-CN" w:bidi="ar-SA"/>
        </w:rPr>
        <w:t>5 G</w:t>
      </w:r>
      <w:r>
        <w:rPr>
          <w:rFonts w:hint="eastAsia" w:ascii="Times New Roman" w:hAnsi="Times New Roman" w:eastAsia="宋体" w:cs="Times New Roman"/>
          <w:color w:val="auto"/>
          <w:kern w:val="2"/>
          <w:sz w:val="24"/>
          <w:szCs w:val="24"/>
          <w:highlight w:val="none"/>
          <w:lang w:val="en-US" w:eastAsia="zh-CN" w:bidi="ar-SA"/>
        </w:rPr>
        <w:t>模拟数字转换器</w:t>
      </w:r>
      <w:r>
        <w:rPr>
          <w:rFonts w:ascii="Times New Roman" w:hAnsi="Times New Roman" w:eastAsia="宋体" w:cs="Times New Roman"/>
          <w:color w:val="auto"/>
          <w:kern w:val="2"/>
          <w:sz w:val="24"/>
          <w:szCs w:val="24"/>
          <w:highlight w:val="none"/>
          <w:lang w:val="en-US" w:eastAsia="zh-CN" w:bidi="ar-SA"/>
        </w:rPr>
        <w:t>ADC</w:t>
      </w:r>
      <w:r>
        <w:rPr>
          <w:rFonts w:hint="eastAsia" w:ascii="Times New Roman" w:hAnsi="Times New Roman" w:eastAsia="宋体" w:cs="Times New Roman"/>
          <w:color w:val="auto"/>
          <w:kern w:val="2"/>
          <w:sz w:val="24"/>
          <w:szCs w:val="24"/>
          <w:highlight w:val="none"/>
          <w:lang w:val="en-US" w:eastAsia="zh-CN" w:bidi="ar-SA"/>
        </w:rPr>
        <w:t>，</w:t>
      </w:r>
      <w:r>
        <w:rPr>
          <w:rFonts w:ascii="Times New Roman" w:hAnsi="Times New Roman" w:eastAsia="宋体" w:cs="Times New Roman"/>
          <w:color w:val="auto"/>
          <w:kern w:val="2"/>
          <w:sz w:val="24"/>
          <w:szCs w:val="24"/>
          <w:highlight w:val="none"/>
          <w:lang w:val="en-US" w:eastAsia="zh-CN" w:bidi="ar-SA"/>
        </w:rPr>
        <w:t xml:space="preserve"> 50 G bit/</w:t>
      </w:r>
      <w:r>
        <w:rPr>
          <w:rFonts w:hint="eastAsia" w:ascii="Times New Roman" w:hAnsi="Times New Roman" w:eastAsia="宋体" w:cs="Times New Roman"/>
          <w:color w:val="auto"/>
          <w:kern w:val="2"/>
          <w:sz w:val="24"/>
          <w:szCs w:val="24"/>
          <w:highlight w:val="none"/>
          <w:lang w:val="en-US" w:eastAsia="zh-CN" w:bidi="ar-SA"/>
        </w:rPr>
        <w:t>秒</w:t>
      </w:r>
    </w:p>
    <w:p>
      <w:pPr>
        <w:widowControl w:val="0"/>
        <w:numPr>
          <w:ilvl w:val="0"/>
          <w:numId w:val="0"/>
        </w:numPr>
        <w:tabs>
          <w:tab w:val="left" w:pos="1080"/>
          <w:tab w:val="left" w:pos="1350"/>
        </w:tabs>
        <w:adjustRightInd w:val="0"/>
        <w:spacing w:line="360" w:lineRule="auto"/>
        <w:ind w:leftChars="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宋体" w:eastAsia="宋体" w:cs="Times New Roman"/>
          <w:bCs/>
          <w:color w:val="auto"/>
          <w:kern w:val="2"/>
          <w:sz w:val="24"/>
          <w:szCs w:val="24"/>
          <w:highlight w:val="none"/>
          <w:lang w:val="en-US" w:eastAsia="zh-CN" w:bidi="ar-SA"/>
        </w:rPr>
        <w:t>3.2.3</w:t>
      </w:r>
      <w:r>
        <w:rPr>
          <w:rFonts w:ascii="Times New Roman" w:hAnsi="宋体" w:eastAsia="宋体" w:cs="Times New Roman"/>
          <w:bCs/>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采样频率：</w:t>
      </w:r>
      <w:r>
        <w:rPr>
          <w:rFonts w:ascii="Times New Roman" w:hAnsi="Times New Roman" w:eastAsia="宋体" w:cs="Times New Roman"/>
          <w:color w:val="auto"/>
          <w:kern w:val="2"/>
          <w:sz w:val="24"/>
          <w:szCs w:val="24"/>
          <w:highlight w:val="none"/>
          <w:lang w:val="en-US" w:eastAsia="zh-CN" w:bidi="ar-SA"/>
        </w:rPr>
        <w:t>MS</w:t>
      </w:r>
      <w:r>
        <w:rPr>
          <w:rFonts w:hint="eastAsia" w:ascii="Times New Roman" w:hAnsi="Times New Roman" w:eastAsia="宋体" w:cs="Times New Roman"/>
          <w:color w:val="auto"/>
          <w:kern w:val="2"/>
          <w:sz w:val="24"/>
          <w:szCs w:val="24"/>
          <w:highlight w:val="none"/>
          <w:lang w:val="en-US" w:eastAsia="zh-CN" w:bidi="ar-SA"/>
        </w:rPr>
        <w:t>和</w:t>
      </w:r>
      <w:r>
        <w:rPr>
          <w:rFonts w:ascii="Times New Roman" w:hAnsi="Times New Roman" w:eastAsia="宋体" w:cs="Times New Roman"/>
          <w:color w:val="auto"/>
          <w:kern w:val="2"/>
          <w:sz w:val="24"/>
          <w:szCs w:val="24"/>
          <w:highlight w:val="none"/>
          <w:lang w:val="en-US" w:eastAsia="zh-CN" w:bidi="ar-SA"/>
        </w:rPr>
        <w:t>MS/MS</w:t>
      </w:r>
      <w:r>
        <w:rPr>
          <w:rFonts w:hint="eastAsia" w:ascii="Times New Roman" w:hAnsi="Times New Roman" w:eastAsia="宋体" w:cs="Times New Roman"/>
          <w:color w:val="auto"/>
          <w:kern w:val="2"/>
          <w:sz w:val="24"/>
          <w:szCs w:val="24"/>
          <w:highlight w:val="none"/>
          <w:lang w:val="en-US" w:eastAsia="zh-CN" w:bidi="ar-SA"/>
        </w:rPr>
        <w:t>均为</w:t>
      </w:r>
      <w:r>
        <w:rPr>
          <w:rFonts w:ascii="Times New Roman" w:hAnsi="Times New Roman" w:eastAsia="宋体" w:cs="Times New Roman"/>
          <w:color w:val="auto"/>
          <w:kern w:val="2"/>
          <w:sz w:val="24"/>
          <w:szCs w:val="24"/>
          <w:highlight w:val="none"/>
          <w:lang w:val="en-US" w:eastAsia="zh-CN" w:bidi="ar-SA"/>
        </w:rPr>
        <w:t xml:space="preserve"> 50 Hz</w:t>
      </w:r>
      <w:r>
        <w:rPr>
          <w:rFonts w:hint="eastAsia" w:ascii="Times New Roman" w:hAnsi="Times New Roman" w:eastAsia="宋体" w:cs="Times New Roman"/>
          <w:color w:val="auto"/>
          <w:kern w:val="2"/>
          <w:sz w:val="24"/>
          <w:szCs w:val="24"/>
          <w:highlight w:val="none"/>
          <w:lang w:val="en-US" w:eastAsia="zh-CN" w:bidi="ar-SA"/>
        </w:rPr>
        <w:t>；淌度循环模式：</w:t>
      </w:r>
      <w:r>
        <w:rPr>
          <w:rFonts w:ascii="Times New Roman" w:hAnsi="Times New Roman" w:eastAsia="宋体" w:cs="Times New Roman"/>
          <w:color w:val="auto"/>
          <w:kern w:val="2"/>
          <w:sz w:val="24"/>
          <w:szCs w:val="24"/>
          <w:highlight w:val="none"/>
          <w:lang w:val="en-US" w:eastAsia="zh-CN" w:bidi="ar-SA"/>
        </w:rPr>
        <w:t>MS/MS &gt; 120 Hz</w:t>
      </w:r>
    </w:p>
    <w:p>
      <w:pPr>
        <w:widowControl w:val="0"/>
        <w:numPr>
          <w:ilvl w:val="0"/>
          <w:numId w:val="0"/>
        </w:numPr>
        <w:tabs>
          <w:tab w:val="left" w:pos="1080"/>
          <w:tab w:val="left" w:pos="1350"/>
        </w:tabs>
        <w:adjustRightInd w:val="0"/>
        <w:spacing w:line="360" w:lineRule="auto"/>
        <w:ind w:leftChars="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3.2.4适用于定性定量分析的高分辨提取离子色谱技术</w:t>
      </w:r>
    </w:p>
    <w:p>
      <w:pPr>
        <w:widowControl w:val="0"/>
        <w:autoSpaceDE w:val="0"/>
        <w:autoSpaceDN w:val="0"/>
        <w:adjustRightInd w:val="0"/>
        <w:spacing w:line="360" w:lineRule="auto"/>
        <w:ind w:firstLine="420"/>
        <w:jc w:val="both"/>
        <w:rPr>
          <w:rFonts w:ascii="Arial" w:hAnsi="Arial" w:eastAsia="宋体" w:cs="Arial"/>
          <w:color w:val="auto"/>
          <w:kern w:val="0"/>
          <w:sz w:val="24"/>
          <w:szCs w:val="24"/>
          <w:highlight w:val="none"/>
          <w:lang w:val="en-US" w:eastAsia="zh-CN" w:bidi="ar-SA"/>
        </w:rPr>
      </w:pPr>
      <w:r>
        <w:rPr>
          <w:rFonts w:hint="eastAsia" w:ascii="Arial" w:hAnsi="Arial" w:eastAsia="宋体" w:cs="Arial"/>
          <w:color w:val="auto"/>
          <w:kern w:val="0"/>
          <w:sz w:val="24"/>
          <w:szCs w:val="24"/>
          <w:highlight w:val="none"/>
          <w:lang w:val="en-US" w:eastAsia="zh-CN" w:bidi="ar-SA"/>
        </w:rPr>
        <w:t>在常规色谱峰中，高分辨提取离子</w:t>
      </w:r>
      <w:r>
        <w:rPr>
          <w:rFonts w:ascii="Arial" w:hAnsi="Arial" w:eastAsia="宋体" w:cs="Arial"/>
          <w:color w:val="auto"/>
          <w:kern w:val="0"/>
          <w:sz w:val="24"/>
          <w:szCs w:val="24"/>
          <w:highlight w:val="none"/>
          <w:lang w:val="en-US" w:eastAsia="zh-CN" w:bidi="ar-SA"/>
        </w:rPr>
        <w:t>(hrEIC)</w:t>
      </w:r>
      <w:r>
        <w:rPr>
          <w:rFonts w:hint="eastAsia" w:ascii="Arial" w:hAnsi="Arial" w:eastAsia="宋体" w:cs="Arial"/>
          <w:color w:val="auto"/>
          <w:kern w:val="0"/>
          <w:sz w:val="24"/>
          <w:szCs w:val="24"/>
          <w:highlight w:val="none"/>
          <w:lang w:val="en-US" w:eastAsia="zh-CN" w:bidi="ar-SA"/>
        </w:rPr>
        <w:t>保证小于</w:t>
      </w:r>
      <w:r>
        <w:rPr>
          <w:rFonts w:ascii="Arial" w:hAnsi="Arial" w:eastAsia="宋体" w:cs="Arial"/>
          <w:color w:val="auto"/>
          <w:kern w:val="0"/>
          <w:sz w:val="24"/>
          <w:szCs w:val="24"/>
          <w:highlight w:val="none"/>
          <w:lang w:val="en-US" w:eastAsia="zh-CN" w:bidi="ar-SA"/>
        </w:rPr>
        <w:t>1.0 mDa</w:t>
      </w:r>
      <w:r>
        <w:rPr>
          <w:rFonts w:hint="eastAsia" w:ascii="Arial" w:hAnsi="Arial" w:eastAsia="宋体" w:cs="Arial"/>
          <w:color w:val="auto"/>
          <w:kern w:val="0"/>
          <w:sz w:val="24"/>
          <w:szCs w:val="24"/>
          <w:highlight w:val="none"/>
          <w:lang w:val="en-US" w:eastAsia="zh-CN" w:bidi="ar-SA"/>
        </w:rPr>
        <w:t>误差</w:t>
      </w:r>
    </w:p>
    <w:p>
      <w:pPr>
        <w:widowControl w:val="0"/>
        <w:numPr>
          <w:ilvl w:val="0"/>
          <w:numId w:val="0"/>
        </w:numPr>
        <w:tabs>
          <w:tab w:val="left" w:pos="1080"/>
          <w:tab w:val="left" w:pos="1350"/>
        </w:tabs>
        <w:adjustRightInd w:val="0"/>
        <w:spacing w:line="360" w:lineRule="auto"/>
        <w:ind w:leftChars="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宋体" w:eastAsia="宋体" w:cs="Times New Roman"/>
          <w:bCs/>
          <w:color w:val="auto"/>
          <w:kern w:val="2"/>
          <w:sz w:val="24"/>
          <w:szCs w:val="24"/>
          <w:highlight w:val="none"/>
          <w:lang w:val="en-US" w:eastAsia="zh-CN" w:bidi="ar-SA"/>
        </w:rPr>
        <w:t>3.2.5</w:t>
      </w:r>
      <w:r>
        <w:rPr>
          <w:rFonts w:ascii="Times New Roman" w:hAnsi="宋体" w:eastAsia="宋体" w:cs="Times New Roman"/>
          <w:bCs/>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 xml:space="preserve">质量范围： </w:t>
      </w:r>
      <w:r>
        <w:rPr>
          <w:rFonts w:ascii="Times New Roman" w:hAnsi="Times New Roman" w:eastAsia="宋体" w:cs="Times New Roman"/>
          <w:color w:val="auto"/>
          <w:kern w:val="2"/>
          <w:sz w:val="24"/>
          <w:szCs w:val="24"/>
          <w:highlight w:val="none"/>
          <w:lang w:val="en-US" w:eastAsia="zh-CN" w:bidi="ar-SA"/>
        </w:rPr>
        <w:t>20-40,000 m/z</w:t>
      </w:r>
      <w:r>
        <w:rPr>
          <w:rFonts w:hint="eastAsia" w:ascii="Times New Roman" w:hAnsi="Times New Roman" w:eastAsia="宋体" w:cs="Times New Roman"/>
          <w:color w:val="auto"/>
          <w:kern w:val="2"/>
          <w:sz w:val="24"/>
          <w:szCs w:val="24"/>
          <w:highlight w:val="none"/>
          <w:lang w:val="en-US" w:eastAsia="zh-CN" w:bidi="ar-SA"/>
        </w:rPr>
        <w:t>，可由软件自动设定</w:t>
      </w:r>
      <w:r>
        <w:rPr>
          <w:rFonts w:ascii="Times New Roman" w:hAnsi="Times New Roman" w:eastAsia="宋体" w:cs="Times New Roman"/>
          <w:color w:val="auto"/>
          <w:kern w:val="2"/>
          <w:sz w:val="24"/>
          <w:szCs w:val="24"/>
          <w:highlight w:val="none"/>
          <w:lang w:val="en-US" w:eastAsia="zh-CN" w:bidi="ar-SA"/>
        </w:rPr>
        <w:t xml:space="preserve"> </w:t>
      </w:r>
    </w:p>
    <w:p>
      <w:pPr>
        <w:widowControl w:val="0"/>
        <w:numPr>
          <w:ilvl w:val="0"/>
          <w:numId w:val="0"/>
        </w:numPr>
        <w:tabs>
          <w:tab w:val="left" w:pos="1080"/>
          <w:tab w:val="left" w:pos="1350"/>
        </w:tabs>
        <w:adjustRightInd w:val="0"/>
        <w:spacing w:line="360" w:lineRule="auto"/>
        <w:ind w:left="480" w:leftChars="0" w:hanging="480" w:hangingChars="20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宋体" w:eastAsia="宋体" w:cs="Times New Roman"/>
          <w:bCs/>
          <w:color w:val="auto"/>
          <w:kern w:val="2"/>
          <w:sz w:val="24"/>
          <w:szCs w:val="24"/>
          <w:highlight w:val="none"/>
          <w:lang w:val="en-US" w:eastAsia="zh-CN" w:bidi="ar-SA"/>
        </w:rPr>
        <w:t>3.2.6</w:t>
      </w:r>
      <w:r>
        <w:rPr>
          <w:rFonts w:ascii="Times New Roman" w:hAnsi="宋体" w:eastAsia="宋体" w:cs="Times New Roman"/>
          <w:bCs/>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灵敏度： MS：1pg利血平（m/z 609），信噪比&gt;</w:t>
      </w:r>
      <w:r>
        <w:rPr>
          <w:rFonts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00: 1 RMS（基线不用平滑处理，以得到的质谱棒状图计算）。</w:t>
      </w:r>
    </w:p>
    <w:p>
      <w:pPr>
        <w:widowControl w:val="0"/>
        <w:numPr>
          <w:ilvl w:val="0"/>
          <w:numId w:val="0"/>
        </w:numPr>
        <w:tabs>
          <w:tab w:val="left" w:pos="1080"/>
          <w:tab w:val="left" w:pos="1350"/>
        </w:tabs>
        <w:adjustRightInd w:val="0"/>
        <w:spacing w:line="360" w:lineRule="auto"/>
        <w:ind w:left="480" w:leftChars="0" w:hanging="480" w:hangingChars="20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宋体" w:eastAsia="宋体" w:cs="Times New Roman"/>
          <w:bCs/>
          <w:color w:val="auto"/>
          <w:kern w:val="2"/>
          <w:sz w:val="24"/>
          <w:szCs w:val="24"/>
          <w:highlight w:val="none"/>
          <w:lang w:val="en-US" w:eastAsia="zh-CN" w:bidi="ar-SA"/>
        </w:rPr>
        <w:t>3.2.7</w:t>
      </w:r>
      <w:r>
        <w:rPr>
          <w:rFonts w:ascii="Times New Roman" w:hAnsi="宋体" w:eastAsia="宋体" w:cs="Times New Roman"/>
          <w:bCs/>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全扫描MS/MS模式：消耗量为2.5fmol多肽Glu-Fibrinopeptide B时，二价离子的碎片离子y’中最强峰信号大于10</w:t>
      </w:r>
      <w:r>
        <w:rPr>
          <w:rFonts w:ascii="Times New Roman" w:hAnsi="Times New Roman" w:eastAsia="宋体" w:cs="Times New Roman"/>
          <w:color w:val="auto"/>
          <w:kern w:val="2"/>
          <w:sz w:val="24"/>
          <w:szCs w:val="24"/>
          <w:highlight w:val="none"/>
          <w:lang w:val="en-US" w:eastAsia="zh-CN" w:bidi="ar-SA"/>
        </w:rPr>
        <w:t>0</w:t>
      </w:r>
      <w:r>
        <w:rPr>
          <w:rFonts w:hint="eastAsia" w:ascii="Times New Roman" w:hAnsi="Times New Roman" w:eastAsia="宋体" w:cs="Times New Roman"/>
          <w:color w:val="auto"/>
          <w:kern w:val="2"/>
          <w:sz w:val="24"/>
          <w:szCs w:val="24"/>
          <w:highlight w:val="none"/>
          <w:lang w:val="en-US" w:eastAsia="zh-CN" w:bidi="ar-SA"/>
        </w:rPr>
        <w:t>0，信噪比≥50:1；1</w:t>
      </w:r>
      <w:r>
        <w:rPr>
          <w:rFonts w:ascii="Times New Roman" w:hAnsi="Times New Roman" w:eastAsia="宋体" w:cs="Times New Roman"/>
          <w:color w:val="auto"/>
          <w:kern w:val="2"/>
          <w:sz w:val="24"/>
          <w:szCs w:val="24"/>
          <w:highlight w:val="none"/>
          <w:lang w:val="en-US" w:eastAsia="zh-CN" w:bidi="ar-SA"/>
        </w:rPr>
        <w:t>00</w:t>
      </w:r>
      <w:r>
        <w:rPr>
          <w:rFonts w:hint="eastAsia" w:ascii="Times New Roman" w:hAnsi="Times New Roman" w:eastAsia="宋体" w:cs="Times New Roman"/>
          <w:color w:val="auto"/>
          <w:kern w:val="2"/>
          <w:sz w:val="24"/>
          <w:szCs w:val="24"/>
          <w:highlight w:val="none"/>
          <w:lang w:val="en-US" w:eastAsia="zh-CN" w:bidi="ar-SA"/>
        </w:rPr>
        <w:t>fmol/u</w:t>
      </w:r>
      <w:r>
        <w:rPr>
          <w:rFonts w:ascii="Times New Roman" w:hAnsi="Times New Roman" w:eastAsia="宋体" w:cs="Times New Roman"/>
          <w:color w:val="auto"/>
          <w:kern w:val="2"/>
          <w:sz w:val="24"/>
          <w:szCs w:val="24"/>
          <w:highlight w:val="none"/>
          <w:lang w:val="en-US" w:eastAsia="zh-CN" w:bidi="ar-SA"/>
        </w:rPr>
        <w:t>L G</w:t>
      </w:r>
      <w:r>
        <w:rPr>
          <w:rFonts w:hint="eastAsia" w:ascii="Times New Roman" w:hAnsi="Times New Roman" w:eastAsia="宋体" w:cs="Times New Roman"/>
          <w:color w:val="auto"/>
          <w:kern w:val="2"/>
          <w:sz w:val="24"/>
          <w:szCs w:val="24"/>
          <w:highlight w:val="none"/>
          <w:lang w:val="en-US" w:eastAsia="zh-CN" w:bidi="ar-SA"/>
        </w:rPr>
        <w:t>lu-</w:t>
      </w:r>
      <w:r>
        <w:rPr>
          <w:rFonts w:ascii="Times New Roman" w:hAnsi="Times New Roman" w:eastAsia="宋体" w:cs="Times New Roman"/>
          <w:color w:val="auto"/>
          <w:kern w:val="2"/>
          <w:sz w:val="24"/>
          <w:szCs w:val="24"/>
          <w:highlight w:val="none"/>
          <w:lang w:val="en-US" w:eastAsia="zh-CN" w:bidi="ar-SA"/>
        </w:rPr>
        <w:t>F</w:t>
      </w:r>
      <w:r>
        <w:rPr>
          <w:rFonts w:hint="eastAsia" w:ascii="Times New Roman" w:hAnsi="Times New Roman" w:eastAsia="宋体" w:cs="Times New Roman"/>
          <w:color w:val="auto"/>
          <w:kern w:val="2"/>
          <w:sz w:val="24"/>
          <w:szCs w:val="24"/>
          <w:highlight w:val="none"/>
          <w:lang w:val="en-US" w:eastAsia="zh-CN" w:bidi="ar-SA"/>
        </w:rPr>
        <w:t>ibrinopeptide</w:t>
      </w:r>
      <w:r>
        <w:rPr>
          <w:rFonts w:ascii="Times New Roman" w:hAnsi="Times New Roman" w:eastAsia="宋体" w:cs="Times New Roman"/>
          <w:color w:val="auto"/>
          <w:kern w:val="2"/>
          <w:sz w:val="24"/>
          <w:szCs w:val="24"/>
          <w:highlight w:val="none"/>
          <w:lang w:val="en-US" w:eastAsia="zh-CN" w:bidi="ar-SA"/>
        </w:rPr>
        <w:t xml:space="preserve"> B</w:t>
      </w:r>
      <w:r>
        <w:rPr>
          <w:rFonts w:hint="eastAsia" w:ascii="Times New Roman" w:hAnsi="Times New Roman" w:eastAsia="宋体" w:cs="Times New Roman"/>
          <w:color w:val="auto"/>
          <w:kern w:val="2"/>
          <w:sz w:val="24"/>
          <w:szCs w:val="24"/>
          <w:highlight w:val="none"/>
          <w:lang w:val="en-US" w:eastAsia="zh-CN" w:bidi="ar-SA"/>
        </w:rPr>
        <w:t>，3ul</w:t>
      </w:r>
      <w:r>
        <w:rPr>
          <w:rFonts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min流速进样</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0"/>
        </w:numPr>
        <w:tabs>
          <w:tab w:val="left" w:pos="1080"/>
          <w:tab w:val="left" w:pos="1350"/>
        </w:tabs>
        <w:adjustRightInd w:val="0"/>
        <w:spacing w:line="360" w:lineRule="auto"/>
        <w:ind w:leftChars="0"/>
        <w:jc w:val="both"/>
        <w:rPr>
          <w:rFonts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4、产品配置要求</w:t>
      </w:r>
    </w:p>
    <w:p>
      <w:pPr>
        <w:widowControl w:val="0"/>
        <w:tabs>
          <w:tab w:val="left" w:pos="1080"/>
          <w:tab w:val="left" w:pos="1350"/>
        </w:tabs>
        <w:adjustRightInd w:val="0"/>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质谱仪主机一套（包含离子透镜， 离子漏斗，四极杆，真空泵，飞行时间分析器，检测器） </w:t>
      </w:r>
    </w:p>
    <w:p>
      <w:pPr>
        <w:widowControl w:val="0"/>
        <w:numPr>
          <w:ilvl w:val="0"/>
          <w:numId w:val="0"/>
        </w:numPr>
        <w:tabs>
          <w:tab w:val="left" w:pos="1080"/>
          <w:tab w:val="left" w:pos="1350"/>
        </w:tabs>
        <w:adjustRightInd w:val="0"/>
        <w:spacing w:line="360" w:lineRule="auto"/>
        <w:jc w:val="both"/>
        <w:rPr>
          <w:rFonts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5、技术文件：</w:t>
      </w:r>
    </w:p>
    <w:p>
      <w:pPr>
        <w:tabs>
          <w:tab w:val="left" w:pos="1080"/>
          <w:tab w:val="left" w:pos="1350"/>
        </w:tabs>
        <w:adjustRightInd w:val="0"/>
        <w:spacing w:line="360" w:lineRule="auto"/>
        <w:ind w:left="0" w:firstLine="240" w:firstLineChars="1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提供详细的中文操作指南，简单易行的中文操作步骤，仪器维护的有关资料及质量认证书。</w:t>
      </w:r>
    </w:p>
    <w:p>
      <w:pPr>
        <w:tabs>
          <w:tab w:val="left" w:pos="1080"/>
          <w:tab w:val="left" w:pos="1350"/>
        </w:tabs>
        <w:adjustRightInd w:val="0"/>
        <w:spacing w:line="360" w:lineRule="auto"/>
        <w:ind w:left="355" w:hanging="357" w:hangingChars="14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6</w:t>
      </w:r>
      <w:r>
        <w:rPr>
          <w:rFonts w:hint="eastAsia" w:ascii="Times New Roman" w:hAnsi="Times New Roman" w:eastAsia="宋体" w:cs="Times New Roman"/>
          <w:b/>
          <w:bCs/>
          <w:color w:val="auto"/>
          <w:sz w:val="24"/>
          <w:highlight w:val="none"/>
          <w:lang w:eastAsia="zh-CN"/>
        </w:rPr>
        <w:t>、</w:t>
      </w:r>
      <w:r>
        <w:rPr>
          <w:rFonts w:hint="eastAsia" w:ascii="Times New Roman" w:hAnsi="Times New Roman" w:eastAsia="宋体" w:cs="Times New Roman"/>
          <w:b/>
          <w:bCs/>
          <w:color w:val="auto"/>
          <w:sz w:val="24"/>
          <w:highlight w:val="none"/>
        </w:rPr>
        <w:t>技术服务</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6.1设备安装调试</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6.1.1 为方便用户设备的正常接收及顺利开展安装前期准备工作，中标人须在合同生效后30天内向购方提供一套完整的产品资料，包括使用说明书、操作手册、安装要求，本项资料的提供不影响随机资料、投标资料的提供。</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6.1.2 合同签定后，仪器公司协助用户进行安装前的准备工作，提供相关的布局图和设计要求。</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6.1.3 供应商在接到用户安装通知后，须在15天内安排有经验的工程师到现场安装仪器，并在30天内安装调试完毕；仪器公司免费提供全面安装工具，安装工程师费用由仪器公司承担。</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6.1.4投标商在保修期内安装的任何零配件，必须是其原设备厂家生产的或是其认可的。所有的替代零配件必须是新的未使用和未经修复的，除非买方书面认可的，否则，不可使用其它（非新的）配件。</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w:t>
      </w:r>
      <w:r>
        <w:rPr>
          <w:rFonts w:ascii="Times New Roman" w:hAnsi="Times New Roman" w:eastAsia="宋体" w:cs="Times New Roman"/>
          <w:color w:val="auto"/>
          <w:sz w:val="24"/>
          <w:highlight w:val="none"/>
        </w:rPr>
        <w:t>.1.5</w:t>
      </w:r>
      <w:r>
        <w:rPr>
          <w:rFonts w:hint="eastAsia" w:ascii="Times New Roman" w:hAnsi="Times New Roman" w:eastAsia="宋体" w:cs="Times New Roman"/>
          <w:color w:val="auto"/>
          <w:sz w:val="24"/>
          <w:highlight w:val="none"/>
        </w:rPr>
        <w:t>设备验收：在接到用户通知一周内，安排原厂工程技术人员到用户现场，按照双方签订的合同和技术协议条款（不低于投标文件响应参数）进行验收，直到通过验收。</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6.2技术培训</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6.2.1 安装调试过程中，安装工程师有义务对用户讲解仪器操作及注意事项，对用户提出的问题安装工程师须认真讲解和回答。</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6.2.2 安装验收期间，仪器供应商需在用户所在地对用户进行3天以上的仪器操作和日常维护的现场免费培训，包括仪器原理、使用方法和维护方法等。</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6.2.3仪器供应商还需提供后续相关仪器操作使用及应用方面的免费培训二次以上。</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6.3保修期</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6.3.1 中标仪器公司厂家应具有正规注册的办事处、维修站及零备件保税库。在中国境内应有专门负责的合格的维修工程师和专门的技术应用支持工程师。</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6.3.2 安装调试经用户技术验收合格当天起，全机免费保修一年。质保期内的售后服务方式均为仪器供应商上门保修，即由仪器供应商派人员到用户设备使用现场维修。</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6.3.3 保修期外的维修奉行先维修后付款。保修期后，招标方若需继续延长技术服务，投标商应对此给予优惠。</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6.3.4 保修期内，如因客观原因需搬动仪器，免费提供搬家、及相应仪器调试服务一次。</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6.4维修响应时间</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6.4.1 如果仪器出现故障，无论保修期内还是在保修期外，在接到用户维修服务的请求后，仪器公司要在24小时内作出响应，并在48小时到达现场，重大问题或其它无法迅速解决的问题应在一周内解决或提出明确的解决方案。如果投标商在接到报修通知后的两个工作日内未做出回应，投标商必须对由于故障所造成的损失后果负全部责任。</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6.4.2 电话技术支持：应提供免费电话服务，为用户提供免费的电话咨询及技术服务。主要是对一般情况的小故障，在问题不算复杂、或者维护人员对技术人员存在疑问时使用，通过电话、传真、EMAIL的指导方式解决问题。</w:t>
      </w:r>
    </w:p>
    <w:p>
      <w:pPr>
        <w:tabs>
          <w:tab w:val="left" w:pos="1080"/>
          <w:tab w:val="left" w:pos="1350"/>
        </w:tabs>
        <w:adjustRightInd w:val="0"/>
        <w:spacing w:line="360" w:lineRule="auto"/>
        <w:ind w:left="357" w:hanging="357"/>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7</w:t>
      </w:r>
      <w:r>
        <w:rPr>
          <w:rFonts w:hint="eastAsia" w:ascii="Times New Roman" w:hAnsi="Times New Roman" w:eastAsia="宋体" w:cs="Times New Roman"/>
          <w:b/>
          <w:bCs/>
          <w:color w:val="auto"/>
          <w:sz w:val="24"/>
          <w:highlight w:val="none"/>
          <w:lang w:eastAsia="zh-CN"/>
        </w:rPr>
        <w:t>、</w:t>
      </w:r>
      <w:r>
        <w:rPr>
          <w:rFonts w:hint="eastAsia" w:ascii="Times New Roman" w:hAnsi="Times New Roman" w:eastAsia="宋体" w:cs="Times New Roman"/>
          <w:b/>
          <w:bCs/>
          <w:color w:val="auto"/>
          <w:sz w:val="24"/>
          <w:highlight w:val="none"/>
        </w:rPr>
        <w:t>付款条件</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7.1对于国内提供的货物，100%凭用户代表签字并加盖单位公章后的验收报告支付；</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7.2对于国外提供的货物，采用即期不可撤消信用证国际贸易支付条件支付：</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90%凭装运单据及其他合同要求单据支付；</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10%凭用户代表签字并加盖单位公章后的验收报告支付。</w:t>
      </w:r>
    </w:p>
    <w:p>
      <w:pPr>
        <w:tabs>
          <w:tab w:val="left" w:pos="1080"/>
          <w:tab w:val="left" w:pos="1350"/>
        </w:tabs>
        <w:adjustRightInd w:val="0"/>
        <w:spacing w:line="360" w:lineRule="auto"/>
        <w:ind w:left="357" w:hanging="357"/>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8</w:t>
      </w:r>
      <w:r>
        <w:rPr>
          <w:rFonts w:hint="eastAsia" w:ascii="Times New Roman" w:hAnsi="Times New Roman" w:eastAsia="宋体" w:cs="Times New Roman"/>
          <w:b/>
          <w:bCs/>
          <w:color w:val="auto"/>
          <w:sz w:val="24"/>
          <w:highlight w:val="none"/>
          <w:lang w:eastAsia="zh-CN"/>
        </w:rPr>
        <w:t>、</w:t>
      </w:r>
      <w:r>
        <w:rPr>
          <w:rFonts w:hint="eastAsia" w:ascii="Times New Roman" w:hAnsi="Times New Roman" w:eastAsia="宋体" w:cs="Times New Roman"/>
          <w:b/>
          <w:bCs/>
          <w:color w:val="auto"/>
          <w:sz w:val="24"/>
          <w:highlight w:val="none"/>
        </w:rPr>
        <w:t>订货数量</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一套</w:t>
      </w:r>
    </w:p>
    <w:p>
      <w:pPr>
        <w:tabs>
          <w:tab w:val="left" w:pos="1080"/>
          <w:tab w:val="left" w:pos="1350"/>
        </w:tabs>
        <w:adjustRightInd w:val="0"/>
        <w:spacing w:line="360" w:lineRule="auto"/>
        <w:ind w:left="357" w:hanging="357"/>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9</w:t>
      </w:r>
      <w:r>
        <w:rPr>
          <w:rFonts w:hint="eastAsia" w:ascii="Times New Roman" w:hAnsi="Times New Roman" w:eastAsia="宋体" w:cs="Times New Roman"/>
          <w:b/>
          <w:bCs/>
          <w:color w:val="auto"/>
          <w:sz w:val="24"/>
          <w:highlight w:val="none"/>
          <w:lang w:eastAsia="zh-CN"/>
        </w:rPr>
        <w:t>、</w:t>
      </w:r>
      <w:r>
        <w:rPr>
          <w:rFonts w:hint="eastAsia" w:ascii="Times New Roman" w:hAnsi="Times New Roman" w:eastAsia="宋体" w:cs="Times New Roman"/>
          <w:b/>
          <w:bCs/>
          <w:color w:val="auto"/>
          <w:sz w:val="24"/>
          <w:highlight w:val="none"/>
        </w:rPr>
        <w:t>交货地点</w:t>
      </w:r>
    </w:p>
    <w:p>
      <w:pPr>
        <w:tabs>
          <w:tab w:val="left" w:pos="1080"/>
          <w:tab w:val="left" w:pos="1350"/>
        </w:tabs>
        <w:adjustRightInd w:val="0"/>
        <w:spacing w:line="360" w:lineRule="auto"/>
        <w:ind w:left="357" w:hanging="357"/>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中国科学院分子植物科学卓越创新中心</w:t>
      </w:r>
    </w:p>
    <w:p>
      <w:pPr>
        <w:tabs>
          <w:tab w:val="left" w:pos="1080"/>
          <w:tab w:val="left" w:pos="1350"/>
        </w:tabs>
        <w:adjustRightInd w:val="0"/>
        <w:spacing w:line="360" w:lineRule="auto"/>
        <w:ind w:left="357" w:hanging="357"/>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10</w:t>
      </w:r>
      <w:r>
        <w:rPr>
          <w:rFonts w:hint="eastAsia" w:ascii="Times New Roman" w:hAnsi="Times New Roman" w:eastAsia="宋体" w:cs="Times New Roman"/>
          <w:b/>
          <w:bCs/>
          <w:color w:val="auto"/>
          <w:sz w:val="24"/>
          <w:highlight w:val="none"/>
          <w:lang w:eastAsia="zh-CN"/>
        </w:rPr>
        <w:t>、</w:t>
      </w:r>
      <w:r>
        <w:rPr>
          <w:rFonts w:hint="eastAsia" w:ascii="Times New Roman" w:hAnsi="Times New Roman" w:eastAsia="宋体" w:cs="Times New Roman"/>
          <w:b/>
          <w:bCs/>
          <w:color w:val="auto"/>
          <w:sz w:val="24"/>
          <w:highlight w:val="none"/>
        </w:rPr>
        <w:t>交货日期</w:t>
      </w:r>
    </w:p>
    <w:p>
      <w:pPr>
        <w:spacing w:after="156" w:afterLines="50"/>
        <w:ind w:left="601" w:hanging="601"/>
        <w:rPr>
          <w:rFonts w:hint="eastAsia" w:ascii="宋体" w:hAnsi="宋体" w:eastAsia="宋体" w:cs="Times New Roman"/>
          <w:color w:val="auto"/>
          <w:highlight w:val="none"/>
        </w:rPr>
      </w:pPr>
      <w:r>
        <w:rPr>
          <w:rFonts w:hint="eastAsia" w:ascii="Times New Roman" w:hAnsi="Times New Roman" w:eastAsia="宋体" w:cs="Times New Roman"/>
          <w:color w:val="auto"/>
          <w:sz w:val="24"/>
          <w:highlight w:val="none"/>
        </w:rPr>
        <w:t>合同签订后三个月内。</w:t>
      </w:r>
    </w:p>
    <w:p>
      <w:pPr>
        <w:rPr>
          <w:color w:val="auto"/>
          <w:highlight w:val="none"/>
        </w:rPr>
      </w:pPr>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 of new roman">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23</w:t>
    </w:r>
    <w:r>
      <w:rPr>
        <w:rFonts w:ascii="Times New Roman" w:hAnsi="Times New Roman" w:eastAsia="宋体"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Times New Roman" w:hAnsi="Times New Roman" w:eastAsia="宋体" w:cs="Times New Roman"/>
      </w:rPr>
    </w:pPr>
    <w:r>
      <w:rPr>
        <w:rFonts w:hint="eastAsia" w:ascii="Times New Roman" w:hAnsi="Times New Roman" w:eastAsia="宋体" w:cs="Times New Roman"/>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43EB8"/>
    <w:multiLevelType w:val="multilevel"/>
    <w:tmpl w:val="56843EB8"/>
    <w:lvl w:ilvl="0" w:tentative="0">
      <w:start w:val="3"/>
      <w:numFmt w:val="decimal"/>
      <w:lvlText w:val="%1、"/>
      <w:lvlJc w:val="left"/>
      <w:pPr>
        <w:ind w:left="368" w:hanging="36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F1A6198"/>
    <w:multiLevelType w:val="multilevel"/>
    <w:tmpl w:val="7F1A6198"/>
    <w:lvl w:ilvl="0" w:tentative="0">
      <w:start w:val="1"/>
      <w:numFmt w:val="decimal"/>
      <w:lvlText w:val="%1、"/>
      <w:lvlJc w:val="left"/>
      <w:pPr>
        <w:ind w:left="368" w:hanging="36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C7C08"/>
    <w:rsid w:val="300D405C"/>
    <w:rsid w:val="30DC2827"/>
    <w:rsid w:val="39A12FD5"/>
    <w:rsid w:val="4EF5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autoSpaceDE w:val="0"/>
      <w:autoSpaceDN w:val="0"/>
      <w:adjustRightInd w:val="0"/>
      <w:spacing w:before="240" w:after="120" w:line="300" w:lineRule="auto"/>
      <w:jc w:val="center"/>
      <w:outlineLvl w:val="0"/>
    </w:pPr>
    <w:rPr>
      <w:rFonts w:ascii="宋体" w:hAnsi="Times New Roman" w:eastAsia="宋体" w:cs="Times New Roman"/>
      <w:b/>
      <w:kern w:val="44"/>
      <w:sz w:val="32"/>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qFormat/>
    <w:uiPriority w:val="0"/>
    <w:pPr>
      <w:widowControl w:val="0"/>
      <w:jc w:val="both"/>
    </w:pPr>
    <w:rPr>
      <w:rFonts w:ascii="宋体" w:hAnsi="Courier New" w:eastAsia="宋体" w:cs="Times New Roman"/>
      <w:kern w:val="2"/>
      <w:sz w:val="21"/>
      <w:szCs w:val="20"/>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8">
    <w:name w:val="Strong"/>
    <w:qFormat/>
    <w:uiPriority w:val="22"/>
    <w:rPr>
      <w:b/>
      <w:bCs/>
    </w:rPr>
  </w:style>
  <w:style w:type="paragraph" w:customStyle="1" w:styleId="9">
    <w:name w:val="Body Text 2"/>
    <w:qFormat/>
    <w:uiPriority w:val="0"/>
    <w:pPr>
      <w:widowControl w:val="0"/>
      <w:adjustRightInd w:val="0"/>
      <w:spacing w:before="120" w:line="360" w:lineRule="auto"/>
      <w:ind w:firstLine="480"/>
      <w:jc w:val="both"/>
      <w:textAlignment w:val="baseline"/>
    </w:pPr>
    <w:rPr>
      <w:rFonts w:ascii="Times New Roman" w:hAnsi="Times New Roman" w:eastAsia="宋体" w:cs="Times New Roman"/>
      <w:kern w:val="2"/>
      <w:sz w:val="24"/>
      <w:szCs w:val="20"/>
      <w:lang w:val="en-US" w:eastAsia="zh-CN" w:bidi="ar-SA"/>
    </w:rPr>
  </w:style>
  <w:style w:type="paragraph" w:customStyle="1" w:styleId="10">
    <w:name w:val="xl25"/>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 w:val="21"/>
      <w:szCs w:val="21"/>
      <w:lang w:val="en-US" w:eastAsia="zh-CN" w:bidi="ar-SA"/>
    </w:rPr>
  </w:style>
  <w:style w:type="paragraph" w:styleId="11">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2021-05-13T02:39:00Z</dcterms:created>
  <dc:creator>Lenovo</dc:creator>
  <cp:lastModifiedBy>我以琴瑟合卿意</cp:lastModifiedBy>
  <dcterms:modified xsi:type="dcterms:W3CDTF">2021-05-13T05:31:05Z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C0C0D96941E342D88A81942DBFF283A6</vt:lpwstr>
  </property>
</Properties>
</file>