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84" w:rsidRDefault="00E10084" w:rsidP="00E10084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E10084" w:rsidRDefault="00E10084" w:rsidP="00E10084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265"/>
        <w:gridCol w:w="750"/>
        <w:gridCol w:w="2040"/>
        <w:gridCol w:w="2975"/>
      </w:tblGrid>
      <w:tr w:rsidR="00E10084" w:rsidTr="006C41A5">
        <w:trPr>
          <w:trHeight w:val="800"/>
          <w:jc w:val="center"/>
        </w:trPr>
        <w:tc>
          <w:tcPr>
            <w:tcW w:w="648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265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50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040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975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E10084" w:rsidTr="006C41A5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265" w:type="dxa"/>
            <w:vAlign w:val="center"/>
          </w:tcPr>
          <w:p w:rsidR="00E10084" w:rsidRDefault="00E10084" w:rsidP="006C41A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多用途高效离心机</w:t>
            </w:r>
          </w:p>
        </w:tc>
        <w:tc>
          <w:tcPr>
            <w:tcW w:w="750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Merge w:val="restart"/>
            <w:vAlign w:val="center"/>
          </w:tcPr>
          <w:p w:rsidR="00E10084" w:rsidRDefault="00E10084" w:rsidP="006C41A5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合同签订后的3个月内交货</w:t>
            </w:r>
          </w:p>
        </w:tc>
        <w:tc>
          <w:tcPr>
            <w:tcW w:w="2975" w:type="dxa"/>
            <w:vMerge w:val="restart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E10084" w:rsidTr="006C41A5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E10084" w:rsidRDefault="00E10084" w:rsidP="006C41A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高速冷冻台式离心机</w:t>
            </w:r>
          </w:p>
        </w:tc>
        <w:tc>
          <w:tcPr>
            <w:tcW w:w="750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Merge/>
            <w:vAlign w:val="center"/>
          </w:tcPr>
          <w:p w:rsidR="00E10084" w:rsidRDefault="00E10084" w:rsidP="006C41A5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5" w:type="dxa"/>
            <w:vMerge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E10084" w:rsidTr="006C41A5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E10084" w:rsidRDefault="00E10084" w:rsidP="006C41A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高速冷冻离心机</w:t>
            </w:r>
          </w:p>
        </w:tc>
        <w:tc>
          <w:tcPr>
            <w:tcW w:w="750" w:type="dxa"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040" w:type="dxa"/>
            <w:vMerge/>
            <w:vAlign w:val="center"/>
          </w:tcPr>
          <w:p w:rsidR="00E10084" w:rsidRDefault="00E10084" w:rsidP="006C41A5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5" w:type="dxa"/>
            <w:vMerge/>
            <w:vAlign w:val="center"/>
          </w:tcPr>
          <w:p w:rsidR="00E10084" w:rsidRDefault="00E10084" w:rsidP="006C41A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 w:rsidR="00E10084" w:rsidRDefault="00E10084" w:rsidP="00E10084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E10084" w:rsidRDefault="00E10084" w:rsidP="00E10084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E10084" w:rsidRDefault="00E10084" w:rsidP="00E10084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1、投标人须对上述投标内容中完整的一包进行投标，不完整的投标将视为非响应性投标予以拒绝。</w:t>
      </w:r>
    </w:p>
    <w:p w:rsidR="00E10084" w:rsidRDefault="00E10084" w:rsidP="00E10084">
      <w:pPr>
        <w:pStyle w:val="1"/>
        <w:rPr>
          <w:rFonts w:ascii="宋体" w:eastAsia="宋体" w:hAnsi="宋体" w:cs="宋体"/>
          <w:bCs/>
          <w:kern w:val="2"/>
          <w:sz w:val="24"/>
        </w:rPr>
      </w:pPr>
      <w:r>
        <w:rPr>
          <w:rFonts w:ascii="宋体" w:eastAsia="宋体" w:hAnsi="宋体" w:cs="宋体" w:hint="eastAsia"/>
          <w:bCs/>
          <w:kern w:val="2"/>
          <w:sz w:val="24"/>
        </w:rPr>
        <w:t>2、核心产品：多用途高效离心机</w:t>
      </w:r>
    </w:p>
    <w:p w:rsidR="00E10084" w:rsidRDefault="00E10084" w:rsidP="00E10084">
      <w:pPr>
        <w:pStyle w:val="2"/>
        <w:ind w:firstLine="560"/>
        <w:rPr>
          <w:rFonts w:ascii="宋体" w:eastAsia="宋体" w:cs="宋体"/>
        </w:rPr>
      </w:pPr>
    </w:p>
    <w:p w:rsidR="00E10084" w:rsidRDefault="00E10084" w:rsidP="00E10084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E10084" w:rsidRDefault="00E10084" w:rsidP="00E10084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E10084" w:rsidRDefault="00E10084" w:rsidP="00E10084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OLE_LINK1"/>
      <w:bookmarkStart w:id="1" w:name="_Toc178672500"/>
      <w:r>
        <w:rPr>
          <w:rStyle w:val="a9"/>
          <w:rFonts w:eastAsia="宋体" w:hint="eastAsia"/>
          <w:sz w:val="30"/>
          <w:szCs w:val="30"/>
        </w:rPr>
        <w:t>一、总 则</w:t>
      </w:r>
    </w:p>
    <w:p w:rsidR="00E10084" w:rsidRDefault="00E10084" w:rsidP="00E10084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E10084" w:rsidRDefault="00E10084" w:rsidP="00E10084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E10084" w:rsidRDefault="00E10084" w:rsidP="00E10084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E10084" w:rsidRDefault="00E10084" w:rsidP="00E10084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E10084" w:rsidRDefault="00E10084" w:rsidP="00E10084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E10084" w:rsidRDefault="00E10084" w:rsidP="00E10084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E10084" w:rsidRDefault="00E10084" w:rsidP="00E10084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E10084" w:rsidRDefault="00E10084" w:rsidP="00E10084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E10084" w:rsidRDefault="00E10084" w:rsidP="00E10084">
      <w:pPr>
        <w:pStyle w:val="a6"/>
        <w:numPr>
          <w:ilvl w:val="0"/>
          <w:numId w:val="1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多用途高效离心机，高速冷冻台式离心机，高速冷冻离心机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（备注：此项目的核心产品为多用途高效离心机）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E10084" w:rsidRDefault="00E10084" w:rsidP="00E10084">
      <w:pPr>
        <w:spacing w:line="36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各1套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多用途高效离心机：可应用在生物医学、材料学和环境学等研究的各个领域，如基础分子生物学，细胞生物学，蛋白组学研究等，可用于分离、收集细胞（含水生微生物）、核酸（DNA、RNA）、蛋白（含膜蛋白、脂蛋白）、亚细胞器、病毒体及病毒组分等生物大分子物质及纳米材料的分离和纯化，特别适合于目标样品的大容量富集工作。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速冷冻台式离心机：可应用在生物医学、材料学和环境学等研究的各个领域，如基础分子生物学，细胞生物学，蛋白组学研究等，可用于分离、收集细胞（含水生微生物）、核酸（DNA、RNA）、蛋白质、亚细胞器、病毒体及病毒组分等生物大分子物质及纳米材料的分离和纯化，特别适合于目标样品的快速分离制备工作。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速冷冻离心机：可应用在生物医学、材料学和环境学等研究的各个领域，如基础分子生物学，细胞生物学，蛋白组学研究等，可用于分离、收集细胞（含水生微生物）、核酸（DNA、RNA）、蛋白质、亚细胞器、等生物大分子物质的分离和纯化，特别适合于目标样品的低速富集工作。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E10084" w:rsidRDefault="00E10084" w:rsidP="00E10084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E10084" w:rsidRDefault="00E10084" w:rsidP="00E10084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E10084" w:rsidTr="006C41A5">
        <w:trPr>
          <w:trHeight w:val="225"/>
        </w:trPr>
        <w:tc>
          <w:tcPr>
            <w:tcW w:w="959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386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多用途高效离心机（核心产品）</w:t>
            </w:r>
          </w:p>
        </w:tc>
        <w:tc>
          <w:tcPr>
            <w:tcW w:w="851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14,000rpm铝合金定角转头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250mL离心瓶（6个/盒）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5,300rpm铝合金水平转头（含酶标板吊篮）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20,000rpm铝合金定角转头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个 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15mL离心管（100支/盒）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高速冷冻台式离心机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21,000rpm铝合金定角转头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50mL离心管（25支/盒）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15mL离心管适配器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26,000rpm铝合金定角转头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1.5/1.9mL离心管适配器，（12个/盒）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1.5 mL离心管,（500支/盒）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1.9 mL离心管,（500支/盒）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高速冷冻离心机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生物安全型水平转头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15mL锥形离心管适配器，（4个/盒）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  <w:tr w:rsidR="00E10084" w:rsidTr="006C41A5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50mL锥形离心管适配器，（4个/盒）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84" w:rsidRDefault="00E10084" w:rsidP="006C41A5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</w:tr>
    </w:tbl>
    <w:p w:rsidR="00E10084" w:rsidRDefault="00E10084" w:rsidP="00E10084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E10084" w:rsidRDefault="00E10084" w:rsidP="00E10084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投标方提供仪器设备的从安装验收日起免费保修二年（保修期内免费维修并更换除消耗品以外的零部件，维修人员的路费、食宿等自理）。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E10084" w:rsidRDefault="00E10084" w:rsidP="00E10084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投标方提供配套软件至少三年的免费升级服务。</w:t>
      </w:r>
    </w:p>
    <w:p w:rsidR="00E10084" w:rsidRDefault="00E10084" w:rsidP="00E10084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E10084" w:rsidRDefault="00E10084" w:rsidP="00E10084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E10084" w:rsidRDefault="00E10084" w:rsidP="00E10084">
      <w:pPr>
        <w:widowControl/>
        <w:numPr>
          <w:ilvl w:val="0"/>
          <w:numId w:val="3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投标方负责对招标方提供至少三次现场技术培训，以便工作人员在培训后能熟练地掌握系统的维护工作，并能及时排除大部分的系统障碍。</w:t>
      </w:r>
    </w:p>
    <w:p w:rsidR="00E10084" w:rsidRDefault="00E10084" w:rsidP="00E10084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eastAsia="宋体" w:hAnsi="宋体" w:cs="宋体"/>
          <w:sz w:val="24"/>
          <w:szCs w:val="24"/>
        </w:rPr>
      </w:pPr>
    </w:p>
    <w:p w:rsidR="00E10084" w:rsidRDefault="00E10084" w:rsidP="00E10084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E10084" w:rsidRDefault="00E10084" w:rsidP="00E10084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E10084" w:rsidRDefault="00E10084" w:rsidP="00E10084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</w:p>
    <w:p w:rsidR="00E10084" w:rsidRDefault="00E10084" w:rsidP="00E10084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E10084" w:rsidRDefault="00E10084" w:rsidP="00E10084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合同签订后的3个月内交货</w:t>
      </w:r>
    </w:p>
    <w:p w:rsidR="00E10084" w:rsidRDefault="00E10084" w:rsidP="00E10084">
      <w:pPr>
        <w:widowControl/>
        <w:numPr>
          <w:ilvl w:val="0"/>
          <w:numId w:val="4"/>
        </w:numPr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E10084" w:rsidRDefault="00E10084" w:rsidP="00E10084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广州白云国际机场/用户指定项目现场</w:t>
      </w:r>
    </w:p>
    <w:bookmarkEnd w:id="2"/>
    <w:p w:rsidR="00E10084" w:rsidRDefault="00E10084" w:rsidP="00E10084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E10084" w:rsidRDefault="00E10084" w:rsidP="00E10084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E10084" w:rsidRDefault="00E10084" w:rsidP="00E10084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E10084" w:rsidRDefault="00E10084" w:rsidP="00E10084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保修期自最终安装验收合格后开始，保修期内卖方要保修除消耗品以外的所有部件。在保修期内，如果仪器设备发生故障，卖方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要调查故障原因并修复直至满足最终验收指标和性能的要求，或者更换整个或部分有缺陷的材料。以上都应是免费的。 </w:t>
      </w:r>
    </w:p>
    <w:p w:rsidR="00E10084" w:rsidRDefault="00E10084" w:rsidP="00E10084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E10084" w:rsidRDefault="00E10084" w:rsidP="00E10084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E10084" w:rsidRDefault="00E10084" w:rsidP="00E10084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E10084" w:rsidRDefault="00E10084" w:rsidP="00E10084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E10084" w:rsidRDefault="00E10084" w:rsidP="00E10084">
      <w:pPr>
        <w:widowControl/>
        <w:numPr>
          <w:ilvl w:val="0"/>
          <w:numId w:val="6"/>
        </w:numPr>
        <w:spacing w:beforeLines="50" w:before="156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Style w:val="a9"/>
          <w:rFonts w:ascii="宋体" w:eastAsia="宋体" w:hAnsi="宋体" w:cs="宋体" w:hint="eastAsia"/>
          <w:sz w:val="24"/>
          <w:szCs w:val="24"/>
        </w:rPr>
        <w:t>对于进口产品：为保证良好的售后服务，仪器生产厂家（非代理商）提供仪器的售后服务，并出具仪器生产厂家针对此项目的售后服务承诺书和授权书。</w:t>
      </w:r>
    </w:p>
    <w:p w:rsidR="00E10084" w:rsidRDefault="00E10084" w:rsidP="00E1008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E10084" w:rsidRDefault="00E10084" w:rsidP="00E1008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E10084" w:rsidRDefault="00E10084" w:rsidP="00E10084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E10084" w:rsidTr="006C41A5">
        <w:trPr>
          <w:trHeight w:val="640"/>
        </w:trPr>
        <w:tc>
          <w:tcPr>
            <w:tcW w:w="825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E10084" w:rsidTr="006C41A5">
        <w:trPr>
          <w:trHeight w:val="989"/>
        </w:trPr>
        <w:tc>
          <w:tcPr>
            <w:tcW w:w="825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可以完成各种细胞（亚细胞器）、核酸（DNA和RNA）、蛋白质、病毒、细菌、血液、无机材料、有机材料等物质的分离、纯化和富集工作</w:t>
            </w:r>
          </w:p>
        </w:tc>
      </w:tr>
      <w:tr w:rsidR="00E10084" w:rsidTr="006C41A5">
        <w:trPr>
          <w:trHeight w:val="452"/>
        </w:trPr>
        <w:tc>
          <w:tcPr>
            <w:tcW w:w="825" w:type="dxa"/>
            <w:vMerge w:val="restart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A、多用途高效离心机</w:t>
            </w:r>
          </w:p>
        </w:tc>
      </w:tr>
      <w:tr w:rsidR="00E10084" w:rsidTr="006C41A5">
        <w:trPr>
          <w:trHeight w:val="452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1、落地式高速离心机主机最高转速≥21,000 rpm，最大相对离心力≥53,300 g，容量≥4L（验收按照实际配置的转头为准）；</w:t>
            </w:r>
          </w:p>
        </w:tc>
      </w:tr>
      <w:tr w:rsidR="00E10084" w:rsidTr="006C41A5">
        <w:trPr>
          <w:trHeight w:val="90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2、微机控制，数字显示，按键式操作；</w:t>
            </w:r>
          </w:p>
        </w:tc>
      </w:tr>
      <w:tr w:rsidR="00E10084" w:rsidTr="006C41A5">
        <w:trPr>
          <w:trHeight w:val="418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3、采用可变磁阻驱动系统，可将升/降速度时间缩短一半，升至20,000rpm仅需2分钟；</w:t>
            </w:r>
          </w:p>
        </w:tc>
      </w:tr>
      <w:tr w:rsidR="00E10084" w:rsidTr="006C41A5">
        <w:trPr>
          <w:trHeight w:val="394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4、智能化的减磨系统，在高速运行时离心腔必须为真空状态，真空状态内腔，减少风阻（非温度补偿模式），加快达到最高转速，增长转头寿命；</w:t>
            </w:r>
          </w:p>
        </w:tc>
      </w:tr>
      <w:tr w:rsidR="00E10084" w:rsidTr="006C41A5">
        <w:trPr>
          <w:trHeight w:val="418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5、优良冷冻效果，转头于最高转速时可维持4℃；</w:t>
            </w:r>
          </w:p>
        </w:tc>
      </w:tr>
      <w:tr w:rsidR="00E10084" w:rsidTr="006C41A5">
        <w:trPr>
          <w:trHeight w:val="418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6、样品容量不平衡容忍度为5%，可“目视平衡”；</w:t>
            </w:r>
          </w:p>
        </w:tc>
      </w:tr>
      <w:tr w:rsidR="00E10084" w:rsidTr="006C41A5">
        <w:trPr>
          <w:trHeight w:val="41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7、制冷系统采用环境保护冷冻剂，温度控制范围为-10℃至40℃；</w:t>
            </w:r>
          </w:p>
        </w:tc>
      </w:tr>
      <w:tr w:rsidR="00E10084" w:rsidTr="006C41A5">
        <w:trPr>
          <w:trHeight w:val="360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8、有连续时间运行 (HOLD) 选择；</w:t>
            </w:r>
          </w:p>
        </w:tc>
      </w:tr>
      <w:tr w:rsidR="00E10084" w:rsidTr="006C41A5">
        <w:trPr>
          <w:trHeight w:val="90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9、多种转头可供选择，包括定角、水平及超轻(重量为传统转头一半)JLA转头；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10、主机可选配生物安全转头及HEPA过滤膜，防止样品悬浮粒子扩散到空气中；</w:t>
            </w:r>
          </w:p>
        </w:tc>
      </w:tr>
      <w:tr w:rsidR="00E10084" w:rsidTr="006C41A5">
        <w:trPr>
          <w:trHeight w:val="474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11、安全操作功能包括转头不平衡检测、超速保护、超温保护等；有生物安全转头及样品分离袋可供选择；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12、配置要求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12.1、主机1台，最高转速≥21,000 rpm，最大相对离心力≥53,300 g，容量≥4L；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12.2、定角转头1个：铝合金材质，最高转速≥14,000rpm，最大相对离心力≥30,100 g，最大容量≥6*250mL；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12.3、水平转头1个：铝合金材质，最高转速≥5,300rpm，最大相对离心力≥6,130 g，最大容量≥24块酶标板；</w:t>
            </w:r>
          </w:p>
        </w:tc>
      </w:tr>
      <w:tr w:rsidR="00E10084" w:rsidTr="006C41A5">
        <w:trPr>
          <w:trHeight w:val="432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13.4、定角转头1个：铝合金材质，最高转速≥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20,000rpm，最大相对离心力≥51,500 g，最大容量：32*15mL；</w:t>
            </w:r>
          </w:p>
        </w:tc>
      </w:tr>
      <w:tr w:rsidR="00E10084" w:rsidTr="006C41A5">
        <w:trPr>
          <w:trHeight w:val="363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B、高速冷冻台式离心机</w:t>
            </w:r>
          </w:p>
        </w:tc>
      </w:tr>
      <w:tr w:rsidR="00E10084" w:rsidTr="006C41A5">
        <w:trPr>
          <w:trHeight w:val="456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1、离心机为台式，主机体积小，占用空间少，便于放置，能置于生物安全柜中；</w:t>
            </w:r>
          </w:p>
        </w:tc>
      </w:tr>
      <w:tr w:rsidR="00E10084" w:rsidTr="006C41A5">
        <w:trPr>
          <w:trHeight w:val="456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2、离心机主机最大离心力≥64,400g，最大转速≥30,000rpm，最大容量≥6*85ml（验收按照实际配置的转头为准）；</w:t>
            </w:r>
          </w:p>
        </w:tc>
      </w:tr>
      <w:tr w:rsidR="00E10084" w:rsidTr="006C41A5">
        <w:trPr>
          <w:trHeight w:val="456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、速度设置：100rpm步进，速度设置精度：±50rpm，速度显示：1rpm步进；</w:t>
            </w:r>
          </w:p>
        </w:tc>
      </w:tr>
      <w:tr w:rsidR="00E10084" w:rsidTr="006C41A5">
        <w:trPr>
          <w:trHeight w:val="456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4、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离心时间：可设置9小时59分钟/连续离心/短时离心；</w:t>
            </w:r>
          </w:p>
        </w:tc>
      </w:tr>
      <w:tr w:rsidR="00E10084" w:rsidTr="006C41A5">
        <w:trPr>
          <w:trHeight w:val="27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5、加减速度设定：10种加速/减速率设定；</w:t>
            </w:r>
          </w:p>
        </w:tc>
      </w:tr>
      <w:tr w:rsidR="00E10084" w:rsidTr="006C41A5">
        <w:trPr>
          <w:trHeight w:val="456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6、实时RPM/RCF转换；</w:t>
            </w:r>
          </w:p>
        </w:tc>
      </w:tr>
      <w:tr w:rsidR="00E10084" w:rsidTr="006C41A5">
        <w:trPr>
          <w:trHeight w:val="458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7、温度范围：至少-20℃到40℃；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8、在最高转速和离心力情况下，仍能保证样本处于4℃状态；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9、有生物安全转头可选，防止工作人员受样品污染；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10、自动监测过温，不平衡，超速及转头鉴别系统；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11、操作宁静，噪音量低于65分贝；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12、配置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12.1、台式高速冷冻离心机主机1台，最高转速≥30,000rpm，最大相对离心力≥64,400g，最大容量≥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6*85mL；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12.2、定角转头1个：最高转速≥21000rpm，最大相对离心力≥41,420g，容量≥6x50mL；配置厂家50mL离心管25支；配置6个15mL适配器；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12.3、定角转头1个：最高转速≥26000rpm，最大相对离心力≥62,048g，容量≥24x1.5/2mL；配置厂家1.5mL离心管1000支；配置1.9mL离心管1000支。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C、高速冷冻离心机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1、生物安全型水平转头15mL离心管单次离心不少于56个；50mL离心管单次离心不少于28个；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2、不平衡检测：内置加速度传感器，实现多维多角度不平衡检测；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3、温度范围：至少-10-40℃；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4、运行时间：可定时离心（最长至99小时59分钟），连续离心，瞬时离心；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5、程序存储：可存储10个用户自定义程序；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6、驱动系统：无碳刷感应电机；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7、加/减速率：≥10/11种； UHT（超平衡）技术可最大化保护样品，提高样品的回收率；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8、模式：实时RPM/RCF转换功能；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9、水平转头、定角转头和吊篮都有经过国际生物安全认证的防泄露密封盖可选；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10、配置要求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10.1、台式高速冷冻离心机主机：1台；</w:t>
            </w:r>
          </w:p>
        </w:tc>
      </w:tr>
      <w:tr w:rsidR="00E10084" w:rsidTr="006C41A5">
        <w:trPr>
          <w:trHeight w:val="307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9"/>
                <w:rFonts w:ascii="宋体" w:eastAsia="宋体" w:hAnsi="宋体" w:cs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10.2、生物安全型水平转头1个，最大转速≥4750rpm，最大相对离心力≥5250g，最大容量≥4*750mL；配置15mL和50mL锥形离心管适配器。</w:t>
            </w:r>
          </w:p>
        </w:tc>
      </w:tr>
      <w:tr w:rsidR="00E10084" w:rsidTr="006C41A5">
        <w:trPr>
          <w:trHeight w:val="402"/>
        </w:trPr>
        <w:tc>
          <w:tcPr>
            <w:tcW w:w="825" w:type="dxa"/>
            <w:vMerge w:val="restart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1.至少二次现场免费培训</w:t>
            </w:r>
          </w:p>
        </w:tc>
      </w:tr>
      <w:tr w:rsidR="00E10084" w:rsidTr="006C41A5">
        <w:trPr>
          <w:trHeight w:val="519"/>
        </w:trPr>
        <w:tc>
          <w:tcPr>
            <w:tcW w:w="825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2.满足7*24小时热线服务</w:t>
            </w:r>
          </w:p>
        </w:tc>
      </w:tr>
      <w:tr w:rsidR="00E10084" w:rsidTr="006C41A5">
        <w:trPr>
          <w:trHeight w:val="485"/>
        </w:trPr>
        <w:tc>
          <w:tcPr>
            <w:tcW w:w="825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E10084" w:rsidRDefault="00E10084" w:rsidP="006C41A5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E10084" w:rsidRDefault="00E10084" w:rsidP="006C41A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D364AB" w:rsidRDefault="00D364AB">
      <w:bookmarkStart w:id="3" w:name="_GoBack"/>
      <w:bookmarkEnd w:id="3"/>
    </w:p>
    <w:sectPr w:rsidR="00D3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CE"/>
    <w:rsid w:val="00D364AB"/>
    <w:rsid w:val="00E10084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4A21-E5A1-4E5D-B0F4-237AF2A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10084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qFormat/>
    <w:rsid w:val="00E10084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72"/>
    </w:rPr>
  </w:style>
  <w:style w:type="paragraph" w:styleId="3">
    <w:name w:val="heading 3"/>
    <w:basedOn w:val="a"/>
    <w:next w:val="a0"/>
    <w:link w:val="30"/>
    <w:qFormat/>
    <w:rsid w:val="00E10084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E10084"/>
    <w:rPr>
      <w:rFonts w:eastAsia="楷体_GB2312"/>
      <w:b/>
      <w:kern w:val="44"/>
      <w:sz w:val="72"/>
      <w:szCs w:val="20"/>
    </w:rPr>
  </w:style>
  <w:style w:type="character" w:customStyle="1" w:styleId="30">
    <w:name w:val="标题 3 字符"/>
    <w:basedOn w:val="a1"/>
    <w:link w:val="3"/>
    <w:qFormat/>
    <w:rsid w:val="00E10084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qFormat/>
    <w:rsid w:val="00E10084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E10084"/>
    <w:rPr>
      <w:szCs w:val="20"/>
    </w:rPr>
  </w:style>
  <w:style w:type="paragraph" w:styleId="a6">
    <w:name w:val="Normal (Web)"/>
    <w:basedOn w:val="a"/>
    <w:qFormat/>
    <w:rsid w:val="00E10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10084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E10084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10084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E10084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E10084"/>
    <w:rPr>
      <w:b/>
      <w:bCs/>
    </w:rPr>
  </w:style>
  <w:style w:type="character" w:customStyle="1" w:styleId="11">
    <w:name w:val="批注文字 字符1"/>
    <w:link w:val="a4"/>
    <w:qFormat/>
    <w:rsid w:val="00E10084"/>
    <w:rPr>
      <w:szCs w:val="24"/>
    </w:rPr>
  </w:style>
  <w:style w:type="paragraph" w:styleId="a0">
    <w:name w:val="Normal Indent"/>
    <w:basedOn w:val="a"/>
    <w:uiPriority w:val="99"/>
    <w:semiHidden/>
    <w:unhideWhenUsed/>
    <w:rsid w:val="00E10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2021-04-26T02:28:00Z</dcterms:created>
  <dcterms:modified xsi:type="dcterms:W3CDTF">2021-04-26T02:28:00Z</dcterms:modified>
</cp:coreProperties>
</file>