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015" w:type="dxa"/>
        <w:jc w:val="center"/>
        <w:tblCellSpacing w:w="0" w:type="dxa"/>
        <w:tblCellMar>
          <w:left w:w="0" w:type="dxa"/>
          <w:right w:w="0" w:type="dxa"/>
        </w:tblCellMar>
        <w:tblLook w:val="04A0" w:firstRow="1" w:lastRow="0" w:firstColumn="1" w:lastColumn="0" w:noHBand="0" w:noVBand="1"/>
      </w:tblPr>
      <w:tblGrid>
        <w:gridCol w:w="12015"/>
      </w:tblGrid>
      <w:tr w:rsidR="00182FCC" w:rsidRPr="00182FCC" w14:paraId="7A75DC83" w14:textId="77777777" w:rsidTr="00182FCC">
        <w:trPr>
          <w:trHeight w:val="225"/>
          <w:tblCellSpacing w:w="0" w:type="dxa"/>
          <w:jc w:val="center"/>
        </w:trPr>
        <w:tc>
          <w:tcPr>
            <w:tcW w:w="0" w:type="auto"/>
            <w:hideMark/>
          </w:tcPr>
          <w:p w14:paraId="32582450" w14:textId="77777777" w:rsidR="00182FCC" w:rsidRPr="00182FCC" w:rsidRDefault="00182FCC" w:rsidP="00182FCC">
            <w:pPr>
              <w:widowControl/>
              <w:jc w:val="center"/>
              <w:rPr>
                <w:rFonts w:ascii="Arial" w:eastAsia="宋体" w:hAnsi="Arial" w:cs="Arial"/>
                <w:b/>
                <w:bCs/>
                <w:color w:val="000000"/>
                <w:kern w:val="0"/>
                <w:szCs w:val="21"/>
              </w:rPr>
            </w:pPr>
            <w:r w:rsidRPr="00182FCC">
              <w:rPr>
                <w:rFonts w:ascii="Arial" w:eastAsia="宋体" w:hAnsi="Arial" w:cs="Arial"/>
                <w:b/>
                <w:bCs/>
                <w:color w:val="000000"/>
                <w:kern w:val="0"/>
                <w:szCs w:val="21"/>
              </w:rPr>
              <w:t>国务院办公厅关于开展仿制药质量和疗效一致性评价的意见</w:t>
            </w:r>
            <w:r w:rsidRPr="00182FCC">
              <w:rPr>
                <w:rFonts w:ascii="Arial" w:eastAsia="宋体" w:hAnsi="Arial" w:cs="Arial"/>
                <w:b/>
                <w:bCs/>
                <w:color w:val="000000"/>
                <w:kern w:val="0"/>
                <w:szCs w:val="21"/>
              </w:rPr>
              <w:t xml:space="preserve"> </w:t>
            </w:r>
            <w:r w:rsidRPr="00182FCC">
              <w:rPr>
                <w:rFonts w:ascii="Arial" w:eastAsia="宋体" w:hAnsi="Arial" w:cs="Arial"/>
                <w:b/>
                <w:bCs/>
                <w:color w:val="000000"/>
                <w:kern w:val="0"/>
                <w:szCs w:val="21"/>
              </w:rPr>
              <w:t>国办发〔</w:t>
            </w:r>
            <w:r w:rsidRPr="00182FCC">
              <w:rPr>
                <w:rFonts w:ascii="Arial" w:eastAsia="宋体" w:hAnsi="Arial" w:cs="Arial"/>
                <w:b/>
                <w:bCs/>
                <w:color w:val="000000"/>
                <w:kern w:val="0"/>
                <w:szCs w:val="21"/>
              </w:rPr>
              <w:t>2016</w:t>
            </w:r>
            <w:r w:rsidRPr="00182FCC">
              <w:rPr>
                <w:rFonts w:ascii="Arial" w:eastAsia="宋体" w:hAnsi="Arial" w:cs="Arial"/>
                <w:b/>
                <w:bCs/>
                <w:color w:val="000000"/>
                <w:kern w:val="0"/>
                <w:szCs w:val="21"/>
              </w:rPr>
              <w:t>〕</w:t>
            </w:r>
            <w:r w:rsidRPr="00182FCC">
              <w:rPr>
                <w:rFonts w:ascii="Arial" w:eastAsia="宋体" w:hAnsi="Arial" w:cs="Arial"/>
                <w:b/>
                <w:bCs/>
                <w:color w:val="000000"/>
                <w:kern w:val="0"/>
                <w:szCs w:val="21"/>
              </w:rPr>
              <w:t>8</w:t>
            </w:r>
            <w:r w:rsidRPr="00182FCC">
              <w:rPr>
                <w:rFonts w:ascii="Arial" w:eastAsia="宋体" w:hAnsi="Arial" w:cs="Arial"/>
                <w:b/>
                <w:bCs/>
                <w:color w:val="000000"/>
                <w:kern w:val="0"/>
                <w:szCs w:val="21"/>
              </w:rPr>
              <w:t>号</w:t>
            </w:r>
          </w:p>
        </w:tc>
      </w:tr>
      <w:tr w:rsidR="00182FCC" w:rsidRPr="00182FCC" w14:paraId="1B601C64" w14:textId="77777777" w:rsidTr="00182FCC">
        <w:trPr>
          <w:trHeight w:val="105"/>
          <w:tblCellSpacing w:w="0" w:type="dxa"/>
          <w:jc w:val="center"/>
        </w:trPr>
        <w:tc>
          <w:tcPr>
            <w:tcW w:w="0" w:type="auto"/>
            <w:hideMark/>
          </w:tcPr>
          <w:p w14:paraId="16998A6C" w14:textId="6F2F3BBD" w:rsidR="00182FCC" w:rsidRPr="00182FCC" w:rsidRDefault="00182FCC" w:rsidP="00182FCC">
            <w:pPr>
              <w:widowControl/>
              <w:jc w:val="center"/>
              <w:rPr>
                <w:rFonts w:ascii="Arial" w:eastAsia="宋体" w:hAnsi="Arial" w:cs="Arial"/>
                <w:color w:val="000000"/>
                <w:kern w:val="0"/>
                <w:sz w:val="18"/>
                <w:szCs w:val="18"/>
              </w:rPr>
            </w:pPr>
            <w:r w:rsidRPr="00182FCC">
              <w:rPr>
                <w:rFonts w:ascii="Arial" w:eastAsia="宋体" w:hAnsi="Arial" w:cs="Arial"/>
                <w:noProof/>
                <w:color w:val="000000"/>
                <w:kern w:val="0"/>
                <w:sz w:val="18"/>
                <w:szCs w:val="18"/>
              </w:rPr>
              <w:drawing>
                <wp:inline distT="0" distB="0" distL="0" distR="0" wp14:anchorId="6FEEAC62" wp14:editId="06E3E0AF">
                  <wp:extent cx="5274310" cy="920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92075"/>
                          </a:xfrm>
                          <a:prstGeom prst="rect">
                            <a:avLst/>
                          </a:prstGeom>
                          <a:noFill/>
                          <a:ln>
                            <a:noFill/>
                          </a:ln>
                        </pic:spPr>
                      </pic:pic>
                    </a:graphicData>
                  </a:graphic>
                </wp:inline>
              </w:drawing>
            </w:r>
          </w:p>
        </w:tc>
      </w:tr>
      <w:tr w:rsidR="00182FCC" w:rsidRPr="00182FCC" w14:paraId="68675338" w14:textId="77777777" w:rsidTr="00182FCC">
        <w:trPr>
          <w:trHeight w:val="120"/>
          <w:tblCellSpacing w:w="0" w:type="dxa"/>
          <w:jc w:val="center"/>
        </w:trPr>
        <w:tc>
          <w:tcPr>
            <w:tcW w:w="0" w:type="auto"/>
            <w:hideMark/>
          </w:tcPr>
          <w:p w14:paraId="512DE2EC" w14:textId="77777777" w:rsidR="00182FCC" w:rsidRPr="00182FCC" w:rsidRDefault="00182FCC" w:rsidP="00182FCC">
            <w:pPr>
              <w:widowControl/>
              <w:jc w:val="center"/>
              <w:rPr>
                <w:rFonts w:ascii="Arial" w:eastAsia="宋体" w:hAnsi="Arial" w:cs="Arial"/>
                <w:color w:val="000000"/>
                <w:kern w:val="0"/>
                <w:sz w:val="18"/>
                <w:szCs w:val="18"/>
              </w:rPr>
            </w:pPr>
            <w:r w:rsidRPr="00182FCC">
              <w:rPr>
                <w:rFonts w:ascii="Arial" w:eastAsia="宋体" w:hAnsi="Arial" w:cs="Arial"/>
                <w:color w:val="000000"/>
                <w:kern w:val="0"/>
                <w:sz w:val="18"/>
                <w:szCs w:val="18"/>
              </w:rPr>
              <w:t>发布日期：</w:t>
            </w:r>
            <w:r w:rsidRPr="00182FCC">
              <w:rPr>
                <w:rFonts w:ascii="Arial" w:eastAsia="宋体" w:hAnsi="Arial" w:cs="Arial"/>
                <w:color w:val="000000"/>
                <w:kern w:val="0"/>
                <w:sz w:val="18"/>
                <w:szCs w:val="18"/>
              </w:rPr>
              <w:t>20160305</w:t>
            </w:r>
          </w:p>
        </w:tc>
      </w:tr>
      <w:tr w:rsidR="00182FCC" w:rsidRPr="00182FCC" w14:paraId="56BFB035" w14:textId="77777777" w:rsidTr="00182FCC">
        <w:trPr>
          <w:trHeight w:val="7500"/>
          <w:tblCellSpacing w:w="0" w:type="dxa"/>
          <w:jc w:val="center"/>
        </w:trPr>
        <w:tc>
          <w:tcPr>
            <w:tcW w:w="0" w:type="auto"/>
            <w:hideMark/>
          </w:tcPr>
          <w:tbl>
            <w:tblPr>
              <w:tblW w:w="5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12015"/>
            </w:tblGrid>
            <w:tr w:rsidR="00182FCC" w:rsidRPr="00182FCC" w14:paraId="7910F2EF" w14:textId="77777777">
              <w:trPr>
                <w:tblCellSpacing w:w="0" w:type="dxa"/>
                <w:jc w:val="center"/>
              </w:trPr>
              <w:tc>
                <w:tcPr>
                  <w:tcW w:w="11580" w:type="dxa"/>
                  <w:tcMar>
                    <w:top w:w="210" w:type="dxa"/>
                    <w:left w:w="210" w:type="dxa"/>
                    <w:bottom w:w="210" w:type="dxa"/>
                    <w:right w:w="210" w:type="dxa"/>
                  </w:tcMar>
                  <w:vAlign w:val="center"/>
                  <w:hideMark/>
                </w:tcPr>
                <w:p w14:paraId="5EF0833A"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各省、自治区、直辖市人民政府，国务院各部委、各直属机构：</w:t>
                  </w:r>
                  <w:r w:rsidRPr="00182FCC">
                    <w:rPr>
                      <w:rFonts w:ascii="Arial" w:eastAsia="宋体" w:hAnsi="Arial" w:cs="Arial"/>
                      <w:color w:val="000000"/>
                      <w:kern w:val="0"/>
                      <w:szCs w:val="21"/>
                    </w:rPr>
                    <w:br/>
                  </w:r>
                  <w:r w:rsidRPr="00182FCC">
                    <w:rPr>
                      <w:rFonts w:ascii="Arial" w:eastAsia="宋体" w:hAnsi="Arial" w:cs="Arial"/>
                      <w:color w:val="000000"/>
                      <w:kern w:val="0"/>
                      <w:szCs w:val="21"/>
                    </w:rPr>
                    <w:t xml:space="preserve">　　开展仿制药质量和疗效一致性评价（以下简称一致性评价）工作，对提升我国制药行业整体水平，保障药品安全性和有效性，促进医药产业升级和结构调整，增强国际竞争能力，都具有十分重要的意义。根据《国务院关于改革药品医疗器械审评审批制度的意见》（国发〔</w:t>
                  </w:r>
                  <w:r w:rsidRPr="00182FCC">
                    <w:rPr>
                      <w:rFonts w:ascii="Arial" w:eastAsia="宋体" w:hAnsi="Arial" w:cs="Arial"/>
                      <w:color w:val="000000"/>
                      <w:kern w:val="0"/>
                      <w:szCs w:val="21"/>
                    </w:rPr>
                    <w:t>2015</w:t>
                  </w:r>
                  <w:r w:rsidRPr="00182FCC">
                    <w:rPr>
                      <w:rFonts w:ascii="Arial" w:eastAsia="宋体" w:hAnsi="Arial" w:cs="Arial"/>
                      <w:color w:val="000000"/>
                      <w:kern w:val="0"/>
                      <w:szCs w:val="21"/>
                    </w:rPr>
                    <w:t>〕</w:t>
                  </w:r>
                  <w:r w:rsidRPr="00182FCC">
                    <w:rPr>
                      <w:rFonts w:ascii="Arial" w:eastAsia="宋体" w:hAnsi="Arial" w:cs="Arial"/>
                      <w:color w:val="000000"/>
                      <w:kern w:val="0"/>
                      <w:szCs w:val="21"/>
                    </w:rPr>
                    <w:t>44</w:t>
                  </w:r>
                  <w:r w:rsidRPr="00182FCC">
                    <w:rPr>
                      <w:rFonts w:ascii="Arial" w:eastAsia="宋体" w:hAnsi="Arial" w:cs="Arial"/>
                      <w:color w:val="000000"/>
                      <w:kern w:val="0"/>
                      <w:szCs w:val="21"/>
                    </w:rPr>
                    <w:t>号），经国务院同意，现就开展一致性评价工作提出如下意见：</w:t>
                  </w:r>
                </w:p>
                <w:p w14:paraId="4BE739E3"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一、明确评价对象和时限。化学药品新注册分类实施前批准上市的仿制药，凡未按照与原研药品质量和疗效一致原则审批的，均须开展一致性评价。国家基本药物目录（</w:t>
                  </w:r>
                  <w:r w:rsidRPr="00182FCC">
                    <w:rPr>
                      <w:rFonts w:ascii="Arial" w:eastAsia="宋体" w:hAnsi="Arial" w:cs="Arial"/>
                      <w:color w:val="000000"/>
                      <w:kern w:val="0"/>
                      <w:szCs w:val="21"/>
                    </w:rPr>
                    <w:t>2012</w:t>
                  </w:r>
                  <w:r w:rsidRPr="00182FCC">
                    <w:rPr>
                      <w:rFonts w:ascii="Arial" w:eastAsia="宋体" w:hAnsi="Arial" w:cs="Arial"/>
                      <w:color w:val="000000"/>
                      <w:kern w:val="0"/>
                      <w:szCs w:val="21"/>
                    </w:rPr>
                    <w:t>年版）中</w:t>
                  </w:r>
                  <w:r w:rsidRPr="00182FCC">
                    <w:rPr>
                      <w:rFonts w:ascii="Arial" w:eastAsia="宋体" w:hAnsi="Arial" w:cs="Arial"/>
                      <w:color w:val="000000"/>
                      <w:kern w:val="0"/>
                      <w:szCs w:val="21"/>
                    </w:rPr>
                    <w:t>2007</w:t>
                  </w:r>
                  <w:r w:rsidRPr="00182FCC">
                    <w:rPr>
                      <w:rFonts w:ascii="Arial" w:eastAsia="宋体" w:hAnsi="Arial" w:cs="Arial"/>
                      <w:color w:val="000000"/>
                      <w:kern w:val="0"/>
                      <w:szCs w:val="21"/>
                    </w:rPr>
                    <w:t>年</w:t>
                  </w:r>
                  <w:r w:rsidRPr="00182FCC">
                    <w:rPr>
                      <w:rFonts w:ascii="Arial" w:eastAsia="宋体" w:hAnsi="Arial" w:cs="Arial"/>
                      <w:color w:val="000000"/>
                      <w:kern w:val="0"/>
                      <w:szCs w:val="21"/>
                    </w:rPr>
                    <w:t>10</w:t>
                  </w:r>
                  <w:r w:rsidRPr="00182FCC">
                    <w:rPr>
                      <w:rFonts w:ascii="Arial" w:eastAsia="宋体" w:hAnsi="Arial" w:cs="Arial"/>
                      <w:color w:val="000000"/>
                      <w:kern w:val="0"/>
                      <w:szCs w:val="21"/>
                    </w:rPr>
                    <w:t>月</w:t>
                  </w:r>
                  <w:r w:rsidRPr="00182FCC">
                    <w:rPr>
                      <w:rFonts w:ascii="Arial" w:eastAsia="宋体" w:hAnsi="Arial" w:cs="Arial"/>
                      <w:color w:val="000000"/>
                      <w:kern w:val="0"/>
                      <w:szCs w:val="21"/>
                    </w:rPr>
                    <w:t>1</w:t>
                  </w:r>
                  <w:r w:rsidRPr="00182FCC">
                    <w:rPr>
                      <w:rFonts w:ascii="Arial" w:eastAsia="宋体" w:hAnsi="Arial" w:cs="Arial"/>
                      <w:color w:val="000000"/>
                      <w:kern w:val="0"/>
                      <w:szCs w:val="21"/>
                    </w:rPr>
                    <w:t>日前批准上市的化学药品仿制药口服固体制剂，应在</w:t>
                  </w:r>
                  <w:r w:rsidRPr="00182FCC">
                    <w:rPr>
                      <w:rFonts w:ascii="Arial" w:eastAsia="宋体" w:hAnsi="Arial" w:cs="Arial"/>
                      <w:color w:val="000000"/>
                      <w:kern w:val="0"/>
                      <w:szCs w:val="21"/>
                    </w:rPr>
                    <w:t>2018</w:t>
                  </w:r>
                  <w:r w:rsidRPr="00182FCC">
                    <w:rPr>
                      <w:rFonts w:ascii="Arial" w:eastAsia="宋体" w:hAnsi="Arial" w:cs="Arial"/>
                      <w:color w:val="000000"/>
                      <w:kern w:val="0"/>
                      <w:szCs w:val="21"/>
                    </w:rPr>
                    <w:t>年底前完成一致性评价，其中需开展临床有效性试验和存在特殊情形的品种，应在</w:t>
                  </w:r>
                  <w:r w:rsidRPr="00182FCC">
                    <w:rPr>
                      <w:rFonts w:ascii="Arial" w:eastAsia="宋体" w:hAnsi="Arial" w:cs="Arial"/>
                      <w:color w:val="000000"/>
                      <w:kern w:val="0"/>
                      <w:szCs w:val="21"/>
                    </w:rPr>
                    <w:t>2021</w:t>
                  </w:r>
                  <w:r w:rsidRPr="00182FCC">
                    <w:rPr>
                      <w:rFonts w:ascii="Arial" w:eastAsia="宋体" w:hAnsi="Arial" w:cs="Arial"/>
                      <w:color w:val="000000"/>
                      <w:kern w:val="0"/>
                      <w:szCs w:val="21"/>
                    </w:rPr>
                    <w:t>年底前完成一致性评价；逾期未完成的，</w:t>
                  </w:r>
                  <w:proofErr w:type="gramStart"/>
                  <w:r w:rsidRPr="00182FCC">
                    <w:rPr>
                      <w:rFonts w:ascii="Arial" w:eastAsia="宋体" w:hAnsi="Arial" w:cs="Arial"/>
                      <w:color w:val="000000"/>
                      <w:kern w:val="0"/>
                      <w:szCs w:val="21"/>
                    </w:rPr>
                    <w:t>不予再</w:t>
                  </w:r>
                  <w:proofErr w:type="gramEnd"/>
                  <w:r w:rsidRPr="00182FCC">
                    <w:rPr>
                      <w:rFonts w:ascii="Arial" w:eastAsia="宋体" w:hAnsi="Arial" w:cs="Arial"/>
                      <w:color w:val="000000"/>
                      <w:kern w:val="0"/>
                      <w:szCs w:val="21"/>
                    </w:rPr>
                    <w:t>注册。</w:t>
                  </w:r>
                  <w:r w:rsidRPr="00182FCC">
                    <w:rPr>
                      <w:rFonts w:ascii="Arial" w:eastAsia="宋体" w:hAnsi="Arial" w:cs="Arial"/>
                      <w:color w:val="000000"/>
                      <w:kern w:val="0"/>
                      <w:szCs w:val="21"/>
                    </w:rPr>
                    <w:br/>
                  </w:r>
                  <w:r w:rsidRPr="00182FCC">
                    <w:rPr>
                      <w:rFonts w:ascii="Arial" w:eastAsia="宋体" w:hAnsi="Arial" w:cs="Arial"/>
                      <w:color w:val="000000"/>
                      <w:kern w:val="0"/>
                      <w:szCs w:val="21"/>
                    </w:rPr>
                    <w:t xml:space="preserve">　　化学药品新注册分类实施前批准上市的其他仿制药，</w:t>
                  </w:r>
                  <w:proofErr w:type="gramStart"/>
                  <w:r w:rsidRPr="00182FCC">
                    <w:rPr>
                      <w:rFonts w:ascii="Arial" w:eastAsia="宋体" w:hAnsi="Arial" w:cs="Arial"/>
                      <w:color w:val="000000"/>
                      <w:kern w:val="0"/>
                      <w:szCs w:val="21"/>
                    </w:rPr>
                    <w:t>自首家品种</w:t>
                  </w:r>
                  <w:proofErr w:type="gramEnd"/>
                  <w:r w:rsidRPr="00182FCC">
                    <w:rPr>
                      <w:rFonts w:ascii="Arial" w:eastAsia="宋体" w:hAnsi="Arial" w:cs="Arial"/>
                      <w:color w:val="000000"/>
                      <w:kern w:val="0"/>
                      <w:szCs w:val="21"/>
                    </w:rPr>
                    <w:t>通过一致性评价后，其他药品生产企业的相同品种原则上应在</w:t>
                  </w:r>
                  <w:r w:rsidRPr="00182FCC">
                    <w:rPr>
                      <w:rFonts w:ascii="Arial" w:eastAsia="宋体" w:hAnsi="Arial" w:cs="Arial"/>
                      <w:color w:val="000000"/>
                      <w:kern w:val="0"/>
                      <w:szCs w:val="21"/>
                    </w:rPr>
                    <w:t>3</w:t>
                  </w:r>
                  <w:r w:rsidRPr="00182FCC">
                    <w:rPr>
                      <w:rFonts w:ascii="Arial" w:eastAsia="宋体" w:hAnsi="Arial" w:cs="Arial"/>
                      <w:color w:val="000000"/>
                      <w:kern w:val="0"/>
                      <w:szCs w:val="21"/>
                    </w:rPr>
                    <w:t>年内完成一致性评价；逾期未完成的，</w:t>
                  </w:r>
                  <w:proofErr w:type="gramStart"/>
                  <w:r w:rsidRPr="00182FCC">
                    <w:rPr>
                      <w:rFonts w:ascii="Arial" w:eastAsia="宋体" w:hAnsi="Arial" w:cs="Arial"/>
                      <w:color w:val="000000"/>
                      <w:kern w:val="0"/>
                      <w:szCs w:val="21"/>
                    </w:rPr>
                    <w:t>不予再</w:t>
                  </w:r>
                  <w:proofErr w:type="gramEnd"/>
                  <w:r w:rsidRPr="00182FCC">
                    <w:rPr>
                      <w:rFonts w:ascii="Arial" w:eastAsia="宋体" w:hAnsi="Arial" w:cs="Arial"/>
                      <w:color w:val="000000"/>
                      <w:kern w:val="0"/>
                      <w:szCs w:val="21"/>
                    </w:rPr>
                    <w:t>注册。</w:t>
                  </w:r>
                </w:p>
                <w:p w14:paraId="00A48FF0"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二、确定参比制剂遴选原则。参比制剂原则上首选原研药品，也可以选用国际公认的同种药品。药品生产企业可自行选择参比制剂，</w:t>
                  </w:r>
                  <w:proofErr w:type="gramStart"/>
                  <w:r w:rsidRPr="00182FCC">
                    <w:rPr>
                      <w:rFonts w:ascii="Arial" w:eastAsia="宋体" w:hAnsi="Arial" w:cs="Arial"/>
                      <w:color w:val="000000"/>
                      <w:kern w:val="0"/>
                      <w:szCs w:val="21"/>
                    </w:rPr>
                    <w:t>报食品</w:t>
                  </w:r>
                  <w:proofErr w:type="gramEnd"/>
                  <w:r w:rsidRPr="00182FCC">
                    <w:rPr>
                      <w:rFonts w:ascii="Arial" w:eastAsia="宋体" w:hAnsi="Arial" w:cs="Arial"/>
                      <w:color w:val="000000"/>
                      <w:kern w:val="0"/>
                      <w:szCs w:val="21"/>
                    </w:rPr>
                    <w:t>药品监管总局备案；食品药品监管总局在规定期限内未提出异议的，药品生产企业即可开展相关研究工作。行业协会可组织同品种药品生产企业提出参比制剂选择意见，</w:t>
                  </w:r>
                  <w:proofErr w:type="gramStart"/>
                  <w:r w:rsidRPr="00182FCC">
                    <w:rPr>
                      <w:rFonts w:ascii="Arial" w:eastAsia="宋体" w:hAnsi="Arial" w:cs="Arial"/>
                      <w:color w:val="000000"/>
                      <w:kern w:val="0"/>
                      <w:szCs w:val="21"/>
                    </w:rPr>
                    <w:t>报食品</w:t>
                  </w:r>
                  <w:proofErr w:type="gramEnd"/>
                  <w:r w:rsidRPr="00182FCC">
                    <w:rPr>
                      <w:rFonts w:ascii="Arial" w:eastAsia="宋体" w:hAnsi="Arial" w:cs="Arial"/>
                      <w:color w:val="000000"/>
                      <w:kern w:val="0"/>
                      <w:szCs w:val="21"/>
                    </w:rPr>
                    <w:t>药品监管总局审核确定。对参比制剂存有争议的，由食品药品监管总局组织专家公开论证后确定。食品药品监管总局负责及时公布参比制剂信息，药品生产企业原则上应选</w:t>
                  </w:r>
                  <w:proofErr w:type="gramStart"/>
                  <w:r w:rsidRPr="00182FCC">
                    <w:rPr>
                      <w:rFonts w:ascii="Arial" w:eastAsia="宋体" w:hAnsi="Arial" w:cs="Arial"/>
                      <w:color w:val="000000"/>
                      <w:kern w:val="0"/>
                      <w:szCs w:val="21"/>
                    </w:rPr>
                    <w:t>择公布</w:t>
                  </w:r>
                  <w:proofErr w:type="gramEnd"/>
                  <w:r w:rsidRPr="00182FCC">
                    <w:rPr>
                      <w:rFonts w:ascii="Arial" w:eastAsia="宋体" w:hAnsi="Arial" w:cs="Arial"/>
                      <w:color w:val="000000"/>
                      <w:kern w:val="0"/>
                      <w:szCs w:val="21"/>
                    </w:rPr>
                    <w:t>的参比制剂开展一致性评价工作。</w:t>
                  </w:r>
                </w:p>
                <w:p w14:paraId="44328ED4"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三、合理选用评价方法。药品生产企业原则上应采用体内生物等效性试验的方法进行一致性评价。符合豁免生物等效性试验原则的品种，允许药品生产企业采取体外溶出度试验的方法进行一致性评价，具体品种名单由食品药品监管总局另行公布。开展体内生物等效性试验时，药品生产企业应根据仿制药生物等效性试验的有关规定组织实施。</w:t>
                  </w:r>
                  <w:proofErr w:type="gramStart"/>
                  <w:r w:rsidRPr="00182FCC">
                    <w:rPr>
                      <w:rFonts w:ascii="Arial" w:eastAsia="宋体" w:hAnsi="Arial" w:cs="Arial"/>
                      <w:color w:val="000000"/>
                      <w:kern w:val="0"/>
                      <w:szCs w:val="21"/>
                    </w:rPr>
                    <w:t>无参比</w:t>
                  </w:r>
                  <w:proofErr w:type="gramEnd"/>
                  <w:r w:rsidRPr="00182FCC">
                    <w:rPr>
                      <w:rFonts w:ascii="Arial" w:eastAsia="宋体" w:hAnsi="Arial" w:cs="Arial"/>
                      <w:color w:val="000000"/>
                      <w:kern w:val="0"/>
                      <w:szCs w:val="21"/>
                    </w:rPr>
                    <w:t>制剂的，由药品生产企业进行临床有效性试验。</w:t>
                  </w:r>
                </w:p>
                <w:p w14:paraId="629E2E09"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lastRenderedPageBreak/>
                    <w:t xml:space="preserve">　　四、落实企业主体责任。药品生产企业是一致性评价工作的主体，应主动选购参比制剂开展相关研究，确保药品质量和疗效与参比制剂一致。完成一致性评价后，可将评价结果及调整处方、工艺的资料，按照药品注册补充申请程序，一并提交食品药品监管部门。国内药品生产企业已在欧盟、美国和日本获准上市的仿制药，可以国外注册申报的相关资料为基础，按照化学药品新注册分类申报药品上市，批准上市后视同通过一致性评价；在中国境内用同一生产线生产上市并在欧盟、美国和日本获准上市的药品，视同通过一致性评价。</w:t>
                  </w:r>
                </w:p>
                <w:p w14:paraId="6958FE76"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五、加强对一致性评价工作的管理。食品药品监管总局负责发布一致性评价的相关指导原则，加强对药品生产企业一致性评价工作的技术指导；组织专家审核企业报送的参比制剂资料，分期分批公布经审核确定的参比制剂目录，建立我国仿制药参比制剂目录集；及时将按新标准批准上市的药品收入参比制剂目录集并公布；设立统一的审评通道，一并审评企业提交的一致性评价资料和药品注册补充申请。对药品生产企业自行购买尚未在中国境内上市的参比制剂，由食品药品监管总局以一次性进口方式批准，供一致性评价研究使用。</w:t>
                  </w:r>
                </w:p>
                <w:p w14:paraId="1626E3FD"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六、鼓励企业开展一致性评价工作。通过一致性评价的药品品种，由食品药品监管总局向社会公布。药品生产企业可在药品说明书、标签中予以标注；开展药品上市许可持有人制度试点区域的企业，可以申报作为该品种药品的上市许可持有人，委托其他药品生产企业生产，并承担上市后的相关法律责任。通过一致性评价的药品品种，在</w:t>
                  </w:r>
                  <w:proofErr w:type="gramStart"/>
                  <w:r w:rsidRPr="00182FCC">
                    <w:rPr>
                      <w:rFonts w:ascii="Arial" w:eastAsia="宋体" w:hAnsi="Arial" w:cs="Arial"/>
                      <w:color w:val="000000"/>
                      <w:kern w:val="0"/>
                      <w:szCs w:val="21"/>
                    </w:rPr>
                    <w:t>医</w:t>
                  </w:r>
                  <w:proofErr w:type="gramEnd"/>
                  <w:r w:rsidRPr="00182FCC">
                    <w:rPr>
                      <w:rFonts w:ascii="Arial" w:eastAsia="宋体" w:hAnsi="Arial" w:cs="Arial"/>
                      <w:color w:val="000000"/>
                      <w:kern w:val="0"/>
                      <w:szCs w:val="21"/>
                    </w:rPr>
                    <w:t>保支付方面予以适当支持，医疗机构应优先采购并在临床中优先选用。同品种药品通过一致性评价的生产企业达到</w:t>
                  </w:r>
                  <w:r w:rsidRPr="00182FCC">
                    <w:rPr>
                      <w:rFonts w:ascii="Arial" w:eastAsia="宋体" w:hAnsi="Arial" w:cs="Arial"/>
                      <w:color w:val="000000"/>
                      <w:kern w:val="0"/>
                      <w:szCs w:val="21"/>
                    </w:rPr>
                    <w:t>3</w:t>
                  </w:r>
                  <w:r w:rsidRPr="00182FCC">
                    <w:rPr>
                      <w:rFonts w:ascii="Arial" w:eastAsia="宋体" w:hAnsi="Arial" w:cs="Arial"/>
                      <w:color w:val="000000"/>
                      <w:kern w:val="0"/>
                      <w:szCs w:val="21"/>
                    </w:rPr>
                    <w:t>家以上的，在药品集中采购等方面不再选用未通过一致性评价的品种。通过一致性评价药品生产企业的技术改造，在符合有关条件的情况下，可以申请中央基建投资、产业基金等资金支持。</w:t>
                  </w:r>
                  <w:r w:rsidRPr="00182FCC">
                    <w:rPr>
                      <w:rFonts w:ascii="Arial" w:eastAsia="宋体" w:hAnsi="Arial" w:cs="Arial"/>
                      <w:color w:val="000000"/>
                      <w:kern w:val="0"/>
                      <w:szCs w:val="21"/>
                    </w:rPr>
                    <w:br/>
                  </w:r>
                  <w:r w:rsidRPr="00182FCC">
                    <w:rPr>
                      <w:rFonts w:ascii="Arial" w:eastAsia="宋体" w:hAnsi="Arial" w:cs="Arial"/>
                      <w:color w:val="000000"/>
                      <w:kern w:val="0"/>
                      <w:szCs w:val="21"/>
                    </w:rPr>
                    <w:t xml:space="preserve">　　各地区、各有关部门要高度重视，组织引导药品生产企业积极参与，科学规范开展一致性评价相关工作。食品药品监管总局要会同有关部门加强指导，落实相关配套政策，共同推动一致性评价工作。</w:t>
                  </w:r>
                </w:p>
                <w:p w14:paraId="6D0522B2" w14:textId="77777777" w:rsidR="00182FCC" w:rsidRPr="00182FCC" w:rsidRDefault="00182FCC" w:rsidP="00182FCC">
                  <w:pPr>
                    <w:widowControl/>
                    <w:spacing w:line="480" w:lineRule="auto"/>
                    <w:jc w:val="left"/>
                    <w:rPr>
                      <w:rFonts w:ascii="Arial" w:eastAsia="宋体" w:hAnsi="Arial" w:cs="Arial"/>
                      <w:color w:val="000000"/>
                      <w:kern w:val="0"/>
                      <w:szCs w:val="21"/>
                    </w:rPr>
                  </w:pPr>
                  <w:r w:rsidRPr="00182FCC">
                    <w:rPr>
                      <w:rFonts w:ascii="Arial" w:eastAsia="宋体" w:hAnsi="Arial" w:cs="Arial"/>
                      <w:color w:val="000000"/>
                      <w:kern w:val="0"/>
                      <w:szCs w:val="21"/>
                    </w:rPr>
                    <w:t xml:space="preserve">                                                                                                                                  </w:t>
                  </w:r>
                  <w:r w:rsidRPr="00182FCC">
                    <w:rPr>
                      <w:rFonts w:ascii="Arial" w:eastAsia="宋体" w:hAnsi="Arial" w:cs="Arial"/>
                      <w:color w:val="000000"/>
                      <w:kern w:val="0"/>
                      <w:szCs w:val="21"/>
                    </w:rPr>
                    <w:t>国务院办公厅</w:t>
                  </w:r>
                  <w:r w:rsidRPr="00182FCC">
                    <w:rPr>
                      <w:rFonts w:ascii="Arial" w:eastAsia="宋体" w:hAnsi="Arial" w:cs="Arial"/>
                      <w:color w:val="000000"/>
                      <w:kern w:val="0"/>
                      <w:szCs w:val="21"/>
                    </w:rPr>
                    <w:br/>
                    <w:t>                                                                                                                                 2016</w:t>
                  </w:r>
                  <w:r w:rsidRPr="00182FCC">
                    <w:rPr>
                      <w:rFonts w:ascii="Arial" w:eastAsia="宋体" w:hAnsi="Arial" w:cs="Arial"/>
                      <w:color w:val="000000"/>
                      <w:kern w:val="0"/>
                      <w:szCs w:val="21"/>
                    </w:rPr>
                    <w:t>年</w:t>
                  </w:r>
                  <w:r w:rsidRPr="00182FCC">
                    <w:rPr>
                      <w:rFonts w:ascii="Arial" w:eastAsia="宋体" w:hAnsi="Arial" w:cs="Arial"/>
                      <w:color w:val="000000"/>
                      <w:kern w:val="0"/>
                      <w:szCs w:val="21"/>
                    </w:rPr>
                    <w:t>2</w:t>
                  </w:r>
                  <w:r w:rsidRPr="00182FCC">
                    <w:rPr>
                      <w:rFonts w:ascii="Arial" w:eastAsia="宋体" w:hAnsi="Arial" w:cs="Arial"/>
                      <w:color w:val="000000"/>
                      <w:kern w:val="0"/>
                      <w:szCs w:val="21"/>
                    </w:rPr>
                    <w:t>月</w:t>
                  </w:r>
                  <w:r w:rsidRPr="00182FCC">
                    <w:rPr>
                      <w:rFonts w:ascii="Arial" w:eastAsia="宋体" w:hAnsi="Arial" w:cs="Arial"/>
                      <w:color w:val="000000"/>
                      <w:kern w:val="0"/>
                      <w:szCs w:val="21"/>
                    </w:rPr>
                    <w:t>6</w:t>
                  </w:r>
                  <w:r w:rsidRPr="00182FCC">
                    <w:rPr>
                      <w:rFonts w:ascii="Arial" w:eastAsia="宋体" w:hAnsi="Arial" w:cs="Arial"/>
                      <w:color w:val="000000"/>
                      <w:kern w:val="0"/>
                      <w:szCs w:val="21"/>
                    </w:rPr>
                    <w:t>日</w:t>
                  </w:r>
                </w:p>
              </w:tc>
            </w:tr>
          </w:tbl>
          <w:p w14:paraId="1A44A6CC" w14:textId="77777777" w:rsidR="00182FCC" w:rsidRPr="00182FCC" w:rsidRDefault="00182FCC" w:rsidP="00182FCC">
            <w:pPr>
              <w:widowControl/>
              <w:jc w:val="center"/>
              <w:rPr>
                <w:rFonts w:ascii="Arial" w:eastAsia="宋体" w:hAnsi="Arial" w:cs="Arial"/>
                <w:color w:val="000000"/>
                <w:kern w:val="0"/>
                <w:sz w:val="18"/>
                <w:szCs w:val="18"/>
              </w:rPr>
            </w:pPr>
          </w:p>
        </w:tc>
      </w:tr>
    </w:tbl>
    <w:p w14:paraId="24F1652B" w14:textId="48C3D190" w:rsidR="008265C9" w:rsidRPr="00D22D3C" w:rsidRDefault="00E2449A" w:rsidP="00D22D3C">
      <w:pPr>
        <w:rPr>
          <w:sz w:val="22"/>
          <w:szCs w:val="24"/>
        </w:rPr>
      </w:pPr>
    </w:p>
    <w:sectPr w:rsidR="008265C9" w:rsidRPr="00D22D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66EAE" w14:textId="77777777" w:rsidR="00E2449A" w:rsidRDefault="00E2449A" w:rsidP="00D22D3C">
      <w:r>
        <w:separator/>
      </w:r>
    </w:p>
  </w:endnote>
  <w:endnote w:type="continuationSeparator" w:id="0">
    <w:p w14:paraId="0A20C75A" w14:textId="77777777" w:rsidR="00E2449A" w:rsidRDefault="00E2449A" w:rsidP="00D2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77C31" w14:textId="77777777" w:rsidR="00E2449A" w:rsidRDefault="00E2449A" w:rsidP="00D22D3C">
      <w:r>
        <w:separator/>
      </w:r>
    </w:p>
  </w:footnote>
  <w:footnote w:type="continuationSeparator" w:id="0">
    <w:p w14:paraId="77A30DAC" w14:textId="77777777" w:rsidR="00E2449A" w:rsidRDefault="00E2449A" w:rsidP="00D22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2"/>
    <w:rsid w:val="00182FCC"/>
    <w:rsid w:val="002403F2"/>
    <w:rsid w:val="00352CF9"/>
    <w:rsid w:val="00C26202"/>
    <w:rsid w:val="00D22D3C"/>
    <w:rsid w:val="00E2449A"/>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18B1"/>
  <w15:chartTrackingRefBased/>
  <w15:docId w15:val="{2B579E79-CB09-4A5F-A8B3-86F4B13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D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D3C"/>
    <w:rPr>
      <w:sz w:val="18"/>
      <w:szCs w:val="18"/>
    </w:rPr>
  </w:style>
  <w:style w:type="paragraph" w:styleId="a5">
    <w:name w:val="footer"/>
    <w:basedOn w:val="a"/>
    <w:link w:val="a6"/>
    <w:uiPriority w:val="99"/>
    <w:unhideWhenUsed/>
    <w:rsid w:val="00D22D3C"/>
    <w:pPr>
      <w:tabs>
        <w:tab w:val="center" w:pos="4153"/>
        <w:tab w:val="right" w:pos="8306"/>
      </w:tabs>
      <w:snapToGrid w:val="0"/>
      <w:jc w:val="left"/>
    </w:pPr>
    <w:rPr>
      <w:sz w:val="18"/>
      <w:szCs w:val="18"/>
    </w:rPr>
  </w:style>
  <w:style w:type="character" w:customStyle="1" w:styleId="a6">
    <w:name w:val="页脚 字符"/>
    <w:basedOn w:val="a0"/>
    <w:link w:val="a5"/>
    <w:uiPriority w:val="99"/>
    <w:rsid w:val="00D22D3C"/>
    <w:rPr>
      <w:sz w:val="18"/>
      <w:szCs w:val="18"/>
    </w:rPr>
  </w:style>
  <w:style w:type="paragraph" w:styleId="a7">
    <w:name w:val="Normal (Web)"/>
    <w:basedOn w:val="a"/>
    <w:uiPriority w:val="99"/>
    <w:semiHidden/>
    <w:unhideWhenUsed/>
    <w:rsid w:val="00D22D3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83956">
      <w:bodyDiv w:val="1"/>
      <w:marLeft w:val="0"/>
      <w:marRight w:val="0"/>
      <w:marTop w:val="0"/>
      <w:marBottom w:val="0"/>
      <w:divBdr>
        <w:top w:val="none" w:sz="0" w:space="0" w:color="auto"/>
        <w:left w:val="none" w:sz="0" w:space="0" w:color="auto"/>
        <w:bottom w:val="none" w:sz="0" w:space="0" w:color="auto"/>
        <w:right w:val="none" w:sz="0" w:space="0" w:color="auto"/>
      </w:divBdr>
      <w:divsChild>
        <w:div w:id="1360666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3</cp:revision>
  <dcterms:created xsi:type="dcterms:W3CDTF">2021-03-08T07:16:00Z</dcterms:created>
  <dcterms:modified xsi:type="dcterms:W3CDTF">2021-03-08T07:32:00Z</dcterms:modified>
</cp:coreProperties>
</file>