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015" w:type="dxa"/>
        <w:jc w:val="center"/>
        <w:tblCellSpacing w:w="0" w:type="dxa"/>
        <w:tblCellMar>
          <w:left w:w="0" w:type="dxa"/>
          <w:right w:w="0" w:type="dxa"/>
        </w:tblCellMar>
        <w:tblLook w:val="04A0" w:firstRow="1" w:lastRow="0" w:firstColumn="1" w:lastColumn="0" w:noHBand="0" w:noVBand="1"/>
      </w:tblPr>
      <w:tblGrid>
        <w:gridCol w:w="12015"/>
      </w:tblGrid>
      <w:tr w:rsidR="00F85B17" w:rsidRPr="00F85B17" w14:paraId="749A6850" w14:textId="77777777" w:rsidTr="00F85B17">
        <w:trPr>
          <w:trHeight w:val="225"/>
          <w:tblCellSpacing w:w="0" w:type="dxa"/>
          <w:jc w:val="center"/>
        </w:trPr>
        <w:tc>
          <w:tcPr>
            <w:tcW w:w="0" w:type="auto"/>
            <w:hideMark/>
          </w:tcPr>
          <w:p w14:paraId="3F6DDBEA" w14:textId="77777777" w:rsidR="00F85B17" w:rsidRPr="00F85B17" w:rsidRDefault="00F85B17" w:rsidP="00F85B17">
            <w:pPr>
              <w:widowControl/>
              <w:jc w:val="center"/>
              <w:rPr>
                <w:rFonts w:ascii="Verdana" w:eastAsia="宋体" w:hAnsi="Verdana" w:cs="Arial"/>
                <w:b/>
                <w:bCs/>
                <w:color w:val="333333"/>
                <w:kern w:val="0"/>
                <w:szCs w:val="21"/>
              </w:rPr>
            </w:pPr>
            <w:r w:rsidRPr="00F85B17">
              <w:rPr>
                <w:rFonts w:ascii="Verdana" w:eastAsia="宋体" w:hAnsi="Verdana" w:cs="Arial"/>
                <w:b/>
                <w:bCs/>
                <w:color w:val="333333"/>
                <w:kern w:val="0"/>
                <w:szCs w:val="21"/>
              </w:rPr>
              <w:t>总局关于仿制药质量和疗效一致性评价工作有关事项的公告（</w:t>
            </w:r>
            <w:r w:rsidRPr="00F85B17">
              <w:rPr>
                <w:rFonts w:ascii="Verdana" w:eastAsia="宋体" w:hAnsi="Verdana" w:cs="Arial"/>
                <w:b/>
                <w:bCs/>
                <w:color w:val="333333"/>
                <w:kern w:val="0"/>
                <w:szCs w:val="21"/>
              </w:rPr>
              <w:t>2017</w:t>
            </w:r>
            <w:r w:rsidRPr="00F85B17">
              <w:rPr>
                <w:rFonts w:ascii="Verdana" w:eastAsia="宋体" w:hAnsi="Verdana" w:cs="Arial"/>
                <w:b/>
                <w:bCs/>
                <w:color w:val="333333"/>
                <w:kern w:val="0"/>
                <w:szCs w:val="21"/>
              </w:rPr>
              <w:t>年第</w:t>
            </w:r>
            <w:r w:rsidRPr="00F85B17">
              <w:rPr>
                <w:rFonts w:ascii="Verdana" w:eastAsia="宋体" w:hAnsi="Verdana" w:cs="Arial"/>
                <w:b/>
                <w:bCs/>
                <w:color w:val="333333"/>
                <w:kern w:val="0"/>
                <w:szCs w:val="21"/>
              </w:rPr>
              <w:t>100</w:t>
            </w:r>
            <w:r w:rsidRPr="00F85B17">
              <w:rPr>
                <w:rFonts w:ascii="Verdana" w:eastAsia="宋体" w:hAnsi="Verdana" w:cs="Arial"/>
                <w:b/>
                <w:bCs/>
                <w:color w:val="333333"/>
                <w:kern w:val="0"/>
                <w:szCs w:val="21"/>
              </w:rPr>
              <w:t>号）</w:t>
            </w:r>
          </w:p>
        </w:tc>
      </w:tr>
      <w:tr w:rsidR="00F85B17" w:rsidRPr="00F85B17" w14:paraId="489DA2D6" w14:textId="77777777" w:rsidTr="00F85B17">
        <w:trPr>
          <w:trHeight w:val="105"/>
          <w:tblCellSpacing w:w="0" w:type="dxa"/>
          <w:jc w:val="center"/>
        </w:trPr>
        <w:tc>
          <w:tcPr>
            <w:tcW w:w="0" w:type="auto"/>
            <w:hideMark/>
          </w:tcPr>
          <w:p w14:paraId="62A0A9C4" w14:textId="1D480754" w:rsidR="00F85B17" w:rsidRPr="00F85B17" w:rsidRDefault="00F85B17" w:rsidP="00F85B17">
            <w:pPr>
              <w:widowControl/>
              <w:jc w:val="center"/>
              <w:rPr>
                <w:rFonts w:ascii="Verdana" w:eastAsia="宋体" w:hAnsi="Verdana" w:cs="Arial"/>
                <w:color w:val="333333"/>
                <w:kern w:val="0"/>
                <w:sz w:val="18"/>
                <w:szCs w:val="18"/>
              </w:rPr>
            </w:pPr>
            <w:r w:rsidRPr="00F85B17">
              <w:rPr>
                <w:rFonts w:ascii="Verdana" w:eastAsia="宋体" w:hAnsi="Verdana" w:cs="Arial"/>
                <w:noProof/>
                <w:color w:val="333333"/>
                <w:kern w:val="0"/>
                <w:sz w:val="18"/>
                <w:szCs w:val="18"/>
              </w:rPr>
              <w:drawing>
                <wp:inline distT="0" distB="0" distL="0" distR="0" wp14:anchorId="5FD9BE7E" wp14:editId="0147099A">
                  <wp:extent cx="5274310" cy="92075"/>
                  <wp:effectExtent l="0" t="0" r="254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92075"/>
                          </a:xfrm>
                          <a:prstGeom prst="rect">
                            <a:avLst/>
                          </a:prstGeom>
                          <a:noFill/>
                          <a:ln>
                            <a:noFill/>
                          </a:ln>
                        </pic:spPr>
                      </pic:pic>
                    </a:graphicData>
                  </a:graphic>
                </wp:inline>
              </w:drawing>
            </w:r>
          </w:p>
        </w:tc>
      </w:tr>
      <w:tr w:rsidR="00F85B17" w:rsidRPr="00F85B17" w14:paraId="6A133B83" w14:textId="77777777" w:rsidTr="00F85B17">
        <w:trPr>
          <w:trHeight w:val="120"/>
          <w:tblCellSpacing w:w="0" w:type="dxa"/>
          <w:jc w:val="center"/>
        </w:trPr>
        <w:tc>
          <w:tcPr>
            <w:tcW w:w="0" w:type="auto"/>
            <w:hideMark/>
          </w:tcPr>
          <w:p w14:paraId="627CD564" w14:textId="77777777" w:rsidR="00F85B17" w:rsidRPr="00F85B17" w:rsidRDefault="00F85B17" w:rsidP="00F85B17">
            <w:pPr>
              <w:widowControl/>
              <w:jc w:val="center"/>
              <w:rPr>
                <w:rFonts w:ascii="Verdana" w:eastAsia="宋体" w:hAnsi="Verdana" w:cs="Arial"/>
                <w:color w:val="333333"/>
                <w:kern w:val="0"/>
                <w:sz w:val="18"/>
                <w:szCs w:val="18"/>
              </w:rPr>
            </w:pPr>
            <w:r w:rsidRPr="00F85B17">
              <w:rPr>
                <w:rFonts w:ascii="Verdana" w:eastAsia="宋体" w:hAnsi="Verdana" w:cs="Arial"/>
                <w:color w:val="333333"/>
                <w:kern w:val="0"/>
                <w:sz w:val="18"/>
                <w:szCs w:val="18"/>
              </w:rPr>
              <w:t>颁布时间</w:t>
            </w:r>
            <w:r w:rsidRPr="00F85B17">
              <w:rPr>
                <w:rFonts w:ascii="Verdana" w:eastAsia="宋体" w:hAnsi="Verdana" w:cs="Arial"/>
                <w:color w:val="333333"/>
                <w:kern w:val="0"/>
                <w:sz w:val="18"/>
                <w:szCs w:val="18"/>
              </w:rPr>
              <w:t>:20170825</w:t>
            </w:r>
          </w:p>
        </w:tc>
      </w:tr>
      <w:tr w:rsidR="00F85B17" w:rsidRPr="00F85B17" w14:paraId="77DD34AE" w14:textId="77777777" w:rsidTr="00F85B17">
        <w:trPr>
          <w:trHeight w:val="7500"/>
          <w:tblCellSpacing w:w="0" w:type="dxa"/>
          <w:jc w:val="center"/>
        </w:trPr>
        <w:tc>
          <w:tcPr>
            <w:tcW w:w="0" w:type="auto"/>
            <w:hideMark/>
          </w:tcPr>
          <w:tbl>
            <w:tblPr>
              <w:tblW w:w="4500" w:type="pct"/>
              <w:jc w:val="center"/>
              <w:tblCellSpacing w:w="15" w:type="dxa"/>
              <w:tblCellMar>
                <w:top w:w="90" w:type="dxa"/>
                <w:left w:w="90" w:type="dxa"/>
                <w:bottom w:w="90" w:type="dxa"/>
                <w:right w:w="90" w:type="dxa"/>
              </w:tblCellMar>
              <w:tblLook w:val="04A0" w:firstRow="1" w:lastRow="0" w:firstColumn="1" w:lastColumn="0" w:noHBand="0" w:noVBand="1"/>
            </w:tblPr>
            <w:tblGrid>
              <w:gridCol w:w="10814"/>
            </w:tblGrid>
            <w:tr w:rsidR="00F85B17" w:rsidRPr="00F85B17" w14:paraId="4AAE9A4B" w14:textId="77777777">
              <w:trPr>
                <w:tblCellSpacing w:w="15" w:type="dxa"/>
                <w:jc w:val="center"/>
              </w:trPr>
              <w:tc>
                <w:tcPr>
                  <w:tcW w:w="0" w:type="auto"/>
                  <w:noWrap/>
                  <w:vAlign w:val="center"/>
                  <w:hideMark/>
                </w:tcPr>
                <w:p w14:paraId="7EDEF6CA" w14:textId="77777777" w:rsidR="00F85B17" w:rsidRPr="00F85B17" w:rsidRDefault="00F85B17" w:rsidP="00F85B17">
                  <w:pPr>
                    <w:widowControl/>
                    <w:jc w:val="center"/>
                    <w:rPr>
                      <w:rFonts w:ascii="Verdana" w:eastAsia="宋体" w:hAnsi="Verdana" w:cs="Arial"/>
                      <w:color w:val="333333"/>
                      <w:kern w:val="0"/>
                      <w:sz w:val="18"/>
                      <w:szCs w:val="18"/>
                    </w:rPr>
                  </w:pPr>
                  <w:r w:rsidRPr="00F85B17">
                    <w:rPr>
                      <w:rFonts w:ascii="Verdana" w:eastAsia="宋体" w:hAnsi="Verdana" w:cs="Arial"/>
                      <w:color w:val="333333"/>
                      <w:kern w:val="0"/>
                      <w:sz w:val="18"/>
                      <w:szCs w:val="18"/>
                    </w:rPr>
                    <w:t> </w:t>
                  </w:r>
                </w:p>
              </w:tc>
            </w:tr>
            <w:tr w:rsidR="00F85B17" w:rsidRPr="00F85B17" w14:paraId="788A5113" w14:textId="77777777">
              <w:trPr>
                <w:tblCellSpacing w:w="15" w:type="dxa"/>
                <w:jc w:val="center"/>
              </w:trPr>
              <w:tc>
                <w:tcPr>
                  <w:tcW w:w="0" w:type="auto"/>
                  <w:tcMar>
                    <w:top w:w="210" w:type="dxa"/>
                    <w:left w:w="210" w:type="dxa"/>
                    <w:bottom w:w="210" w:type="dxa"/>
                    <w:right w:w="210" w:type="dxa"/>
                  </w:tcMar>
                  <w:vAlign w:val="center"/>
                  <w:hideMark/>
                </w:tcPr>
                <w:p w14:paraId="27621347" w14:textId="77777777" w:rsidR="00F85B17" w:rsidRPr="00F85B17" w:rsidRDefault="00F85B17" w:rsidP="00F85B17">
                  <w:pPr>
                    <w:widowControl/>
                    <w:spacing w:line="480" w:lineRule="auto"/>
                    <w:jc w:val="left"/>
                    <w:rPr>
                      <w:rFonts w:ascii="Arial" w:eastAsia="宋体" w:hAnsi="Arial" w:cs="Arial"/>
                      <w:color w:val="333333"/>
                      <w:kern w:val="0"/>
                      <w:szCs w:val="21"/>
                    </w:rPr>
                  </w:pPr>
                  <w:r w:rsidRPr="00F85B17">
                    <w:rPr>
                      <w:rFonts w:ascii="Arial" w:eastAsia="宋体" w:hAnsi="Arial" w:cs="Arial"/>
                      <w:color w:val="333333"/>
                      <w:kern w:val="0"/>
                      <w:szCs w:val="21"/>
                    </w:rPr>
                    <w:t xml:space="preserve">       </w:t>
                  </w:r>
                  <w:r w:rsidRPr="00F85B17">
                    <w:rPr>
                      <w:rFonts w:ascii="Arial" w:eastAsia="宋体" w:hAnsi="Arial" w:cs="Arial"/>
                      <w:color w:val="333333"/>
                      <w:kern w:val="0"/>
                      <w:szCs w:val="21"/>
                    </w:rPr>
                    <w:t>为做好仿制药质量和疗效一致性评价工作（以下简称一致性评价），现就有关事宜公告如下：</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一、为便于企业选择参比制剂，国家食品药品监督管理总局将把《关于落实〈国务院办公厅关于开展仿制药质量和疗效一致性评价的意见〉有关事项的公告》（</w:t>
                  </w:r>
                  <w:r w:rsidRPr="00F85B17">
                    <w:rPr>
                      <w:rFonts w:ascii="Arial" w:eastAsia="宋体" w:hAnsi="Arial" w:cs="Arial"/>
                      <w:color w:val="333333"/>
                      <w:kern w:val="0"/>
                      <w:szCs w:val="21"/>
                    </w:rPr>
                    <w:t>2016</w:t>
                  </w:r>
                  <w:r w:rsidRPr="00F85B17">
                    <w:rPr>
                      <w:rFonts w:ascii="Arial" w:eastAsia="宋体" w:hAnsi="Arial" w:cs="Arial"/>
                      <w:color w:val="333333"/>
                      <w:kern w:val="0"/>
                      <w:szCs w:val="21"/>
                    </w:rPr>
                    <w:t>年第</w:t>
                  </w:r>
                  <w:r w:rsidRPr="00F85B17">
                    <w:rPr>
                      <w:rFonts w:ascii="Arial" w:eastAsia="宋体" w:hAnsi="Arial" w:cs="Arial"/>
                      <w:color w:val="333333"/>
                      <w:kern w:val="0"/>
                      <w:szCs w:val="21"/>
                    </w:rPr>
                    <w:t>106</w:t>
                  </w:r>
                  <w:r w:rsidRPr="00F85B17">
                    <w:rPr>
                      <w:rFonts w:ascii="Arial" w:eastAsia="宋体" w:hAnsi="Arial" w:cs="Arial"/>
                      <w:color w:val="333333"/>
                      <w:kern w:val="0"/>
                      <w:szCs w:val="21"/>
                    </w:rPr>
                    <w:t>号）所附</w:t>
                  </w:r>
                  <w:r w:rsidRPr="00F85B17">
                    <w:rPr>
                      <w:rFonts w:ascii="Arial" w:eastAsia="宋体" w:hAnsi="Arial" w:cs="Arial"/>
                      <w:color w:val="333333"/>
                      <w:kern w:val="0"/>
                      <w:szCs w:val="21"/>
                    </w:rPr>
                    <w:t>289</w:t>
                  </w:r>
                  <w:r w:rsidRPr="00F85B17">
                    <w:rPr>
                      <w:rFonts w:ascii="Arial" w:eastAsia="宋体" w:hAnsi="Arial" w:cs="Arial"/>
                      <w:color w:val="333333"/>
                      <w:kern w:val="0"/>
                      <w:szCs w:val="21"/>
                    </w:rPr>
                    <w:t>个品种的原研企业药品列出清单并向社会公布，供企业选择参比制剂时参考。清单分为已在中国境内上市和未在中国境内上市两类。建议企业按以下顺序选择其一作为参比制剂备案：</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（一）原研药品：进口原研药品、经审核确定的原研企业在中国境内生产上市的药品、</w:t>
                  </w:r>
                  <w:proofErr w:type="gramStart"/>
                  <w:r w:rsidRPr="00F85B17">
                    <w:rPr>
                      <w:rFonts w:ascii="Arial" w:eastAsia="宋体" w:hAnsi="Arial" w:cs="Arial"/>
                      <w:color w:val="333333"/>
                      <w:kern w:val="0"/>
                      <w:szCs w:val="21"/>
                    </w:rPr>
                    <w:t>未进口</w:t>
                  </w:r>
                  <w:proofErr w:type="gramEnd"/>
                  <w:r w:rsidRPr="00F85B17">
                    <w:rPr>
                      <w:rFonts w:ascii="Arial" w:eastAsia="宋体" w:hAnsi="Arial" w:cs="Arial"/>
                      <w:color w:val="333333"/>
                      <w:kern w:val="0"/>
                      <w:szCs w:val="21"/>
                    </w:rPr>
                    <w:t>原研药品；</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（二）在原研企业停止生产的情况下，可选择美国、日本或欧盟获准上市并获得参比制剂地位的药品。</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对国家食品药品监督管理总局已公布的参比制剂，建议企业按照公布的参比制剂开展研究，未备案的无需再备案；对已公布的参比制剂存疑的，可向国家食品药品监督管理总局药品审评中心提出异议并说明理由，国家食品药品监督管理总局召开专家咨询委员会会议公开审议，并公开审议结果。</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二、企业报国</w:t>
                  </w:r>
                  <w:proofErr w:type="gramStart"/>
                  <w:r w:rsidRPr="00F85B17">
                    <w:rPr>
                      <w:rFonts w:ascii="Arial" w:eastAsia="宋体" w:hAnsi="Arial" w:cs="Arial"/>
                      <w:color w:val="333333"/>
                      <w:kern w:val="0"/>
                      <w:szCs w:val="21"/>
                    </w:rPr>
                    <w:t>家食品</w:t>
                  </w:r>
                  <w:proofErr w:type="gramEnd"/>
                  <w:r w:rsidRPr="00F85B17">
                    <w:rPr>
                      <w:rFonts w:ascii="Arial" w:eastAsia="宋体" w:hAnsi="Arial" w:cs="Arial"/>
                      <w:color w:val="333333"/>
                      <w:kern w:val="0"/>
                      <w:szCs w:val="21"/>
                    </w:rPr>
                    <w:t>药品监督管理总局备案的参比制剂全部向社会公开。对国家食品药品监督管理总局未公布参比制剂的品种，由国家食品药品监督管理总局组织专家咨询委员会讨论后区别情况提出如下指导性意见：</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（一）可以确认符合参比制剂条件的；</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（二）存疑的；</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（三）明显不符合条件的。</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对于（二）（三）两种情况是否继续进行研究或重新选择参比制剂，由企业自主决定并承担相应的责任。</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三、企业自行从境外采购的参比制剂产品，在提交一致性评价资料时需提供购买凭证、产品包装及说明书等材料，或以其他适当方法证明所用参比制剂是标明企业的产品。企业发现所使用的参比制剂产品为假冒产品的，应终止正在进行的研究工作，已申报的，应及时向国家食品药品监督管理总局药品审评中心报告并撤回一致性评</w:t>
                  </w:r>
                  <w:r w:rsidRPr="00F85B17">
                    <w:rPr>
                      <w:rFonts w:ascii="Arial" w:eastAsia="宋体" w:hAnsi="Arial" w:cs="Arial"/>
                      <w:color w:val="333333"/>
                      <w:kern w:val="0"/>
                      <w:szCs w:val="21"/>
                    </w:rPr>
                    <w:lastRenderedPageBreak/>
                    <w:t>价申请，视情况免于责任；监管部门发现企业使用的参比制剂产品为假冒产品的，应及时通报相关企业，终止审评审批；已批准上市的要撤销批准文件并向社会公开信息，责成企业</w:t>
                  </w:r>
                  <w:proofErr w:type="gramStart"/>
                  <w:r w:rsidRPr="00F85B17">
                    <w:rPr>
                      <w:rFonts w:ascii="Arial" w:eastAsia="宋体" w:hAnsi="Arial" w:cs="Arial"/>
                      <w:color w:val="333333"/>
                      <w:kern w:val="0"/>
                      <w:szCs w:val="21"/>
                    </w:rPr>
                    <w:t>作出</w:t>
                  </w:r>
                  <w:proofErr w:type="gramEnd"/>
                  <w:r w:rsidRPr="00F85B17">
                    <w:rPr>
                      <w:rFonts w:ascii="Arial" w:eastAsia="宋体" w:hAnsi="Arial" w:cs="Arial"/>
                      <w:color w:val="333333"/>
                      <w:kern w:val="0"/>
                      <w:szCs w:val="21"/>
                    </w:rPr>
                    <w:t>解释并根据情况立案调查。</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四、根据《国务院办公厅关于进一步改革完善药品生产流通使用政策的若干意见》（国办发〔</w:t>
                  </w:r>
                  <w:r w:rsidRPr="00F85B17">
                    <w:rPr>
                      <w:rFonts w:ascii="Arial" w:eastAsia="宋体" w:hAnsi="Arial" w:cs="Arial"/>
                      <w:color w:val="333333"/>
                      <w:kern w:val="0"/>
                      <w:szCs w:val="21"/>
                    </w:rPr>
                    <w:t>2017</w:t>
                  </w:r>
                  <w:r w:rsidRPr="00F85B17">
                    <w:rPr>
                      <w:rFonts w:ascii="Arial" w:eastAsia="宋体" w:hAnsi="Arial" w:cs="Arial"/>
                      <w:color w:val="333333"/>
                      <w:kern w:val="0"/>
                      <w:szCs w:val="21"/>
                    </w:rPr>
                    <w:t>〕</w:t>
                  </w:r>
                  <w:r w:rsidRPr="00F85B17">
                    <w:rPr>
                      <w:rFonts w:ascii="Arial" w:eastAsia="宋体" w:hAnsi="Arial" w:cs="Arial"/>
                      <w:color w:val="333333"/>
                      <w:kern w:val="0"/>
                      <w:szCs w:val="21"/>
                    </w:rPr>
                    <w:t>13</w:t>
                  </w:r>
                  <w:r w:rsidRPr="00F85B17">
                    <w:rPr>
                      <w:rFonts w:ascii="Arial" w:eastAsia="宋体" w:hAnsi="Arial" w:cs="Arial"/>
                      <w:color w:val="333333"/>
                      <w:kern w:val="0"/>
                      <w:szCs w:val="21"/>
                    </w:rPr>
                    <w:t>号），对生物等效性试验机构实行备案制管理。一致性评价中的生物等效性试验可以在现有经认定的临床试验机构进行，也可以在其他具备条件的机构进行。生物等效性试验发起方可以聘请具备评估能力的第三方按《药物临床试验质量管理规范》（</w:t>
                  </w:r>
                  <w:r w:rsidRPr="00F85B17">
                    <w:rPr>
                      <w:rFonts w:ascii="Arial" w:eastAsia="宋体" w:hAnsi="Arial" w:cs="Arial"/>
                      <w:color w:val="333333"/>
                      <w:kern w:val="0"/>
                      <w:szCs w:val="21"/>
                    </w:rPr>
                    <w:t>GCP</w:t>
                  </w:r>
                  <w:r w:rsidRPr="00F85B17">
                    <w:rPr>
                      <w:rFonts w:ascii="Arial" w:eastAsia="宋体" w:hAnsi="Arial" w:cs="Arial"/>
                      <w:color w:val="333333"/>
                      <w:kern w:val="0"/>
                      <w:szCs w:val="21"/>
                    </w:rPr>
                    <w:t>）要求对开展生物等效性试验的机构进行评估。</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五、生物等效性试验开始之前，申请人须按国家食品药品监督管理总局《关于药物临床试验信息平台的公告》的要求将开展试验的项目、临床试验机构、样本分析机构、参比制剂等信息在国家食品药品监督管理总局药品审评中心药物临床试验登记与信息公示平台登记。省级食品药品监管部门加强对临床试验机构的日常监管，发现问题及时报告国家食品药品监督管理总局食品药品审核查验中心。</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六、对符合《人体生物等效性试验豁免指导原则》的品种，以及不适合开展人体内研究的品种，国家食品药品监督管理总局区别情况，分批公布具体品种目录；企业也可向国家食品药品监督管理总局提出豁免申请并说明理由，国家食品药品监督管理总局经论证后，决定是否同意豁免。</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七、原研企业在中国境内生产上市的品种，按照以下情况区分：</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属于上市后未发生较大变更的，或上市后发生较大变更但经审评并不影响质量和疗效的，由国家食品药品监督管理总局审核和核查后，列入参比制剂目录。</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属于上市后发生重大变更并与原产国相同产品质量疗效存在差异的，由企业在本公告发布</w:t>
                  </w:r>
                  <w:r w:rsidRPr="00F85B17">
                    <w:rPr>
                      <w:rFonts w:ascii="Arial" w:eastAsia="宋体" w:hAnsi="Arial" w:cs="Arial"/>
                      <w:color w:val="333333"/>
                      <w:kern w:val="0"/>
                      <w:szCs w:val="21"/>
                    </w:rPr>
                    <w:t>30</w:t>
                  </w:r>
                  <w:r w:rsidRPr="00F85B17">
                    <w:rPr>
                      <w:rFonts w:ascii="Arial" w:eastAsia="宋体" w:hAnsi="Arial" w:cs="Arial"/>
                      <w:color w:val="333333"/>
                      <w:kern w:val="0"/>
                      <w:szCs w:val="21"/>
                    </w:rPr>
                    <w:t>日内报告国家食品药品监督管理总局药品审评中心，并在其网站发布声明，说明存在的差异及原因，并按照要求开展一致性评价。</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八、对上市前按照与原研药品质量和疗效一致性原则申报和审评的品种，申请人应评估是否满足现行一致性评价技术指导原则要求。经评估达到要求的，申请人可向国家食品药品监督管理总局提出免于参加一致性评价的</w:t>
                  </w:r>
                  <w:r w:rsidRPr="00F85B17">
                    <w:rPr>
                      <w:rFonts w:ascii="Arial" w:eastAsia="宋体" w:hAnsi="Arial" w:cs="Arial"/>
                      <w:color w:val="333333"/>
                      <w:kern w:val="0"/>
                      <w:szCs w:val="21"/>
                    </w:rPr>
                    <w:lastRenderedPageBreak/>
                    <w:t>申请，国家食品药品监督管理总局将按照现行一致性评价技术要求，对原注册申报资料审评，重点审核其真实性和完整性。经审评达不到要求的，申请人应当按要求进行一致性评价。审评通过的，视同通过一致性评价。</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对正在审评中的按照原化学药品注册分类受理的仿制</w:t>
                  </w:r>
                  <w:proofErr w:type="gramStart"/>
                  <w:r w:rsidRPr="00F85B17">
                    <w:rPr>
                      <w:rFonts w:ascii="Arial" w:eastAsia="宋体" w:hAnsi="Arial" w:cs="Arial"/>
                      <w:color w:val="333333"/>
                      <w:kern w:val="0"/>
                      <w:szCs w:val="21"/>
                    </w:rPr>
                    <w:t>药注册</w:t>
                  </w:r>
                  <w:proofErr w:type="gramEnd"/>
                  <w:r w:rsidRPr="00F85B17">
                    <w:rPr>
                      <w:rFonts w:ascii="Arial" w:eastAsia="宋体" w:hAnsi="Arial" w:cs="Arial"/>
                      <w:color w:val="333333"/>
                      <w:kern w:val="0"/>
                      <w:szCs w:val="21"/>
                    </w:rPr>
                    <w:t>申请，申请人可评估是否满足现行一致性评价技术指导原则要求。经评估达到要求的，申请人可向国家食品药品监督管理总局药品审评中心提出按与原研药质量和疗效一致的标准审评的申请。国家食品药品监督管理总局审评通过的，视同通过一致性评价。</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九、支持中国境内企业生产的在欧盟、美国或日本批准上市的药品在中国上市。</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一）在欧盟、美国或日本批准上市的仿制药已在中国上市并采用同一生产线同一处方工艺生产的，申请人需提交境外上市申报的生物等效性研究、药学研究数据等技术资料，由国家食品药品监督管理总局审评通过后，视同通过一致性评价。</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二）在欧盟、美国或日本批准上市的仿制药已在中国上市但采用不同生产线或处方工艺不一致的，企业需按一致性评价的要求，以境外上市申报的处方工艺和生物等效性研究、药学研究数据等技术资料向国家食品药品监督管理总局递交变更申请，审评通过后，批准变更处方工艺，视同通过一致性评价。</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三）在欧盟、美国或日本上市但未在中国境内上市的，经临床研究证实无种族差异的，可使用境外上市申报的生物等效性研究、药学研究数据等技术资料向国家食品药品监督管理总局提出上市申请；可能存在种族差异的，应开展相应的临床试验。审评通过的视同通过一致性评价。</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四）上述技术资料，应是用于向欧盟、美国或日本监管部门申请上市的完整研究数据，包括药学研究数据、生物等效性试验资料等，应符合中国现行技术指导原则要求并需接受国家食品药品监督管理总局现场检查。对提供虚假的证明文件、资料、样品或者以其他欺骗手段取得药品批准证明文件的，撤销批准证明文件。</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上款所述药品包括其在中国境内生产的以在境外设立或收购的控股附属企业名义上市的情形。在境外设立的由中国公民投资或参股、控股的企业，其在境外生产的药品仍按进口药品申请上市许可。</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十、企业报送一致性评价申请时，由申请人所属技术部门或委托药品检验机构、第三方机构等出具样品复核</w:t>
                  </w:r>
                  <w:r w:rsidRPr="00F85B17">
                    <w:rPr>
                      <w:rFonts w:ascii="Arial" w:eastAsia="宋体" w:hAnsi="Arial" w:cs="Arial"/>
                      <w:color w:val="333333"/>
                      <w:kern w:val="0"/>
                      <w:szCs w:val="21"/>
                    </w:rPr>
                    <w:lastRenderedPageBreak/>
                    <w:t>检验报告，作为申报资料之一报送国家食品药品监督管理总局。国家食品药品监督管理总局将在相关网站公布具备药品质量复核能力的机构名单。</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十一、国家食品药品监督管理总局药品审评中心设立合</w:t>
                  </w:r>
                  <w:proofErr w:type="gramStart"/>
                  <w:r w:rsidRPr="00F85B17">
                    <w:rPr>
                      <w:rFonts w:ascii="Arial" w:eastAsia="宋体" w:hAnsi="Arial" w:cs="Arial"/>
                      <w:color w:val="333333"/>
                      <w:kern w:val="0"/>
                      <w:szCs w:val="21"/>
                    </w:rPr>
                    <w:t>规</w:t>
                  </w:r>
                  <w:proofErr w:type="gramEnd"/>
                  <w:r w:rsidRPr="00F85B17">
                    <w:rPr>
                      <w:rFonts w:ascii="Arial" w:eastAsia="宋体" w:hAnsi="Arial" w:cs="Arial"/>
                      <w:color w:val="333333"/>
                      <w:kern w:val="0"/>
                      <w:szCs w:val="21"/>
                    </w:rPr>
                    <w:t>办公室，协调有因检查、抽检以及审评等相关环节，提高检查、检验和审评工作的质量和效率，保证检查员和</w:t>
                  </w:r>
                  <w:proofErr w:type="gramStart"/>
                  <w:r w:rsidRPr="00F85B17">
                    <w:rPr>
                      <w:rFonts w:ascii="Arial" w:eastAsia="宋体" w:hAnsi="Arial" w:cs="Arial"/>
                      <w:color w:val="333333"/>
                      <w:kern w:val="0"/>
                      <w:szCs w:val="21"/>
                    </w:rPr>
                    <w:t>审评员</w:t>
                  </w:r>
                  <w:proofErr w:type="gramEnd"/>
                  <w:r w:rsidRPr="00F85B17">
                    <w:rPr>
                      <w:rFonts w:ascii="Arial" w:eastAsia="宋体" w:hAnsi="Arial" w:cs="Arial"/>
                      <w:color w:val="333333"/>
                      <w:kern w:val="0"/>
                      <w:szCs w:val="21"/>
                    </w:rPr>
                    <w:t>按同一标准对申请一致性评价药物进行检查和审评。审评、检查、检验需按国家食品药品监督管理总局有关规定进行，并记入药品相关档案。审评、核查、检验工作人员需对相关结论负责。</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十二、申请人需对所报申报资料及相关数据可靠性承担法律责任。药品审评过程中发现申报资料存在真实性问题的，不予批准，并由国家食品药品监督管理总局稽查局会同食品药品审核查验中心依法立案调查，撤销原药品批准文号，追究相关责任人法律责任。申报资料存在完整性问题的，不予批准，申请人</w:t>
                  </w:r>
                  <w:proofErr w:type="gramStart"/>
                  <w:r w:rsidRPr="00F85B17">
                    <w:rPr>
                      <w:rFonts w:ascii="Arial" w:eastAsia="宋体" w:hAnsi="Arial" w:cs="Arial"/>
                      <w:color w:val="333333"/>
                      <w:kern w:val="0"/>
                      <w:szCs w:val="21"/>
                    </w:rPr>
                    <w:t>可完善</w:t>
                  </w:r>
                  <w:proofErr w:type="gramEnd"/>
                  <w:r w:rsidRPr="00F85B17">
                    <w:rPr>
                      <w:rFonts w:ascii="Arial" w:eastAsia="宋体" w:hAnsi="Arial" w:cs="Arial"/>
                      <w:color w:val="333333"/>
                      <w:kern w:val="0"/>
                      <w:szCs w:val="21"/>
                    </w:rPr>
                    <w:t>后重新申报。</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十三、自公告发布后第十个工作日起，一致性评价申请由国家食品药品监督管理总局行政事项受理服务和投诉举报中心负责受理或接收。</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（一）属于改变处方工艺的仿制药（包括进口仿制药），应参照《药品注册管理办法》（国家食品药品监督管理局令第</w:t>
                  </w:r>
                  <w:r w:rsidRPr="00F85B17">
                    <w:rPr>
                      <w:rFonts w:ascii="Arial" w:eastAsia="宋体" w:hAnsi="Arial" w:cs="Arial"/>
                      <w:color w:val="333333"/>
                      <w:kern w:val="0"/>
                      <w:szCs w:val="21"/>
                    </w:rPr>
                    <w:t>28</w:t>
                  </w:r>
                  <w:r w:rsidRPr="00F85B17">
                    <w:rPr>
                      <w:rFonts w:ascii="Arial" w:eastAsia="宋体" w:hAnsi="Arial" w:cs="Arial"/>
                      <w:color w:val="333333"/>
                      <w:kern w:val="0"/>
                      <w:szCs w:val="21"/>
                    </w:rPr>
                    <w:t>号）的有关要求，提出补充申请，在申请表特别申明事项中注明</w:t>
                  </w:r>
                  <w:r w:rsidRPr="00F85B17">
                    <w:rPr>
                      <w:rFonts w:ascii="Arial" w:eastAsia="宋体" w:hAnsi="Arial" w:cs="Arial"/>
                      <w:color w:val="333333"/>
                      <w:kern w:val="0"/>
                      <w:szCs w:val="21"/>
                    </w:rPr>
                    <w:t xml:space="preserve"> “</w:t>
                  </w:r>
                  <w:r w:rsidRPr="00F85B17">
                    <w:rPr>
                      <w:rFonts w:ascii="Arial" w:eastAsia="宋体" w:hAnsi="Arial" w:cs="Arial"/>
                      <w:color w:val="333333"/>
                      <w:kern w:val="0"/>
                      <w:szCs w:val="21"/>
                    </w:rPr>
                    <w:t>一致性评价申请，处方工艺有变更</w:t>
                  </w:r>
                  <w:r w:rsidRPr="00F85B17">
                    <w:rPr>
                      <w:rFonts w:ascii="Arial" w:eastAsia="宋体" w:hAnsi="Arial" w:cs="Arial"/>
                      <w:color w:val="333333"/>
                      <w:kern w:val="0"/>
                      <w:szCs w:val="21"/>
                    </w:rPr>
                    <w:t>”</w:t>
                  </w:r>
                  <w:r w:rsidRPr="00F85B17">
                    <w:rPr>
                      <w:rFonts w:ascii="Arial" w:eastAsia="宋体" w:hAnsi="Arial" w:cs="Arial"/>
                      <w:color w:val="333333"/>
                      <w:kern w:val="0"/>
                      <w:szCs w:val="21"/>
                    </w:rPr>
                    <w:t>。国产仿制药申报资料应符合《关于发布化学药品仿制药口服固体制剂质量和疗效一致性评价申报资料要求（试行）的通告》（国家食品药品监督管理总局通告</w:t>
                  </w:r>
                  <w:r w:rsidRPr="00F85B17">
                    <w:rPr>
                      <w:rFonts w:ascii="Arial" w:eastAsia="宋体" w:hAnsi="Arial" w:cs="Arial"/>
                      <w:color w:val="333333"/>
                      <w:kern w:val="0"/>
                      <w:szCs w:val="21"/>
                    </w:rPr>
                    <w:t>2016</w:t>
                  </w:r>
                  <w:r w:rsidRPr="00F85B17">
                    <w:rPr>
                      <w:rFonts w:ascii="Arial" w:eastAsia="宋体" w:hAnsi="Arial" w:cs="Arial"/>
                      <w:color w:val="333333"/>
                      <w:kern w:val="0"/>
                      <w:szCs w:val="21"/>
                    </w:rPr>
                    <w:t>年第</w:t>
                  </w:r>
                  <w:r w:rsidRPr="00F85B17">
                    <w:rPr>
                      <w:rFonts w:ascii="Arial" w:eastAsia="宋体" w:hAnsi="Arial" w:cs="Arial"/>
                      <w:color w:val="333333"/>
                      <w:kern w:val="0"/>
                      <w:szCs w:val="21"/>
                    </w:rPr>
                    <w:t>120</w:t>
                  </w:r>
                  <w:r w:rsidRPr="00F85B17">
                    <w:rPr>
                      <w:rFonts w:ascii="Arial" w:eastAsia="宋体" w:hAnsi="Arial" w:cs="Arial"/>
                      <w:color w:val="333333"/>
                      <w:kern w:val="0"/>
                      <w:szCs w:val="21"/>
                    </w:rPr>
                    <w:t>号）资料要求。进口仿制药可按照</w:t>
                  </w:r>
                  <w:r w:rsidRPr="00F85B17">
                    <w:rPr>
                      <w:rFonts w:ascii="Arial" w:eastAsia="宋体" w:hAnsi="Arial" w:cs="Arial"/>
                      <w:color w:val="333333"/>
                      <w:kern w:val="0"/>
                      <w:szCs w:val="21"/>
                    </w:rPr>
                    <w:t>2016</w:t>
                  </w:r>
                  <w:r w:rsidRPr="00F85B17">
                    <w:rPr>
                      <w:rFonts w:ascii="Arial" w:eastAsia="宋体" w:hAnsi="Arial" w:cs="Arial"/>
                      <w:color w:val="333333"/>
                      <w:kern w:val="0"/>
                      <w:szCs w:val="21"/>
                    </w:rPr>
                    <w:t>年第</w:t>
                  </w:r>
                  <w:r w:rsidRPr="00F85B17">
                    <w:rPr>
                      <w:rFonts w:ascii="Arial" w:eastAsia="宋体" w:hAnsi="Arial" w:cs="Arial"/>
                      <w:color w:val="333333"/>
                      <w:kern w:val="0"/>
                      <w:szCs w:val="21"/>
                    </w:rPr>
                    <w:t>120</w:t>
                  </w:r>
                  <w:r w:rsidRPr="00F85B17">
                    <w:rPr>
                      <w:rFonts w:ascii="Arial" w:eastAsia="宋体" w:hAnsi="Arial" w:cs="Arial"/>
                      <w:color w:val="333333"/>
                      <w:kern w:val="0"/>
                      <w:szCs w:val="21"/>
                    </w:rPr>
                    <w:t>号通告要求提交申报资料；也可以按照国际人用药品注册技术协调会议（</w:t>
                  </w:r>
                  <w:r w:rsidRPr="00F85B17">
                    <w:rPr>
                      <w:rFonts w:ascii="Arial" w:eastAsia="宋体" w:hAnsi="Arial" w:cs="Arial"/>
                      <w:color w:val="333333"/>
                      <w:kern w:val="0"/>
                      <w:szCs w:val="21"/>
                    </w:rPr>
                    <w:t>ICH</w:t>
                  </w:r>
                  <w:r w:rsidRPr="00F85B17">
                    <w:rPr>
                      <w:rFonts w:ascii="Arial" w:eastAsia="宋体" w:hAnsi="Arial" w:cs="Arial"/>
                      <w:color w:val="333333"/>
                      <w:kern w:val="0"/>
                      <w:szCs w:val="21"/>
                    </w:rPr>
                    <w:t>）规定的通用技术文件（</w:t>
                  </w:r>
                  <w:r w:rsidRPr="00F85B17">
                    <w:rPr>
                      <w:rFonts w:ascii="Arial" w:eastAsia="宋体" w:hAnsi="Arial" w:cs="Arial"/>
                      <w:color w:val="333333"/>
                      <w:kern w:val="0"/>
                      <w:szCs w:val="21"/>
                    </w:rPr>
                    <w:t>CTD</w:t>
                  </w:r>
                  <w:r w:rsidRPr="00F85B17">
                    <w:rPr>
                      <w:rFonts w:ascii="Arial" w:eastAsia="宋体" w:hAnsi="Arial" w:cs="Arial"/>
                      <w:color w:val="333333"/>
                      <w:kern w:val="0"/>
                      <w:szCs w:val="21"/>
                    </w:rPr>
                    <w:t>）境外全套技术资料，以及</w:t>
                  </w:r>
                  <w:r w:rsidRPr="00F85B17">
                    <w:rPr>
                      <w:rFonts w:ascii="Arial" w:eastAsia="宋体" w:hAnsi="Arial" w:cs="Arial"/>
                      <w:color w:val="333333"/>
                      <w:kern w:val="0"/>
                      <w:szCs w:val="21"/>
                    </w:rPr>
                    <w:t>2016</w:t>
                  </w:r>
                  <w:r w:rsidRPr="00F85B17">
                    <w:rPr>
                      <w:rFonts w:ascii="Arial" w:eastAsia="宋体" w:hAnsi="Arial" w:cs="Arial"/>
                      <w:color w:val="333333"/>
                      <w:kern w:val="0"/>
                      <w:szCs w:val="21"/>
                    </w:rPr>
                    <w:t>年第</w:t>
                  </w:r>
                  <w:r w:rsidRPr="00F85B17">
                    <w:rPr>
                      <w:rFonts w:ascii="Arial" w:eastAsia="宋体" w:hAnsi="Arial" w:cs="Arial"/>
                      <w:color w:val="333333"/>
                      <w:kern w:val="0"/>
                      <w:szCs w:val="21"/>
                    </w:rPr>
                    <w:t>120</w:t>
                  </w:r>
                  <w:r w:rsidRPr="00F85B17">
                    <w:rPr>
                      <w:rFonts w:ascii="Arial" w:eastAsia="宋体" w:hAnsi="Arial" w:cs="Arial"/>
                      <w:color w:val="333333"/>
                      <w:kern w:val="0"/>
                      <w:szCs w:val="21"/>
                    </w:rPr>
                    <w:t>号通告要求的</w:t>
                  </w:r>
                  <w:r w:rsidRPr="00F85B17">
                    <w:rPr>
                      <w:rFonts w:ascii="Arial" w:eastAsia="宋体" w:hAnsi="Arial" w:cs="Arial"/>
                      <w:color w:val="333333"/>
                      <w:kern w:val="0"/>
                      <w:szCs w:val="21"/>
                    </w:rPr>
                    <w:t>“</w:t>
                  </w:r>
                  <w:r w:rsidRPr="00F85B17">
                    <w:rPr>
                      <w:rFonts w:ascii="Arial" w:eastAsia="宋体" w:hAnsi="Arial" w:cs="Arial"/>
                      <w:color w:val="333333"/>
                      <w:kern w:val="0"/>
                      <w:szCs w:val="21"/>
                    </w:rPr>
                    <w:t>概要</w:t>
                  </w:r>
                  <w:r w:rsidRPr="00F85B17">
                    <w:rPr>
                      <w:rFonts w:ascii="Arial" w:eastAsia="宋体" w:hAnsi="Arial" w:cs="Arial"/>
                      <w:color w:val="333333"/>
                      <w:kern w:val="0"/>
                      <w:szCs w:val="21"/>
                    </w:rPr>
                    <w:t>”</w:t>
                  </w:r>
                  <w:r w:rsidRPr="00F85B17">
                    <w:rPr>
                      <w:rFonts w:ascii="Arial" w:eastAsia="宋体" w:hAnsi="Arial" w:cs="Arial"/>
                      <w:color w:val="333333"/>
                      <w:kern w:val="0"/>
                      <w:szCs w:val="21"/>
                    </w:rPr>
                    <w:t>及</w:t>
                  </w:r>
                  <w:r w:rsidRPr="00F85B17">
                    <w:rPr>
                      <w:rFonts w:ascii="Arial" w:eastAsia="宋体" w:hAnsi="Arial" w:cs="Arial"/>
                      <w:color w:val="333333"/>
                      <w:kern w:val="0"/>
                      <w:szCs w:val="21"/>
                    </w:rPr>
                    <w:t>“</w:t>
                  </w:r>
                  <w:r w:rsidRPr="00F85B17">
                    <w:rPr>
                      <w:rFonts w:ascii="Arial" w:eastAsia="宋体" w:hAnsi="Arial" w:cs="Arial"/>
                      <w:color w:val="333333"/>
                      <w:kern w:val="0"/>
                      <w:szCs w:val="21"/>
                    </w:rPr>
                    <w:t>体外评价</w:t>
                  </w:r>
                  <w:r w:rsidRPr="00F85B17">
                    <w:rPr>
                      <w:rFonts w:ascii="Arial" w:eastAsia="宋体" w:hAnsi="Arial" w:cs="Arial"/>
                      <w:color w:val="333333"/>
                      <w:kern w:val="0"/>
                      <w:szCs w:val="21"/>
                    </w:rPr>
                    <w:t>”</w:t>
                  </w:r>
                  <w:r w:rsidRPr="00F85B17">
                    <w:rPr>
                      <w:rFonts w:ascii="Arial" w:eastAsia="宋体" w:hAnsi="Arial" w:cs="Arial"/>
                      <w:color w:val="333333"/>
                      <w:kern w:val="0"/>
                      <w:szCs w:val="21"/>
                    </w:rPr>
                    <w:t>部分提交申报资料。</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（二）属于未改变处方工艺的一致性评价申请，应填写药品补充申请表，在申请表特别申明事项中注明</w:t>
                  </w:r>
                  <w:r w:rsidRPr="00F85B17">
                    <w:rPr>
                      <w:rFonts w:ascii="Arial" w:eastAsia="宋体" w:hAnsi="Arial" w:cs="Arial"/>
                      <w:color w:val="333333"/>
                      <w:kern w:val="0"/>
                      <w:szCs w:val="21"/>
                    </w:rPr>
                    <w:t>“</w:t>
                  </w:r>
                  <w:r w:rsidRPr="00F85B17">
                    <w:rPr>
                      <w:rFonts w:ascii="Arial" w:eastAsia="宋体" w:hAnsi="Arial" w:cs="Arial"/>
                      <w:color w:val="333333"/>
                      <w:kern w:val="0"/>
                      <w:szCs w:val="21"/>
                    </w:rPr>
                    <w:t>一致性评价申请，处方工艺未变更</w:t>
                  </w:r>
                  <w:r w:rsidRPr="00F85B17">
                    <w:rPr>
                      <w:rFonts w:ascii="Arial" w:eastAsia="宋体" w:hAnsi="Arial" w:cs="Arial"/>
                      <w:color w:val="333333"/>
                      <w:kern w:val="0"/>
                      <w:szCs w:val="21"/>
                    </w:rPr>
                    <w:t>”</w:t>
                  </w:r>
                  <w:r w:rsidRPr="00F85B17">
                    <w:rPr>
                      <w:rFonts w:ascii="Arial" w:eastAsia="宋体" w:hAnsi="Arial" w:cs="Arial"/>
                      <w:color w:val="333333"/>
                      <w:kern w:val="0"/>
                      <w:szCs w:val="21"/>
                    </w:rPr>
                    <w:t>。申报资料应符合本条第（一）项或有关通告、公告的要求。</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（三）属于在欧盟、美国或日本批准上市的中国境内生产的仿制药已在中国上市并拟采用与境外上市药品同一生产线同一处方工艺生产的，应填写药品补充申请表，在申请表特别申明事项中注明</w:t>
                  </w:r>
                  <w:r w:rsidRPr="00F85B17">
                    <w:rPr>
                      <w:rFonts w:ascii="Arial" w:eastAsia="宋体" w:hAnsi="Arial" w:cs="Arial"/>
                      <w:color w:val="333333"/>
                      <w:kern w:val="0"/>
                      <w:szCs w:val="21"/>
                    </w:rPr>
                    <w:t>“</w:t>
                  </w:r>
                  <w:r w:rsidRPr="00F85B17">
                    <w:rPr>
                      <w:rFonts w:ascii="Arial" w:eastAsia="宋体" w:hAnsi="Arial" w:cs="Arial"/>
                      <w:color w:val="333333"/>
                      <w:kern w:val="0"/>
                      <w:szCs w:val="21"/>
                    </w:rPr>
                    <w:t>共线生产一致性评价申</w:t>
                  </w:r>
                  <w:r w:rsidRPr="00F85B17">
                    <w:rPr>
                      <w:rFonts w:ascii="Arial" w:eastAsia="宋体" w:hAnsi="Arial" w:cs="Arial"/>
                      <w:color w:val="333333"/>
                      <w:kern w:val="0"/>
                      <w:szCs w:val="21"/>
                    </w:rPr>
                    <w:lastRenderedPageBreak/>
                    <w:t>请，生产线处方工艺有变更</w:t>
                  </w:r>
                  <w:r w:rsidRPr="00F85B17">
                    <w:rPr>
                      <w:rFonts w:ascii="Arial" w:eastAsia="宋体" w:hAnsi="Arial" w:cs="Arial"/>
                      <w:color w:val="333333"/>
                      <w:kern w:val="0"/>
                      <w:szCs w:val="21"/>
                    </w:rPr>
                    <w:t>”</w:t>
                  </w:r>
                  <w:r w:rsidRPr="00F85B17">
                    <w:rPr>
                      <w:rFonts w:ascii="Arial" w:eastAsia="宋体" w:hAnsi="Arial" w:cs="Arial"/>
                      <w:color w:val="333333"/>
                      <w:kern w:val="0"/>
                      <w:szCs w:val="21"/>
                    </w:rPr>
                    <w:t>或</w:t>
                  </w:r>
                  <w:r w:rsidRPr="00F85B17">
                    <w:rPr>
                      <w:rFonts w:ascii="Arial" w:eastAsia="宋体" w:hAnsi="Arial" w:cs="Arial"/>
                      <w:color w:val="333333"/>
                      <w:kern w:val="0"/>
                      <w:szCs w:val="21"/>
                    </w:rPr>
                    <w:t>“</w:t>
                  </w:r>
                  <w:r w:rsidRPr="00F85B17">
                    <w:rPr>
                      <w:rFonts w:ascii="Arial" w:eastAsia="宋体" w:hAnsi="Arial" w:cs="Arial"/>
                      <w:color w:val="333333"/>
                      <w:kern w:val="0"/>
                      <w:szCs w:val="21"/>
                    </w:rPr>
                    <w:t>共线生产一致性评价申请，生产线处方工艺未变更</w:t>
                  </w:r>
                  <w:r w:rsidRPr="00F85B17">
                    <w:rPr>
                      <w:rFonts w:ascii="Arial" w:eastAsia="宋体" w:hAnsi="Arial" w:cs="Arial"/>
                      <w:color w:val="333333"/>
                      <w:kern w:val="0"/>
                      <w:szCs w:val="21"/>
                    </w:rPr>
                    <w:t>”</w:t>
                  </w:r>
                  <w:r w:rsidRPr="00F85B17">
                    <w:rPr>
                      <w:rFonts w:ascii="Arial" w:eastAsia="宋体" w:hAnsi="Arial" w:cs="Arial"/>
                      <w:color w:val="333333"/>
                      <w:kern w:val="0"/>
                      <w:szCs w:val="21"/>
                    </w:rPr>
                    <w:t>。申报资料应符合本公告第九条和本条第（一）项的相关要求。</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原料药、辅料和直接接触药品的包装材料无法提供合法来源证明文件的，其所用原料药、辅料和直接接触药品的包装材料生产企业应提交所用原料药、辅料和直接接触药品的包装材料已在欧盟、美国或日本合法使用的声明（或由制剂企业代为提交），及不能提供相关技术文档原因的说明。制剂生产企业应当报送有关研究资料。有关说明将与一致性评价结论一并公开。</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（四）国家食品药品监督管理总局行政事项受理服务和投诉举报中心签收资料</w:t>
                  </w:r>
                  <w:r w:rsidRPr="00F85B17">
                    <w:rPr>
                      <w:rFonts w:ascii="Arial" w:eastAsia="宋体" w:hAnsi="Arial" w:cs="Arial"/>
                      <w:color w:val="333333"/>
                      <w:kern w:val="0"/>
                      <w:szCs w:val="21"/>
                    </w:rPr>
                    <w:t>5</w:t>
                  </w:r>
                  <w:r w:rsidRPr="00F85B17">
                    <w:rPr>
                      <w:rFonts w:ascii="Arial" w:eastAsia="宋体" w:hAnsi="Arial" w:cs="Arial"/>
                      <w:color w:val="333333"/>
                      <w:kern w:val="0"/>
                      <w:szCs w:val="21"/>
                    </w:rPr>
                    <w:t>日内，对申报资料进行形式审查，符合要求的，由行政事项受理服务和投诉举报中心出具受理通知书（处方工艺有变更的）或接收通知书（处方工艺未变更的）；不符合要求的，出具不予受理通知书（处方工艺有变更的）或不予接收通知书（处方工艺未变更的），并说明理由；资料不齐全或者不符合法定形式的出具补正通知书。</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十四、受理后，国家食品药品监督管理总局药品审评中心对企业申报资料进行立卷审查。符合要求的，于</w:t>
                  </w:r>
                  <w:r w:rsidRPr="00F85B17">
                    <w:rPr>
                      <w:rFonts w:ascii="Arial" w:eastAsia="宋体" w:hAnsi="Arial" w:cs="Arial"/>
                      <w:color w:val="333333"/>
                      <w:kern w:val="0"/>
                      <w:szCs w:val="21"/>
                    </w:rPr>
                    <w:t>45</w:t>
                  </w:r>
                  <w:r w:rsidRPr="00F85B17">
                    <w:rPr>
                      <w:rFonts w:ascii="Arial" w:eastAsia="宋体" w:hAnsi="Arial" w:cs="Arial"/>
                      <w:color w:val="333333"/>
                      <w:kern w:val="0"/>
                      <w:szCs w:val="21"/>
                    </w:rPr>
                    <w:t>日内完成立卷；不符合上述要求的，不予批准，并说明理由。</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国家食品药品监督管理总局药品审评中心根据立卷审查情况提出有因检查和抽检的需求，由国家食品药品监督管理总局食品药品审核查验中心统一组织进行对研制现场、生产现场或临床试验数据的有因检查或抽样。需要检验的，指定有关检验机构。有因检查工作一般在立卷审查结束后</w:t>
                  </w:r>
                  <w:r w:rsidRPr="00F85B17">
                    <w:rPr>
                      <w:rFonts w:ascii="Arial" w:eastAsia="宋体" w:hAnsi="Arial" w:cs="Arial"/>
                      <w:color w:val="333333"/>
                      <w:kern w:val="0"/>
                      <w:szCs w:val="21"/>
                    </w:rPr>
                    <w:t>60</w:t>
                  </w:r>
                  <w:r w:rsidRPr="00F85B17">
                    <w:rPr>
                      <w:rFonts w:ascii="Arial" w:eastAsia="宋体" w:hAnsi="Arial" w:cs="Arial"/>
                      <w:color w:val="333333"/>
                      <w:kern w:val="0"/>
                      <w:szCs w:val="21"/>
                    </w:rPr>
                    <w:t>日内完成。</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十五、国家食品药品监督管理总局药品审评中心汇总有因检查和样品检验的情况，提出是否通过一致性评价的综合审评意见。</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审评工作一般应当在受理后</w:t>
                  </w:r>
                  <w:r w:rsidRPr="00F85B17">
                    <w:rPr>
                      <w:rFonts w:ascii="Arial" w:eastAsia="宋体" w:hAnsi="Arial" w:cs="Arial"/>
                      <w:color w:val="333333"/>
                      <w:kern w:val="0"/>
                      <w:szCs w:val="21"/>
                    </w:rPr>
                    <w:t>120</w:t>
                  </w:r>
                  <w:r w:rsidRPr="00F85B17">
                    <w:rPr>
                      <w:rFonts w:ascii="Arial" w:eastAsia="宋体" w:hAnsi="Arial" w:cs="Arial"/>
                      <w:color w:val="333333"/>
                      <w:kern w:val="0"/>
                      <w:szCs w:val="21"/>
                    </w:rPr>
                    <w:t>日内完成。经审评认为需申请人补充资料的，申请人应在</w:t>
                  </w:r>
                  <w:r w:rsidRPr="00F85B17">
                    <w:rPr>
                      <w:rFonts w:ascii="Arial" w:eastAsia="宋体" w:hAnsi="Arial" w:cs="Arial"/>
                      <w:color w:val="333333"/>
                      <w:kern w:val="0"/>
                      <w:szCs w:val="21"/>
                    </w:rPr>
                    <w:t>4</w:t>
                  </w:r>
                  <w:r w:rsidRPr="00F85B17">
                    <w:rPr>
                      <w:rFonts w:ascii="Arial" w:eastAsia="宋体" w:hAnsi="Arial" w:cs="Arial"/>
                      <w:color w:val="333333"/>
                      <w:kern w:val="0"/>
                      <w:szCs w:val="21"/>
                    </w:rPr>
                    <w:t>个月内一次性完成补充资料。</w:t>
                  </w:r>
                  <w:proofErr w:type="gramStart"/>
                  <w:r w:rsidRPr="00F85B17">
                    <w:rPr>
                      <w:rFonts w:ascii="Arial" w:eastAsia="宋体" w:hAnsi="Arial" w:cs="Arial"/>
                      <w:color w:val="333333"/>
                      <w:kern w:val="0"/>
                      <w:szCs w:val="21"/>
                    </w:rPr>
                    <w:t>发补时限</w:t>
                  </w:r>
                  <w:proofErr w:type="gramEnd"/>
                  <w:r w:rsidRPr="00F85B17">
                    <w:rPr>
                      <w:rFonts w:ascii="Arial" w:eastAsia="宋体" w:hAnsi="Arial" w:cs="Arial"/>
                      <w:color w:val="333333"/>
                      <w:kern w:val="0"/>
                      <w:szCs w:val="21"/>
                    </w:rPr>
                    <w:t>不计入审评时限。</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综合审评通过的，由国家食品药品监督管理总局药品审评中心核发批准证明文件，发布公告，收录入《中国上市药品目录集》，允许其使用</w:t>
                  </w:r>
                  <w:r w:rsidRPr="00F85B17">
                    <w:rPr>
                      <w:rFonts w:ascii="Arial" w:eastAsia="宋体" w:hAnsi="Arial" w:cs="Arial"/>
                      <w:color w:val="333333"/>
                      <w:kern w:val="0"/>
                      <w:szCs w:val="21"/>
                    </w:rPr>
                    <w:t>“</w:t>
                  </w:r>
                  <w:r w:rsidRPr="00F85B17">
                    <w:rPr>
                      <w:rFonts w:ascii="Arial" w:eastAsia="宋体" w:hAnsi="Arial" w:cs="Arial"/>
                      <w:color w:val="333333"/>
                      <w:kern w:val="0"/>
                      <w:szCs w:val="21"/>
                    </w:rPr>
                    <w:t>通过一致性评价</w:t>
                  </w:r>
                  <w:r w:rsidRPr="00F85B17">
                    <w:rPr>
                      <w:rFonts w:ascii="Arial" w:eastAsia="宋体" w:hAnsi="Arial" w:cs="Arial"/>
                      <w:color w:val="333333"/>
                      <w:kern w:val="0"/>
                      <w:szCs w:val="21"/>
                    </w:rPr>
                    <w:t>”</w:t>
                  </w:r>
                  <w:r w:rsidRPr="00F85B17">
                    <w:rPr>
                      <w:rFonts w:ascii="Arial" w:eastAsia="宋体" w:hAnsi="Arial" w:cs="Arial"/>
                      <w:color w:val="333333"/>
                      <w:kern w:val="0"/>
                      <w:szCs w:val="21"/>
                    </w:rPr>
                    <w:t>标识（见附件），享有通过一致性评价的相关政策。</w:t>
                  </w:r>
                  <w:r w:rsidRPr="00F85B17">
                    <w:rPr>
                      <w:rFonts w:ascii="Arial" w:eastAsia="宋体" w:hAnsi="Arial" w:cs="Arial"/>
                      <w:color w:val="333333"/>
                      <w:kern w:val="0"/>
                      <w:szCs w:val="21"/>
                    </w:rPr>
                    <w:br/>
                  </w:r>
                  <w:r w:rsidRPr="00F85B17">
                    <w:rPr>
                      <w:rFonts w:ascii="Arial" w:eastAsia="宋体" w:hAnsi="Arial" w:cs="Arial"/>
                      <w:color w:val="333333"/>
                      <w:kern w:val="0"/>
                      <w:szCs w:val="21"/>
                    </w:rPr>
                    <w:lastRenderedPageBreak/>
                    <w:t xml:space="preserve">       </w:t>
                  </w:r>
                  <w:r w:rsidRPr="00F85B17">
                    <w:rPr>
                      <w:rFonts w:ascii="Arial" w:eastAsia="宋体" w:hAnsi="Arial" w:cs="Arial"/>
                      <w:color w:val="333333"/>
                      <w:kern w:val="0"/>
                      <w:szCs w:val="21"/>
                    </w:rPr>
                    <w:t>十六、</w:t>
                  </w:r>
                  <w:r w:rsidRPr="00F85B17">
                    <w:rPr>
                      <w:rFonts w:ascii="Arial" w:eastAsia="宋体" w:hAnsi="Arial" w:cs="Arial"/>
                      <w:color w:val="333333"/>
                      <w:kern w:val="0"/>
                      <w:szCs w:val="21"/>
                    </w:rPr>
                    <w:t>“</w:t>
                  </w:r>
                  <w:r w:rsidRPr="00F85B17">
                    <w:rPr>
                      <w:rFonts w:ascii="Arial" w:eastAsia="宋体" w:hAnsi="Arial" w:cs="Arial"/>
                      <w:color w:val="333333"/>
                      <w:kern w:val="0"/>
                      <w:szCs w:val="21"/>
                    </w:rPr>
                    <w:t>通过一致性评价</w:t>
                  </w:r>
                  <w:r w:rsidRPr="00F85B17">
                    <w:rPr>
                      <w:rFonts w:ascii="Arial" w:eastAsia="宋体" w:hAnsi="Arial" w:cs="Arial"/>
                      <w:color w:val="333333"/>
                      <w:kern w:val="0"/>
                      <w:szCs w:val="21"/>
                    </w:rPr>
                    <w:t>”</w:t>
                  </w:r>
                  <w:r w:rsidRPr="00F85B17">
                    <w:rPr>
                      <w:rFonts w:ascii="Arial" w:eastAsia="宋体" w:hAnsi="Arial" w:cs="Arial"/>
                      <w:color w:val="333333"/>
                      <w:kern w:val="0"/>
                      <w:szCs w:val="21"/>
                    </w:rPr>
                    <w:t>标识是用于通过或视同通过一致性评价药品的药品标签、说明书的标识。通过及视同通过一致性评价的药品，自国家食品药品监督管理总局核发批准证明文件之日起，可在药品标签、说明书中使用</w:t>
                  </w:r>
                  <w:r w:rsidRPr="00F85B17">
                    <w:rPr>
                      <w:rFonts w:ascii="Arial" w:eastAsia="宋体" w:hAnsi="Arial" w:cs="Arial"/>
                      <w:color w:val="333333"/>
                      <w:kern w:val="0"/>
                      <w:szCs w:val="21"/>
                    </w:rPr>
                    <w:t>“</w:t>
                  </w:r>
                  <w:r w:rsidRPr="00F85B17">
                    <w:rPr>
                      <w:rFonts w:ascii="Arial" w:eastAsia="宋体" w:hAnsi="Arial" w:cs="Arial"/>
                      <w:color w:val="333333"/>
                      <w:kern w:val="0"/>
                      <w:szCs w:val="21"/>
                    </w:rPr>
                    <w:t>通过一致性评价</w:t>
                  </w:r>
                  <w:r w:rsidRPr="00F85B17">
                    <w:rPr>
                      <w:rFonts w:ascii="Arial" w:eastAsia="宋体" w:hAnsi="Arial" w:cs="Arial"/>
                      <w:color w:val="333333"/>
                      <w:kern w:val="0"/>
                      <w:szCs w:val="21"/>
                    </w:rPr>
                    <w:t>”</w:t>
                  </w:r>
                  <w:r w:rsidRPr="00F85B17">
                    <w:rPr>
                      <w:rFonts w:ascii="Arial" w:eastAsia="宋体" w:hAnsi="Arial" w:cs="Arial"/>
                      <w:color w:val="333333"/>
                      <w:kern w:val="0"/>
                      <w:szCs w:val="21"/>
                    </w:rPr>
                    <w:t>标识。标识的图样、颜色、字体必须与国家食品药品监督管理总局公布的一致，不得擅自更改。标识下方以文字形式标注该药品通过一致性评价的公告号（例：</w:t>
                  </w:r>
                  <w:r w:rsidRPr="00F85B17">
                    <w:rPr>
                      <w:rFonts w:ascii="Arial" w:eastAsia="宋体" w:hAnsi="Arial" w:cs="Arial"/>
                      <w:color w:val="333333"/>
                      <w:kern w:val="0"/>
                      <w:szCs w:val="21"/>
                    </w:rPr>
                    <w:t>XXXX</w:t>
                  </w:r>
                  <w:r w:rsidRPr="00F85B17">
                    <w:rPr>
                      <w:rFonts w:ascii="Arial" w:eastAsia="宋体" w:hAnsi="Arial" w:cs="Arial"/>
                      <w:color w:val="333333"/>
                      <w:kern w:val="0"/>
                      <w:szCs w:val="21"/>
                    </w:rPr>
                    <w:t>年第</w:t>
                  </w:r>
                  <w:r w:rsidRPr="00F85B17">
                    <w:rPr>
                      <w:rFonts w:ascii="Arial" w:eastAsia="宋体" w:hAnsi="Arial" w:cs="Arial"/>
                      <w:color w:val="333333"/>
                      <w:kern w:val="0"/>
                      <w:szCs w:val="21"/>
                    </w:rPr>
                    <w:t>XX</w:t>
                  </w:r>
                  <w:r w:rsidRPr="00F85B17">
                    <w:rPr>
                      <w:rFonts w:ascii="Arial" w:eastAsia="宋体" w:hAnsi="Arial" w:cs="Arial"/>
                      <w:color w:val="333333"/>
                      <w:kern w:val="0"/>
                      <w:szCs w:val="21"/>
                    </w:rPr>
                    <w:t>号）。标识应与药品使用说明书、标签一体化印刷，如标签、说明书中同时印有麻醉药品、精神药品、医疗用毒性药品、放射性药品、外用药品和非处方药品等国家规定专用标识的，标识大小不得超过国家规定专用标识的大小。标识下方</w:t>
                  </w:r>
                  <w:proofErr w:type="gramStart"/>
                  <w:r w:rsidRPr="00F85B17">
                    <w:rPr>
                      <w:rFonts w:ascii="Arial" w:eastAsia="宋体" w:hAnsi="Arial" w:cs="Arial"/>
                      <w:color w:val="333333"/>
                      <w:kern w:val="0"/>
                      <w:szCs w:val="21"/>
                    </w:rPr>
                    <w:t>公告号其字体</w:t>
                  </w:r>
                  <w:proofErr w:type="gramEnd"/>
                  <w:r w:rsidRPr="00F85B17">
                    <w:rPr>
                      <w:rFonts w:ascii="Arial" w:eastAsia="宋体" w:hAnsi="Arial" w:cs="Arial"/>
                      <w:color w:val="333333"/>
                      <w:kern w:val="0"/>
                      <w:szCs w:val="21"/>
                    </w:rPr>
                    <w:t>以单字面积</w:t>
                  </w:r>
                  <w:proofErr w:type="gramStart"/>
                  <w:r w:rsidRPr="00F85B17">
                    <w:rPr>
                      <w:rFonts w:ascii="Arial" w:eastAsia="宋体" w:hAnsi="Arial" w:cs="Arial"/>
                      <w:color w:val="333333"/>
                      <w:kern w:val="0"/>
                      <w:szCs w:val="21"/>
                    </w:rPr>
                    <w:t>计不得</w:t>
                  </w:r>
                  <w:proofErr w:type="gramEnd"/>
                  <w:r w:rsidRPr="00F85B17">
                    <w:rPr>
                      <w:rFonts w:ascii="Arial" w:eastAsia="宋体" w:hAnsi="Arial" w:cs="Arial"/>
                      <w:color w:val="333333"/>
                      <w:kern w:val="0"/>
                      <w:szCs w:val="21"/>
                    </w:rPr>
                    <w:t>大于通用名称所用字体的二分之一。药品使用说明书和标签的其他要求应符合原国家食品药品监督管理局发布的《药品说明书和标签管理规定》。</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十七、对企业申报的一致性评价申请，审评结论均向社会公开。对通过一致性评价的品种，向社会公开其产品说明书、企业研究报告及生物等效性试验数据，涉及企业生产工艺及其参数等技术秘密的，按照国家食品药品监督管理总局有关规定执行。具体标准由国家食品药品监督管理总局药品审评中心另行规定。对未通过一致性评价的品种，将在公布不予通过决定的同时说明不予通过的理由。</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十八、对于一致性评价立卷审查、综合审评结论不予通过的，由国家食品药品监督管理总局药品审评中心告知企业。企业有不同意见的，可以在相关结论公布（或通知申请人）之日起</w:t>
                  </w:r>
                  <w:r w:rsidRPr="00F85B17">
                    <w:rPr>
                      <w:rFonts w:ascii="Arial" w:eastAsia="宋体" w:hAnsi="Arial" w:cs="Arial"/>
                      <w:color w:val="333333"/>
                      <w:kern w:val="0"/>
                      <w:szCs w:val="21"/>
                    </w:rPr>
                    <w:t>15</w:t>
                  </w:r>
                  <w:r w:rsidRPr="00F85B17">
                    <w:rPr>
                      <w:rFonts w:ascii="Arial" w:eastAsia="宋体" w:hAnsi="Arial" w:cs="Arial"/>
                      <w:color w:val="333333"/>
                      <w:kern w:val="0"/>
                      <w:szCs w:val="21"/>
                    </w:rPr>
                    <w:t>日内申请进行会议沟通并提交书面意见。国家食品药品监督管理总局药品审评中心在接到申请的</w:t>
                  </w:r>
                  <w:r w:rsidRPr="00F85B17">
                    <w:rPr>
                      <w:rFonts w:ascii="Arial" w:eastAsia="宋体" w:hAnsi="Arial" w:cs="Arial"/>
                      <w:color w:val="333333"/>
                      <w:kern w:val="0"/>
                      <w:szCs w:val="21"/>
                    </w:rPr>
                    <w:t>15</w:t>
                  </w:r>
                  <w:r w:rsidRPr="00F85B17">
                    <w:rPr>
                      <w:rFonts w:ascii="Arial" w:eastAsia="宋体" w:hAnsi="Arial" w:cs="Arial"/>
                      <w:color w:val="333333"/>
                      <w:kern w:val="0"/>
                      <w:szCs w:val="21"/>
                    </w:rPr>
                    <w:t>日内</w:t>
                  </w:r>
                  <w:proofErr w:type="gramStart"/>
                  <w:r w:rsidRPr="00F85B17">
                    <w:rPr>
                      <w:rFonts w:ascii="Arial" w:eastAsia="宋体" w:hAnsi="Arial" w:cs="Arial"/>
                      <w:color w:val="333333"/>
                      <w:kern w:val="0"/>
                      <w:szCs w:val="21"/>
                    </w:rPr>
                    <w:t>作出</w:t>
                  </w:r>
                  <w:proofErr w:type="gramEnd"/>
                  <w:r w:rsidRPr="00F85B17">
                    <w:rPr>
                      <w:rFonts w:ascii="Arial" w:eastAsia="宋体" w:hAnsi="Arial" w:cs="Arial"/>
                      <w:color w:val="333333"/>
                      <w:kern w:val="0"/>
                      <w:szCs w:val="21"/>
                    </w:rPr>
                    <w:t>是否召开会议的决定并书面通知申请人。申请人需于会议召开前</w:t>
                  </w:r>
                  <w:r w:rsidRPr="00F85B17">
                    <w:rPr>
                      <w:rFonts w:ascii="Arial" w:eastAsia="宋体" w:hAnsi="Arial" w:cs="Arial"/>
                      <w:color w:val="333333"/>
                      <w:kern w:val="0"/>
                      <w:szCs w:val="21"/>
                    </w:rPr>
                    <w:t>20</w:t>
                  </w:r>
                  <w:r w:rsidRPr="00F85B17">
                    <w:rPr>
                      <w:rFonts w:ascii="Arial" w:eastAsia="宋体" w:hAnsi="Arial" w:cs="Arial"/>
                      <w:color w:val="333333"/>
                      <w:kern w:val="0"/>
                      <w:szCs w:val="21"/>
                    </w:rPr>
                    <w:t>日内准备书面意见送达国家食品药品监督管理总局药品审评中心。国家食品药品监督管理总局药品审评中心需在接到申请人书面意见后</w:t>
                  </w:r>
                  <w:r w:rsidRPr="00F85B17">
                    <w:rPr>
                      <w:rFonts w:ascii="Arial" w:eastAsia="宋体" w:hAnsi="Arial" w:cs="Arial"/>
                      <w:color w:val="333333"/>
                      <w:kern w:val="0"/>
                      <w:szCs w:val="21"/>
                    </w:rPr>
                    <w:t>20</w:t>
                  </w:r>
                  <w:r w:rsidRPr="00F85B17">
                    <w:rPr>
                      <w:rFonts w:ascii="Arial" w:eastAsia="宋体" w:hAnsi="Arial" w:cs="Arial"/>
                      <w:color w:val="333333"/>
                      <w:kern w:val="0"/>
                      <w:szCs w:val="21"/>
                    </w:rPr>
                    <w:t>日内召开沟通会议。</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经沟通后企业仍有异议的，可以向国家食品药品监督管理总局药品审评中心申请召开专家咨询委员会会议公开论证。由药品审评中心根据专家论证结论</w:t>
                  </w:r>
                  <w:proofErr w:type="gramStart"/>
                  <w:r w:rsidRPr="00F85B17">
                    <w:rPr>
                      <w:rFonts w:ascii="Arial" w:eastAsia="宋体" w:hAnsi="Arial" w:cs="Arial"/>
                      <w:color w:val="333333"/>
                      <w:kern w:val="0"/>
                      <w:szCs w:val="21"/>
                    </w:rPr>
                    <w:t>作出</w:t>
                  </w:r>
                  <w:proofErr w:type="gramEnd"/>
                  <w:r w:rsidRPr="00F85B17">
                    <w:rPr>
                      <w:rFonts w:ascii="Arial" w:eastAsia="宋体" w:hAnsi="Arial" w:cs="Arial"/>
                      <w:color w:val="333333"/>
                      <w:kern w:val="0"/>
                      <w:szCs w:val="21"/>
                    </w:rPr>
                    <w:t>意见，报国</w:t>
                  </w:r>
                  <w:proofErr w:type="gramStart"/>
                  <w:r w:rsidRPr="00F85B17">
                    <w:rPr>
                      <w:rFonts w:ascii="Arial" w:eastAsia="宋体" w:hAnsi="Arial" w:cs="Arial"/>
                      <w:color w:val="333333"/>
                      <w:kern w:val="0"/>
                      <w:szCs w:val="21"/>
                    </w:rPr>
                    <w:t>家食品</w:t>
                  </w:r>
                  <w:proofErr w:type="gramEnd"/>
                  <w:r w:rsidRPr="00F85B17">
                    <w:rPr>
                      <w:rFonts w:ascii="Arial" w:eastAsia="宋体" w:hAnsi="Arial" w:cs="Arial"/>
                      <w:color w:val="333333"/>
                      <w:kern w:val="0"/>
                      <w:szCs w:val="21"/>
                    </w:rPr>
                    <w:t>药品监督管理总局</w:t>
                  </w:r>
                  <w:proofErr w:type="gramStart"/>
                  <w:r w:rsidRPr="00F85B17">
                    <w:rPr>
                      <w:rFonts w:ascii="Arial" w:eastAsia="宋体" w:hAnsi="Arial" w:cs="Arial"/>
                      <w:color w:val="333333"/>
                      <w:kern w:val="0"/>
                      <w:szCs w:val="21"/>
                    </w:rPr>
                    <w:t>作出</w:t>
                  </w:r>
                  <w:proofErr w:type="gramEnd"/>
                  <w:r w:rsidRPr="00F85B17">
                    <w:rPr>
                      <w:rFonts w:ascii="Arial" w:eastAsia="宋体" w:hAnsi="Arial" w:cs="Arial"/>
                      <w:color w:val="333333"/>
                      <w:kern w:val="0"/>
                      <w:szCs w:val="21"/>
                    </w:rPr>
                    <w:t>决定。专家咨询委员会会议召开的办法和程序按国家食品药品监督管理总局有关规定执行。</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十九、同品种药品通过一致性评价的生产企业达到</w:t>
                  </w:r>
                  <w:r w:rsidRPr="00F85B17">
                    <w:rPr>
                      <w:rFonts w:ascii="Arial" w:eastAsia="宋体" w:hAnsi="Arial" w:cs="Arial"/>
                      <w:color w:val="333333"/>
                      <w:kern w:val="0"/>
                      <w:szCs w:val="21"/>
                    </w:rPr>
                    <w:t>3</w:t>
                  </w:r>
                  <w:r w:rsidRPr="00F85B17">
                    <w:rPr>
                      <w:rFonts w:ascii="Arial" w:eastAsia="宋体" w:hAnsi="Arial" w:cs="Arial"/>
                      <w:color w:val="333333"/>
                      <w:kern w:val="0"/>
                      <w:szCs w:val="21"/>
                    </w:rPr>
                    <w:t>家以上的，在药品集中采购等方面不再选用未通过一</w:t>
                  </w:r>
                  <w:r w:rsidRPr="00F85B17">
                    <w:rPr>
                      <w:rFonts w:ascii="Arial" w:eastAsia="宋体" w:hAnsi="Arial" w:cs="Arial"/>
                      <w:color w:val="333333"/>
                      <w:kern w:val="0"/>
                      <w:szCs w:val="21"/>
                    </w:rPr>
                    <w:lastRenderedPageBreak/>
                    <w:t>致性评价的品种。</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对由于通过一致性评价的生产企业数量少而影响市场供应的国家基本药物目录品种，由国家食品药品监督管理总局会同相关部委发布清单，鼓励企业研发申报仿制药。药品清单将根据品种一致性评价通过情况进行动态调整。</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国家食品药品监督管理总局鼓励具有上市许可持有人资格的企业，将通过一致性评价的药品委托其他生产企业生产，以扩大产量，满足市场需要。</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二十、食品药品监管部门工作人员对企业申报文件中的技术秘密和商业秘密以及药品审评和检查过程负有保密的义务。如有证据证明食品药品监管工作人员泄露企业技术秘密和商业秘密的，按国家食品药品监督管理总局保密管理有关规定处理；涉嫌犯罪的，将移交司法机关追究刑事责任。外聘执行临时工作任务的</w:t>
                  </w:r>
                  <w:proofErr w:type="gramStart"/>
                  <w:r w:rsidRPr="00F85B17">
                    <w:rPr>
                      <w:rFonts w:ascii="Arial" w:eastAsia="宋体" w:hAnsi="Arial" w:cs="Arial"/>
                      <w:color w:val="333333"/>
                      <w:kern w:val="0"/>
                      <w:szCs w:val="21"/>
                    </w:rPr>
                    <w:t>审评员</w:t>
                  </w:r>
                  <w:proofErr w:type="gramEnd"/>
                  <w:r w:rsidRPr="00F85B17">
                    <w:rPr>
                      <w:rFonts w:ascii="Arial" w:eastAsia="宋体" w:hAnsi="Arial" w:cs="Arial"/>
                      <w:color w:val="333333"/>
                      <w:kern w:val="0"/>
                      <w:szCs w:val="21"/>
                    </w:rPr>
                    <w:t>和检查员，需签署保密协议，对违反保密协议的，依协议规定处理。</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二十一、国家食品药品监督管理总局鼓励社会各界对企业一致性评价药品研发、生产行为进行监督，对违法行为进行举报。鼓励社会各界对药品审评和检查检验行为进行监督。对举报者给予保密并按有关规定予以奖励。</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二十二、上述工作时限均以工作日计。</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二十三、本公告自发布之日起实施，原发布的一致性评价相关文件与此件不一致的，以此件为准。</w:t>
                  </w:r>
                  <w:r w:rsidRPr="00F85B17">
                    <w:rPr>
                      <w:rFonts w:ascii="Arial" w:eastAsia="宋体" w:hAnsi="Arial" w:cs="Arial"/>
                      <w:color w:val="333333"/>
                      <w:kern w:val="0"/>
                      <w:szCs w:val="21"/>
                    </w:rPr>
                    <w:br/>
                    <w:t xml:space="preserve">       </w:t>
                  </w:r>
                  <w:r w:rsidRPr="00F85B17">
                    <w:rPr>
                      <w:rFonts w:ascii="Arial" w:eastAsia="宋体" w:hAnsi="Arial" w:cs="Arial"/>
                      <w:color w:val="333333"/>
                      <w:kern w:val="0"/>
                      <w:szCs w:val="21"/>
                    </w:rPr>
                    <w:t>特此公告。</w:t>
                  </w:r>
                </w:p>
              </w:tc>
            </w:tr>
          </w:tbl>
          <w:p w14:paraId="6D552E46" w14:textId="77777777" w:rsidR="00F85B17" w:rsidRPr="00F85B17" w:rsidRDefault="00F85B17" w:rsidP="00F85B17">
            <w:pPr>
              <w:widowControl/>
              <w:jc w:val="center"/>
              <w:rPr>
                <w:rFonts w:ascii="Verdana" w:eastAsia="宋体" w:hAnsi="Verdana" w:cs="Arial"/>
                <w:color w:val="333333"/>
                <w:kern w:val="0"/>
                <w:sz w:val="18"/>
                <w:szCs w:val="18"/>
              </w:rPr>
            </w:pPr>
          </w:p>
        </w:tc>
      </w:tr>
    </w:tbl>
    <w:p w14:paraId="24F1652B" w14:textId="565B11FC" w:rsidR="008265C9" w:rsidRPr="00F85B17" w:rsidRDefault="00E50BE8" w:rsidP="00F85B17"/>
    <w:sectPr w:rsidR="008265C9" w:rsidRPr="00F85B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065FB" w14:textId="77777777" w:rsidR="00E50BE8" w:rsidRDefault="00E50BE8" w:rsidP="00D22D3C">
      <w:r>
        <w:separator/>
      </w:r>
    </w:p>
  </w:endnote>
  <w:endnote w:type="continuationSeparator" w:id="0">
    <w:p w14:paraId="5FD9165A" w14:textId="77777777" w:rsidR="00E50BE8" w:rsidRDefault="00E50BE8" w:rsidP="00D2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8418F" w14:textId="77777777" w:rsidR="00E50BE8" w:rsidRDefault="00E50BE8" w:rsidP="00D22D3C">
      <w:r>
        <w:separator/>
      </w:r>
    </w:p>
  </w:footnote>
  <w:footnote w:type="continuationSeparator" w:id="0">
    <w:p w14:paraId="111901FD" w14:textId="77777777" w:rsidR="00E50BE8" w:rsidRDefault="00E50BE8" w:rsidP="00D22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02"/>
    <w:rsid w:val="00182FCC"/>
    <w:rsid w:val="002403F2"/>
    <w:rsid w:val="00352CF9"/>
    <w:rsid w:val="00C26202"/>
    <w:rsid w:val="00D22D3C"/>
    <w:rsid w:val="00E2449A"/>
    <w:rsid w:val="00E50BE8"/>
    <w:rsid w:val="00F85B17"/>
    <w:rsid w:val="00FF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A18B1"/>
  <w15:chartTrackingRefBased/>
  <w15:docId w15:val="{2B579E79-CB09-4A5F-A8B3-86F4B13F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D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2D3C"/>
    <w:rPr>
      <w:sz w:val="18"/>
      <w:szCs w:val="18"/>
    </w:rPr>
  </w:style>
  <w:style w:type="paragraph" w:styleId="a5">
    <w:name w:val="footer"/>
    <w:basedOn w:val="a"/>
    <w:link w:val="a6"/>
    <w:uiPriority w:val="99"/>
    <w:unhideWhenUsed/>
    <w:rsid w:val="00D22D3C"/>
    <w:pPr>
      <w:tabs>
        <w:tab w:val="center" w:pos="4153"/>
        <w:tab w:val="right" w:pos="8306"/>
      </w:tabs>
      <w:snapToGrid w:val="0"/>
      <w:jc w:val="left"/>
    </w:pPr>
    <w:rPr>
      <w:sz w:val="18"/>
      <w:szCs w:val="18"/>
    </w:rPr>
  </w:style>
  <w:style w:type="character" w:customStyle="1" w:styleId="a6">
    <w:name w:val="页脚 字符"/>
    <w:basedOn w:val="a0"/>
    <w:link w:val="a5"/>
    <w:uiPriority w:val="99"/>
    <w:rsid w:val="00D22D3C"/>
    <w:rPr>
      <w:sz w:val="18"/>
      <w:szCs w:val="18"/>
    </w:rPr>
  </w:style>
  <w:style w:type="paragraph" w:styleId="a7">
    <w:name w:val="Normal (Web)"/>
    <w:basedOn w:val="a"/>
    <w:uiPriority w:val="99"/>
    <w:semiHidden/>
    <w:unhideWhenUsed/>
    <w:rsid w:val="00D22D3C"/>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083956">
      <w:bodyDiv w:val="1"/>
      <w:marLeft w:val="0"/>
      <w:marRight w:val="0"/>
      <w:marTop w:val="0"/>
      <w:marBottom w:val="0"/>
      <w:divBdr>
        <w:top w:val="none" w:sz="0" w:space="0" w:color="auto"/>
        <w:left w:val="none" w:sz="0" w:space="0" w:color="auto"/>
        <w:bottom w:val="none" w:sz="0" w:space="0" w:color="auto"/>
        <w:right w:val="none" w:sz="0" w:space="0" w:color="auto"/>
      </w:divBdr>
      <w:divsChild>
        <w:div w:id="136066662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051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921</Words>
  <Characters>5255</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思彤</dc:creator>
  <cp:keywords/>
  <dc:description/>
  <cp:lastModifiedBy>吕 思彤</cp:lastModifiedBy>
  <cp:revision>4</cp:revision>
  <dcterms:created xsi:type="dcterms:W3CDTF">2021-03-08T07:16:00Z</dcterms:created>
  <dcterms:modified xsi:type="dcterms:W3CDTF">2021-03-08T07:45:00Z</dcterms:modified>
</cp:coreProperties>
</file>