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b/>
          <w:bCs/>
          <w:color w:val="333333"/>
          <w:sz w:val="24"/>
          <w:szCs w:val="24"/>
          <w:shd w:val="clear" w:fill="FFFFFF"/>
          <w:lang w:val="en-US" w:eastAsia="zh-CN"/>
        </w:rPr>
      </w:pPr>
      <w:r>
        <w:rPr>
          <w:rFonts w:hint="eastAsia" w:ascii="微软雅黑" w:hAnsi="微软雅黑" w:eastAsia="微软雅黑" w:cs="微软雅黑"/>
          <w:b/>
          <w:bCs/>
          <w:color w:val="333333"/>
          <w:sz w:val="24"/>
          <w:szCs w:val="24"/>
          <w:shd w:val="clear" w:fill="FFFFFF"/>
          <w:lang w:val="en-US" w:eastAsia="zh-CN"/>
        </w:rPr>
        <w:t>SP-3420A型气相色谱仪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微软雅黑" w:hAnsi="微软雅黑" w:eastAsia="微软雅黑" w:cs="微软雅黑"/>
          <w:b/>
          <w:bCs/>
          <w:color w:val="333333"/>
          <w:sz w:val="24"/>
          <w:szCs w:val="24"/>
          <w:shd w:val="clear" w:fill="FFFFFF"/>
          <w:lang w:val="en-US" w:eastAsia="zh-CN"/>
        </w:rPr>
      </w:pPr>
      <w:r>
        <w:rPr>
          <w:rFonts w:hint="eastAsia" w:ascii="微软雅黑" w:hAnsi="微软雅黑" w:eastAsia="微软雅黑" w:cs="微软雅黑"/>
          <w:b/>
          <w:bCs/>
          <w:color w:val="333333"/>
          <w:sz w:val="24"/>
          <w:szCs w:val="24"/>
          <w:shd w:val="clear" w:fill="FFFFFF"/>
          <w:lang w:val="en-US" w:eastAsia="zh-CN"/>
        </w:rPr>
        <w:drawing>
          <wp:inline distT="0" distB="0" distL="114300" distR="114300">
            <wp:extent cx="2560320" cy="1706880"/>
            <wp:effectExtent l="0" t="0" r="11430" b="7620"/>
            <wp:docPr id="1" name="图片 1" descr="3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20A"/>
                    <pic:cNvPicPr>
                      <a:picLocks noChangeAspect="1"/>
                    </pic:cNvPicPr>
                  </pic:nvPicPr>
                  <pic:blipFill>
                    <a:blip r:embed="rId5"/>
                    <a:stretch>
                      <a:fillRect/>
                    </a:stretch>
                  </pic:blipFill>
                  <pic:spPr>
                    <a:xfrm>
                      <a:off x="0" y="0"/>
                      <a:ext cx="2560320" cy="1706880"/>
                    </a:xfrm>
                    <a:prstGeom prst="rect">
                      <a:avLst/>
                    </a:prstGeom>
                  </pic:spPr>
                </pic:pic>
              </a:graphicData>
            </a:graphic>
          </wp:inline>
        </w:drawing>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b/>
          <w:bCs/>
          <w:color w:val="333333"/>
          <w:sz w:val="24"/>
          <w:szCs w:val="24"/>
          <w:shd w:val="clear" w:fill="FFFFFF"/>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FFFFFF" w:themeColor="background1"/>
          <w:sz w:val="24"/>
          <w:szCs w:val="24"/>
          <w:highlight w:val="blue"/>
          <w:lang w:val="en-US" w:eastAsia="zh-CN"/>
        </w:rPr>
      </w:pPr>
      <w:r>
        <w:rPr>
          <w:rFonts w:hint="eastAsia" w:ascii="宋体" w:hAnsi="宋体" w:eastAsia="宋体" w:cs="宋体"/>
          <w:b/>
          <w:bCs/>
          <w:color w:val="FFFFFF" w:themeColor="background1"/>
          <w:sz w:val="24"/>
          <w:szCs w:val="24"/>
          <w:highlight w:val="blue"/>
          <w:lang w:val="en-US" w:eastAsia="zh-CN"/>
        </w:rPr>
        <w:t>功能简介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SP-3420A型气相色谱仪</w:t>
      </w:r>
      <w:r>
        <w:rPr>
          <w:rFonts w:hint="eastAsia" w:ascii="微软雅黑" w:hAnsi="微软雅黑" w:eastAsia="微软雅黑" w:cs="微软雅黑"/>
          <w:color w:val="333333"/>
          <w:sz w:val="24"/>
          <w:szCs w:val="24"/>
          <w:shd w:val="clear" w:fill="FFFFFF"/>
        </w:rPr>
        <w:t>该</w:t>
      </w:r>
      <w:r>
        <w:rPr>
          <w:rFonts w:hint="eastAsia" w:ascii="微软雅黑" w:hAnsi="微软雅黑" w:eastAsia="微软雅黑" w:cs="微软雅黑"/>
          <w:color w:val="333333"/>
          <w:sz w:val="24"/>
          <w:szCs w:val="24"/>
          <w:shd w:val="clear" w:fill="FFFFFF"/>
          <w:lang w:val="en-US" w:eastAsia="zh-CN"/>
        </w:rPr>
        <w:t>是在引进美国瓦里安公司仪器制造技术的基础上研制开发的一种新型气相色谱仪，关键部件仍然从美国引进。造型美观大方，其技术指标和性能均处于国内领先水平。是国内色谱仪器最具高性能/价格比的一代新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FFFFFF" w:themeColor="background1"/>
          <w:sz w:val="24"/>
          <w:szCs w:val="24"/>
          <w:highlight w:val="blue"/>
          <w:lang w:val="en-US" w:eastAsia="zh-CN"/>
        </w:rPr>
      </w:pPr>
      <w:r>
        <w:rPr>
          <w:rFonts w:hint="eastAsia" w:ascii="宋体" w:hAnsi="宋体" w:eastAsia="宋体" w:cs="宋体"/>
          <w:b/>
          <w:bCs/>
          <w:color w:val="FFFFFF" w:themeColor="background1"/>
          <w:sz w:val="24"/>
          <w:szCs w:val="24"/>
          <w:highlight w:val="blue"/>
          <w:lang w:val="en-US" w:eastAsia="zh-CN"/>
        </w:rPr>
        <w:t>应用范围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333333"/>
          <w:sz w:val="24"/>
          <w:szCs w:val="24"/>
          <w:shd w:val="clear" w:fill="FFFFFF"/>
          <w:lang w:val="en-US" w:eastAsia="zh-CN"/>
        </w:rPr>
        <w:t>SP-3420A型气相色谱仪广泛应用于石油、化工、环保、医药、电力、矿上、科研及教育等众多领域。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FFFFFF" w:themeColor="background1"/>
          <w:sz w:val="24"/>
          <w:szCs w:val="24"/>
          <w:highlight w:val="blue"/>
          <w:lang w:val="en-US" w:eastAsia="zh-CN"/>
        </w:rPr>
      </w:pPr>
      <w:r>
        <w:rPr>
          <w:rFonts w:hint="eastAsia" w:ascii="宋体" w:hAnsi="宋体" w:eastAsia="宋体" w:cs="宋体"/>
          <w:b/>
          <w:bCs/>
          <w:color w:val="FFFFFF" w:themeColor="background1"/>
          <w:sz w:val="24"/>
          <w:szCs w:val="24"/>
          <w:highlight w:val="blue"/>
          <w:lang w:val="en-US" w:eastAsia="zh-CN"/>
        </w:rPr>
        <w:t>功能特点</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采用微机控制，全键盘操作，32位数码管显示。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具有自诊断功能，可连续监测仪器的自身状态，一旦检测到故障立即显示信息，并提示故障区域和排除方法。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可进行检测器量程和衰减时间编程。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具有阀的自动切换和两个检测信号自动切换功能，可实现自动分析。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多种保护功能：TCD断气保护、过温保护、FPD漏光保护等。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可同时储存四种分析方法，方便随时调用。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TCD、FID、ECD</w:t>
      </w:r>
      <w:bookmarkStart w:id="0" w:name="_GoBack"/>
      <w:bookmarkEnd w:id="0"/>
      <w:r>
        <w:rPr>
          <w:rFonts w:hint="eastAsia" w:ascii="微软雅黑" w:hAnsi="微软雅黑" w:eastAsia="微软雅黑" w:cs="微软雅黑"/>
          <w:color w:val="333333"/>
          <w:sz w:val="24"/>
          <w:szCs w:val="24"/>
          <w:shd w:val="clear" w:fill="FFFFFF"/>
          <w:lang w:val="en-US" w:eastAsia="zh-CN"/>
        </w:rPr>
        <w:t xml:space="preserve">、FPD、TSD五种检测器可选择安装。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填充柱进样器、分流/不分流毛细管进样器，两种进样器可选择安装，可同时安3个进样器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 xml:space="preserve">技术特点：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一：自诊断控制系统：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1）核心测试；2）自动测试；3）扩展测试；4）基本测试；可连续检测仪器工作状态，根据故障信息提示使操作者自行维护仪器。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二：保护功能：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1）过温保护；2）探头开路或短路提示；3）TCD热丝保护；4）FID熄火提示；5）FPD漏光保护；6）密码锁定键盘等功能，多种保护功能可保障仪器长期正常运转。</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操作简便、自动化程度高：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1）人机对话形式输入各种参数，有提示功能；2）可存储四种分析方法，方法可自动链接；3）可接自动进样器；4）方法运行中可随时更改各种参数；5）方法可自动循环最多达99次，特别适用于无人执守情况下仪器正常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三：多种进样单元可选：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1）填充柱柱头进样器；2）填充柱快速汽化进样器；3）自动、手动气体进样阀；4）顶空进样器；5）热解吸进样器；6）毛细管分流/不分流进样器，可同时安装三个进样器或两个毛细管分流/不分流进样器，实现双毛细系统。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四：多种检测器可选：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1）热导检测器TCD；2）氢火焰离子化检测器FID；3）电子捕获检测器ECD；4）火焰光度检测器FPD；5）热离子检测器TSD，最多可同时安装2个热导检测器或三个不同的检测器。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可选甲烷化器：1）内置式；2）外置式。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五：放大器时间编程：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各检测器放大器均带有5阶时间编程功能，可自动改变输出信号的衰减、量程和极性。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color w:val="333333"/>
          <w:sz w:val="24"/>
          <w:szCs w:val="24"/>
          <w:shd w:val="clear" w:fill="FFFFFF"/>
          <w:lang w:val="en-US" w:eastAsia="zh-CN"/>
        </w:rPr>
      </w:pPr>
      <w:r>
        <w:rPr>
          <w:rFonts w:hint="eastAsia" w:ascii="微软雅黑" w:hAnsi="微软雅黑" w:eastAsia="微软雅黑" w:cs="微软雅黑"/>
          <w:color w:val="333333"/>
          <w:sz w:val="24"/>
          <w:szCs w:val="24"/>
          <w:shd w:val="clear" w:fill="FFFFFF"/>
          <w:lang w:val="en-US" w:eastAsia="zh-CN"/>
        </w:rPr>
        <w:t>外部事件时间编程：四个外部事件带有二十阶时间编程功能，可完成三个自动进样阀、切换阀和反吹阀的自动控制；可进行两个检测器之间的信号转换。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FFFFFF" w:themeColor="background1"/>
          <w:sz w:val="24"/>
          <w:szCs w:val="24"/>
          <w:highlight w:val="blue"/>
          <w:lang w:val="en-US" w:eastAsia="zh-CN"/>
        </w:rPr>
      </w:pPr>
      <w:r>
        <w:rPr>
          <w:rFonts w:hint="eastAsia" w:ascii="微软雅黑" w:hAnsi="微软雅黑" w:eastAsia="微软雅黑" w:cs="微软雅黑"/>
          <w:color w:val="333333"/>
          <w:sz w:val="24"/>
          <w:szCs w:val="24"/>
          <w:shd w:val="clear" w:fill="FFFFFF"/>
          <w:lang w:val="en-US" w:eastAsia="zh-CN"/>
        </w:rPr>
        <w:t>根据用户需求可制成各种用途的专用气相色谱仪，实现多维色谱法。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FFFFFF" w:themeColor="background1"/>
          <w:sz w:val="24"/>
          <w:szCs w:val="24"/>
          <w:highlight w:val="blue"/>
          <w:lang w:val="en-US" w:eastAsia="zh-CN"/>
        </w:rPr>
      </w:pPr>
      <w:r>
        <w:rPr>
          <w:rFonts w:hint="eastAsia" w:ascii="宋体" w:hAnsi="宋体" w:eastAsia="宋体" w:cs="宋体"/>
          <w:b/>
          <w:bCs/>
          <w:color w:val="FFFFFF" w:themeColor="background1"/>
          <w:sz w:val="24"/>
          <w:szCs w:val="24"/>
          <w:highlight w:val="blue"/>
          <w:lang w:val="en-US" w:eastAsia="zh-CN"/>
        </w:rPr>
        <w:t>技术参数</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控温精度 ：± 0.1℃</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温度控制指标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柱箱4*4阶程序升温，升温速率0.1～50℃/min ；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柱箱温度范围：室温以上20℃～400℃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进样器温度范围：室温～400℃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检测器温度范围：室温～400℃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辅助箱温度范围：室温～400℃ </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检测器系统指标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TCD：S≥5000mv.ml/mg (He中丁烷)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FID：D≤8×10-12g/s (n-C16)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ECD：M≤2×10-13g/ml (r-666)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TSD：测氮D≤2×10-13g/s (偶氮苯)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测磷D≤1×10-13g/s (马拉硫磷)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FPD：测硫D≤2×10-10g/s (甲基对硫磷)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测磷D≤2×10-12g/s (甲基对硫磷) </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基本参数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仪器外形尺寸（高×宽×深）：500×588×550(mm3)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工作电压：AC 220V±10% 50Hz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 xml:space="preserve">消耗功率：1650W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rPr>
      </w:pPr>
      <w:r>
        <w:rPr>
          <w:rFonts w:hint="eastAsia" w:ascii="微软雅黑" w:hAnsi="微软雅黑" w:eastAsia="微软雅黑" w:cs="微软雅黑"/>
          <w:b w:val="0"/>
          <w:bCs w:val="0"/>
          <w:color w:val="000000" w:themeColor="text1"/>
          <w:sz w:val="24"/>
          <w:szCs w:val="24"/>
          <w:highlight w:val="none"/>
          <w:shd w:val="clear" w:fill="FFFFFF"/>
        </w:rPr>
        <w:t>仪器净重：50kg</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FFFFFF" w:themeColor="background1"/>
          <w:sz w:val="24"/>
          <w:szCs w:val="24"/>
          <w:highlight w:val="blue"/>
          <w:lang w:val="en-US" w:eastAsia="zh-CN"/>
        </w:rPr>
      </w:pPr>
      <w:r>
        <w:rPr>
          <w:rFonts w:hint="eastAsia" w:ascii="宋体" w:hAnsi="宋体" w:eastAsia="宋体" w:cs="宋体"/>
          <w:b/>
          <w:bCs/>
          <w:color w:val="FFFFFF" w:themeColor="background1"/>
          <w:sz w:val="24"/>
          <w:szCs w:val="24"/>
          <w:highlight w:val="blue"/>
          <w:lang w:val="en-US" w:eastAsia="zh-CN"/>
        </w:rPr>
        <w:t>全面服务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微软雅黑" w:hAnsi="微软雅黑" w:eastAsia="微软雅黑" w:cs="微软雅黑"/>
          <w:b w:val="0"/>
          <w:bCs w:val="0"/>
          <w:color w:val="000000" w:themeColor="text1"/>
          <w:sz w:val="24"/>
          <w:szCs w:val="24"/>
          <w:highlight w:val="none"/>
          <w:shd w:val="clear" w:fill="FFFFFF"/>
          <w:lang w:eastAsia="zh-CN"/>
        </w:rPr>
      </w:pPr>
      <w:r>
        <w:rPr>
          <w:rFonts w:hint="eastAsia" w:ascii="微软雅黑" w:hAnsi="微软雅黑" w:eastAsia="微软雅黑" w:cs="微软雅黑"/>
          <w:b w:val="0"/>
          <w:bCs w:val="0"/>
          <w:color w:val="000000" w:themeColor="text1"/>
          <w:sz w:val="24"/>
          <w:szCs w:val="24"/>
          <w:highlight w:val="none"/>
          <w:shd w:val="clear" w:fill="FFFFFF"/>
          <w:lang w:eastAsia="zh-CN"/>
        </w:rPr>
        <w:t>根据需求可以为您选用仪器的配套设备，如：色谱工作站，积分仪，氮氢空气源发生器，标准气体等。在购买仪器前，我们会协助您全面了解仪器的性能特点以及最适合做的分析项目，售后派专业技术人员上门免费安装，启动和调试。保修期内免费维修，每年定期举办产品应用，操作，维修学习班，全心全意为您服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b/>
          <w:bCs/>
          <w:color w:val="FFFFFF" w:themeColor="background1"/>
          <w:sz w:val="21"/>
          <w:szCs w:val="21"/>
          <w:highlight w:val="blue"/>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微软雅黑" w:hAnsi="微软雅黑" w:eastAsia="微软雅黑" w:cs="微软雅黑"/>
          <w:b w:val="0"/>
          <w:bCs w:val="0"/>
          <w:color w:val="000000" w:themeColor="text1"/>
          <w:sz w:val="21"/>
          <w:szCs w:val="21"/>
          <w:highlight w:val="none"/>
          <w:shd w:val="clear" w:fill="FFFFFF"/>
        </w:rPr>
      </w:pPr>
    </w:p>
    <w:tbl>
      <w:tblPr>
        <w:tblStyle w:val="9"/>
        <w:tblpPr w:leftFromText="180" w:rightFromText="180" w:vertAnchor="text" w:horzAnchor="page" w:tblpX="1425" w:tblpY="986"/>
        <w:tblOverlap w:val="never"/>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2" w:type="dxa"/>
            <w:shd w:val="clear" w:color="auto" w:fill="8EAADB" w:themeFill="accent1" w:themeFillTint="99"/>
          </w:tcPr>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left="0" w:right="0" w:firstLine="240" w:firstLineChars="100"/>
              <w:textAlignment w:val="auto"/>
              <w:rPr>
                <w:rFonts w:hint="default" w:ascii="宋体" w:hAnsi="宋体" w:eastAsia="宋体" w:cs="宋体"/>
                <w:kern w:val="0"/>
                <w:sz w:val="24"/>
                <w:szCs w:val="24"/>
                <w:lang w:val="en-US" w:eastAsia="zh-CN" w:bidi="en-US"/>
              </w:rPr>
            </w:pPr>
            <w:r>
              <w:rPr>
                <w:rFonts w:hint="eastAsia" w:ascii="宋体" w:hAnsi="宋体" w:eastAsia="宋体" w:cs="宋体"/>
                <w:kern w:val="0"/>
                <w:sz w:val="24"/>
                <w:szCs w:val="24"/>
                <w:lang w:val="en-US" w:eastAsia="zh-CN" w:bidi="en-US"/>
              </w:rPr>
              <w:t>销售电话：010-62489782   13681449049  18500635683</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left="0" w:right="0" w:firstLine="240" w:firstLineChars="100"/>
              <w:textAlignment w:val="auto"/>
              <w:rPr>
                <w:rFonts w:hint="eastAsia" w:ascii="宋体" w:hAnsi="宋体" w:eastAsia="宋体" w:cs="宋体"/>
                <w:kern w:val="0"/>
                <w:sz w:val="24"/>
                <w:szCs w:val="24"/>
                <w:lang w:val="en-US" w:eastAsia="zh-CN" w:bidi="en-US"/>
              </w:rPr>
            </w:pPr>
            <w:r>
              <w:rPr>
                <w:rFonts w:hint="eastAsia" w:ascii="宋体" w:hAnsi="宋体" w:eastAsia="宋体" w:cs="宋体"/>
                <w:kern w:val="0"/>
                <w:sz w:val="24"/>
                <w:szCs w:val="24"/>
                <w:lang w:val="en-US" w:eastAsia="zh-CN" w:bidi="en-US"/>
              </w:rPr>
              <w:t>传真：010-62489782</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left="0" w:right="0" w:firstLine="240" w:firstLineChars="100"/>
              <w:textAlignment w:val="auto"/>
              <w:rPr>
                <w:rFonts w:hint="eastAsia" w:ascii="宋体" w:hAnsi="宋体" w:eastAsia="宋体" w:cs="宋体"/>
                <w:kern w:val="0"/>
                <w:sz w:val="24"/>
                <w:szCs w:val="24"/>
                <w:lang w:val="en-US" w:eastAsia="zh-CN" w:bidi="en-US"/>
              </w:rPr>
            </w:pPr>
            <w:r>
              <w:rPr>
                <w:rFonts w:hint="eastAsia" w:ascii="宋体" w:hAnsi="宋体" w:eastAsia="宋体" w:cs="宋体"/>
                <w:kern w:val="0"/>
                <w:sz w:val="24"/>
                <w:szCs w:val="24"/>
                <w:lang w:val="en-US" w:eastAsia="zh-CN" w:bidi="en-US"/>
              </w:rPr>
              <w:t>邮箱：</w:t>
            </w:r>
            <w:r>
              <w:rPr>
                <w:rFonts w:hint="eastAsia" w:ascii="宋体" w:hAnsi="宋体" w:eastAsia="宋体" w:cs="宋体"/>
                <w:kern w:val="0"/>
                <w:sz w:val="24"/>
                <w:szCs w:val="24"/>
                <w:lang w:val="en-US" w:eastAsia="zh-CN" w:bidi="en-US"/>
              </w:rPr>
              <w:fldChar w:fldCharType="begin"/>
            </w:r>
            <w:r>
              <w:rPr>
                <w:rFonts w:hint="eastAsia" w:ascii="宋体" w:hAnsi="宋体" w:eastAsia="宋体" w:cs="宋体"/>
                <w:kern w:val="0"/>
                <w:sz w:val="24"/>
                <w:szCs w:val="24"/>
                <w:lang w:val="en-US" w:eastAsia="zh-CN" w:bidi="en-US"/>
              </w:rPr>
              <w:instrText xml:space="preserve"> HYPERLINK "mailto:bjhzsv@163.com" </w:instrText>
            </w:r>
            <w:r>
              <w:rPr>
                <w:rFonts w:hint="eastAsia" w:ascii="宋体" w:hAnsi="宋体" w:eastAsia="宋体" w:cs="宋体"/>
                <w:kern w:val="0"/>
                <w:sz w:val="24"/>
                <w:szCs w:val="24"/>
                <w:lang w:val="en-US" w:eastAsia="zh-CN" w:bidi="en-US"/>
              </w:rPr>
              <w:fldChar w:fldCharType="separate"/>
            </w:r>
            <w:r>
              <w:rPr>
                <w:rFonts w:hint="eastAsia" w:ascii="宋体" w:hAnsi="宋体" w:eastAsia="宋体" w:cs="宋体"/>
                <w:kern w:val="0"/>
                <w:sz w:val="24"/>
                <w:szCs w:val="24"/>
                <w:lang w:val="en-US" w:eastAsia="zh-CN" w:bidi="en-US"/>
              </w:rPr>
              <w:t>35080508@qq.com</w:t>
            </w:r>
            <w:r>
              <w:rPr>
                <w:rFonts w:hint="eastAsia" w:ascii="宋体" w:hAnsi="宋体" w:eastAsia="宋体" w:cs="宋体"/>
                <w:kern w:val="0"/>
                <w:sz w:val="24"/>
                <w:szCs w:val="24"/>
                <w:lang w:val="en-US" w:eastAsia="zh-CN" w:bidi="en-US"/>
              </w:rPr>
              <w:fldChar w:fldCharType="end"/>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left="0" w:right="0" w:firstLine="240" w:firstLineChars="100"/>
              <w:textAlignment w:val="auto"/>
              <w:rPr>
                <w:rFonts w:hint="eastAsia" w:ascii="宋体" w:hAnsi="宋体" w:eastAsia="宋体" w:cs="宋体"/>
                <w:kern w:val="0"/>
                <w:sz w:val="24"/>
                <w:szCs w:val="24"/>
                <w:lang w:val="en-US" w:eastAsia="zh-CN" w:bidi="en-US"/>
              </w:rPr>
            </w:pPr>
            <w:r>
              <w:rPr>
                <w:rFonts w:hint="eastAsia" w:ascii="宋体" w:hAnsi="宋体" w:eastAsia="宋体" w:cs="宋体"/>
                <w:kern w:val="0"/>
                <w:sz w:val="24"/>
                <w:szCs w:val="24"/>
                <w:lang w:val="en-US" w:eastAsia="zh-CN" w:bidi="en-US"/>
              </w:rPr>
              <w:t>网站：</w:t>
            </w:r>
            <w:r>
              <w:rPr>
                <w:rFonts w:hint="eastAsia" w:ascii="宋体" w:hAnsi="宋体" w:eastAsia="宋体" w:cs="宋体"/>
                <w:kern w:val="0"/>
                <w:sz w:val="24"/>
                <w:szCs w:val="24"/>
                <w:lang w:val="en-US" w:eastAsia="zh-CN" w:bidi="en-US"/>
              </w:rPr>
              <w:fldChar w:fldCharType="begin"/>
            </w:r>
            <w:r>
              <w:rPr>
                <w:rFonts w:hint="eastAsia" w:ascii="宋体" w:hAnsi="宋体" w:eastAsia="宋体" w:cs="宋体"/>
                <w:kern w:val="0"/>
                <w:sz w:val="24"/>
                <w:szCs w:val="24"/>
                <w:lang w:val="en-US" w:eastAsia="zh-CN" w:bidi="en-US"/>
              </w:rPr>
              <w:instrText xml:space="preserve"> HYPERLINK "http://www.bjhzsv.com" </w:instrText>
            </w:r>
            <w:r>
              <w:rPr>
                <w:rFonts w:hint="eastAsia" w:ascii="宋体" w:hAnsi="宋体" w:eastAsia="宋体" w:cs="宋体"/>
                <w:kern w:val="0"/>
                <w:sz w:val="24"/>
                <w:szCs w:val="24"/>
                <w:lang w:val="en-US" w:eastAsia="zh-CN" w:bidi="en-US"/>
              </w:rPr>
              <w:fldChar w:fldCharType="separate"/>
            </w:r>
            <w:r>
              <w:rPr>
                <w:rFonts w:hint="eastAsia" w:ascii="宋体" w:hAnsi="宋体" w:eastAsia="宋体" w:cs="宋体"/>
                <w:kern w:val="0"/>
                <w:sz w:val="24"/>
                <w:szCs w:val="24"/>
                <w:lang w:val="en-US" w:eastAsia="zh-CN" w:bidi="en-US"/>
              </w:rPr>
              <w:t>www.bjhzsv.com</w:t>
            </w:r>
            <w:r>
              <w:rPr>
                <w:rFonts w:hint="eastAsia" w:ascii="宋体" w:hAnsi="宋体" w:eastAsia="宋体" w:cs="宋体"/>
                <w:kern w:val="0"/>
                <w:sz w:val="24"/>
                <w:szCs w:val="24"/>
                <w:lang w:val="en-US" w:eastAsia="zh-CN" w:bidi="en-US"/>
              </w:rPr>
              <w:fldChar w:fldCharType="end"/>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left="0" w:right="0" w:firstLine="240" w:firstLineChars="100"/>
              <w:textAlignment w:val="auto"/>
              <w:rPr>
                <w:rFonts w:hint="eastAsia" w:ascii="宋体" w:hAnsi="宋体" w:eastAsia="宋体" w:cs="宋体"/>
                <w:kern w:val="0"/>
                <w:sz w:val="24"/>
                <w:szCs w:val="24"/>
                <w:lang w:val="en-US" w:eastAsia="zh-CN" w:bidi="en-US"/>
              </w:rPr>
            </w:pPr>
            <w:r>
              <w:rPr>
                <w:rFonts w:hint="eastAsia" w:ascii="宋体" w:hAnsi="宋体" w:eastAsia="宋体" w:cs="宋体"/>
                <w:kern w:val="0"/>
                <w:sz w:val="24"/>
                <w:szCs w:val="24"/>
                <w:lang w:val="en-US" w:eastAsia="zh-CN" w:bidi="en-US"/>
              </w:rPr>
              <w:t>地址：北京市昌平区回龙观镇发展路8号院8号楼9层915</w:t>
            </w:r>
          </w:p>
        </w:tc>
      </w:tr>
    </w:tbl>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right="0"/>
        <w:textAlignment w:val="auto"/>
        <w:rPr>
          <w:rFonts w:hint="eastAsia" w:ascii="宋体" w:hAnsi="宋体" w:eastAsia="宋体" w:cs="宋体"/>
          <w:kern w:val="0"/>
          <w:sz w:val="24"/>
          <w:szCs w:val="24"/>
          <w:lang w:val="en-US" w:eastAsia="zh-CN" w:bidi="en-US"/>
        </w:rPr>
      </w:pPr>
    </w:p>
    <w:sectPr>
      <w:headerReference r:id="rId3" w:type="first"/>
      <w:pgSz w:w="11906" w:h="16838"/>
      <w:pgMar w:top="1134" w:right="1134" w:bottom="1134" w:left="1276"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45"/>
      <w:ind w:left="0" w:leftChars="0" w:firstLine="0" w:firstLineChars="0"/>
      <w:jc w:val="both"/>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drawing>
        <wp:anchor distT="0" distB="0" distL="114300" distR="114300" simplePos="0" relativeHeight="251658240" behindDoc="1" locked="0" layoutInCell="1" allowOverlap="1">
          <wp:simplePos x="0" y="0"/>
          <wp:positionH relativeFrom="column">
            <wp:posOffset>4930775</wp:posOffset>
          </wp:positionH>
          <wp:positionV relativeFrom="paragraph">
            <wp:posOffset>-24765</wp:posOffset>
          </wp:positionV>
          <wp:extent cx="865505" cy="452120"/>
          <wp:effectExtent l="0" t="0" r="10795" b="5080"/>
          <wp:wrapTight wrapText="bothSides">
            <wp:wrapPolygon>
              <wp:start x="0" y="0"/>
              <wp:lineTo x="0" y="20933"/>
              <wp:lineTo x="20919" y="20933"/>
              <wp:lineTo x="20919" y="0"/>
              <wp:lineTo x="0" y="0"/>
            </wp:wrapPolygon>
          </wp:wrapTight>
          <wp:docPr id="4" name="图片 4" descr="LOGO-剪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剪切版"/>
                  <pic:cNvPicPr>
                    <a:picLocks noChangeAspect="1"/>
                  </pic:cNvPicPr>
                </pic:nvPicPr>
                <pic:blipFill>
                  <a:blip r:embed="rId1"/>
                  <a:stretch>
                    <a:fillRect/>
                  </a:stretch>
                </pic:blipFill>
                <pic:spPr>
                  <a:xfrm>
                    <a:off x="0" y="0"/>
                    <a:ext cx="865505" cy="452120"/>
                  </a:xfrm>
                  <a:prstGeom prst="rect">
                    <a:avLst/>
                  </a:prstGeom>
                </pic:spPr>
              </pic:pic>
            </a:graphicData>
          </a:graphic>
        </wp:anchor>
      </w:drawing>
    </w:r>
    <w:r>
      <w:rPr>
        <w:rFonts w:hint="eastAsia" w:ascii="宋体" w:hAnsi="宋体" w:eastAsia="宋体" w:cs="宋体"/>
        <w:b/>
        <w:bCs/>
        <w:sz w:val="18"/>
        <w:szCs w:val="18"/>
        <w:lang w:eastAsia="zh-CN"/>
      </w:rPr>
      <w:t>北京鸿作盛威科技有限公司</w:t>
    </w:r>
    <w:r>
      <w:rPr>
        <w:rFonts w:hint="eastAsia" w:ascii="宋体" w:hAnsi="宋体" w:eastAsia="宋体" w:cs="宋体"/>
        <w:b/>
        <w:bCs/>
        <w:sz w:val="18"/>
        <w:szCs w:val="18"/>
        <w:lang w:val="en-US" w:eastAsia="zh-CN"/>
      </w:rPr>
      <w:t xml:space="preserve">                                  </w:t>
    </w:r>
  </w:p>
  <w:p>
    <w:pPr>
      <w:pStyle w:val="6"/>
      <w:jc w:val="both"/>
      <w:rPr>
        <w:rFonts w:hint="eastAsia" w:ascii="宋体" w:hAnsi="宋体" w:eastAsia="宋体" w:cs="宋体"/>
        <w:b/>
        <w:bCs/>
        <w:sz w:val="18"/>
        <w:szCs w:val="18"/>
      </w:rPr>
    </w:pPr>
    <w:r>
      <w:rPr>
        <w:rFonts w:hint="eastAsia" w:ascii="宋体" w:hAnsi="宋体" w:eastAsia="宋体" w:cs="宋体"/>
        <w:b/>
        <w:bCs/>
        <w:sz w:val="18"/>
        <w:szCs w:val="18"/>
      </w:rPr>
      <w:t>Beijing Hongzuo Shengwei Technology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B337"/>
    <w:multiLevelType w:val="singleLevel"/>
    <w:tmpl w:val="49AAB337"/>
    <w:lvl w:ilvl="0" w:tentative="0">
      <w:start w:val="1"/>
      <w:numFmt w:val="bullet"/>
      <w:lvlText w:val=""/>
      <w:lvlJc w:val="left"/>
      <w:pPr>
        <w:ind w:left="420" w:hanging="420"/>
      </w:pPr>
      <w:rPr>
        <w:rFonts w:hint="default" w:ascii="Wingdings" w:hAnsi="Wingdings"/>
      </w:rPr>
    </w:lvl>
  </w:abstractNum>
  <w:abstractNum w:abstractNumId="1">
    <w:nsid w:val="6733BB5C"/>
    <w:multiLevelType w:val="singleLevel"/>
    <w:tmpl w:val="6733BB5C"/>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1D35"/>
    <w:rsid w:val="00031D35"/>
    <w:rsid w:val="000A7940"/>
    <w:rsid w:val="001560E0"/>
    <w:rsid w:val="00380A92"/>
    <w:rsid w:val="00494445"/>
    <w:rsid w:val="0062367D"/>
    <w:rsid w:val="00640A33"/>
    <w:rsid w:val="006560C2"/>
    <w:rsid w:val="006966BD"/>
    <w:rsid w:val="007E2F6A"/>
    <w:rsid w:val="008272F5"/>
    <w:rsid w:val="009207D5"/>
    <w:rsid w:val="009A387C"/>
    <w:rsid w:val="00C26F3F"/>
    <w:rsid w:val="00CA74EB"/>
    <w:rsid w:val="00D123C5"/>
    <w:rsid w:val="00E81FA7"/>
    <w:rsid w:val="00F36686"/>
    <w:rsid w:val="00F60CFF"/>
    <w:rsid w:val="00FB0A20"/>
    <w:rsid w:val="07B50FAF"/>
    <w:rsid w:val="11CB0204"/>
    <w:rsid w:val="138E095F"/>
    <w:rsid w:val="14007E0E"/>
    <w:rsid w:val="1D762037"/>
    <w:rsid w:val="1DCE368B"/>
    <w:rsid w:val="1F1B3151"/>
    <w:rsid w:val="286C23C5"/>
    <w:rsid w:val="2ED642C1"/>
    <w:rsid w:val="31B257E9"/>
    <w:rsid w:val="320F10C2"/>
    <w:rsid w:val="37A56E13"/>
    <w:rsid w:val="38C039B3"/>
    <w:rsid w:val="3A532442"/>
    <w:rsid w:val="3CBD1CB1"/>
    <w:rsid w:val="3E525585"/>
    <w:rsid w:val="41CF4071"/>
    <w:rsid w:val="42C44E66"/>
    <w:rsid w:val="44B715F9"/>
    <w:rsid w:val="462C19A9"/>
    <w:rsid w:val="46B86EC6"/>
    <w:rsid w:val="4E204B4C"/>
    <w:rsid w:val="50D15693"/>
    <w:rsid w:val="55AD713B"/>
    <w:rsid w:val="5CA63080"/>
    <w:rsid w:val="5E6F6B66"/>
    <w:rsid w:val="62B47EAB"/>
    <w:rsid w:val="666C1E18"/>
    <w:rsid w:val="67980FC5"/>
    <w:rsid w:val="67C63721"/>
    <w:rsid w:val="67EC0127"/>
    <w:rsid w:val="689B6012"/>
    <w:rsid w:val="69674D6A"/>
    <w:rsid w:val="6CA61221"/>
    <w:rsid w:val="6F8A5148"/>
    <w:rsid w:val="75790863"/>
    <w:rsid w:val="75E34EB3"/>
    <w:rsid w:val="799A5823"/>
    <w:rsid w:val="7A2E2FD2"/>
    <w:rsid w:val="7AAA340E"/>
    <w:rsid w:val="7C2C5104"/>
    <w:rsid w:val="7C626509"/>
    <w:rsid w:val="7D35104B"/>
    <w:rsid w:val="7D8072A6"/>
    <w:rsid w:val="7DED5B46"/>
    <w:rsid w:val="7F9F4A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en-US"/>
    </w:rPr>
  </w:style>
  <w:style w:type="paragraph" w:styleId="2">
    <w:name w:val="heading 1"/>
    <w:basedOn w:val="1"/>
    <w:next w:val="1"/>
    <w:link w:val="16"/>
    <w:qFormat/>
    <w:uiPriority w:val="1"/>
    <w:pPr>
      <w:spacing w:before="67"/>
      <w:ind w:left="375"/>
      <w:outlineLvl w:val="0"/>
    </w:pPr>
    <w:rPr>
      <w:rFonts w:ascii="宋体" w:hAnsi="宋体" w:eastAsia="宋体" w:cs="宋体"/>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1"/>
    <w:rPr>
      <w:sz w:val="16"/>
      <w:szCs w:val="16"/>
    </w:rPr>
  </w:style>
  <w:style w:type="paragraph" w:styleId="4">
    <w:name w:val="Balloon Text"/>
    <w:basedOn w:val="1"/>
    <w:link w:val="17"/>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1 Char"/>
    <w:basedOn w:val="10"/>
    <w:link w:val="2"/>
    <w:qFormat/>
    <w:uiPriority w:val="1"/>
    <w:rPr>
      <w:rFonts w:ascii="宋体" w:hAnsi="宋体" w:eastAsia="宋体" w:cs="宋体"/>
      <w:kern w:val="0"/>
      <w:sz w:val="24"/>
      <w:szCs w:val="24"/>
      <w:lang w:eastAsia="en-US" w:bidi="en-US"/>
    </w:rPr>
  </w:style>
  <w:style w:type="character" w:customStyle="1" w:styleId="17">
    <w:name w:val="批注框文本 Char"/>
    <w:basedOn w:val="10"/>
    <w:link w:val="4"/>
    <w:semiHidden/>
    <w:qFormat/>
    <w:uiPriority w:val="99"/>
    <w:rPr>
      <w:sz w:val="18"/>
      <w:szCs w:val="18"/>
    </w:rPr>
  </w:style>
  <w:style w:type="character" w:customStyle="1" w:styleId="18">
    <w:name w:val="正文文本 Char"/>
    <w:basedOn w:val="10"/>
    <w:link w:val="3"/>
    <w:qFormat/>
    <w:uiPriority w:val="1"/>
    <w:rPr>
      <w:rFonts w:ascii="黑体" w:hAnsi="黑体" w:eastAsia="黑体" w:cs="黑体"/>
      <w:kern w:val="0"/>
      <w:sz w:val="16"/>
      <w:szCs w:val="16"/>
      <w:lang w:eastAsia="en-US" w:bidi="en-US"/>
    </w:rPr>
  </w:style>
  <w:style w:type="paragraph" w:styleId="19">
    <w:name w:val="List Paragraph"/>
    <w:basedOn w:val="1"/>
    <w:qFormat/>
    <w:uiPriority w:val="1"/>
    <w:pPr>
      <w:ind w:left="709"/>
    </w:pPr>
  </w:style>
  <w:style w:type="character" w:customStyle="1" w:styleId="20">
    <w:name w:val="li1"/>
    <w:basedOn w:val="10"/>
    <w:qFormat/>
    <w:uiPriority w:val="0"/>
  </w:style>
  <w:style w:type="character" w:customStyle="1" w:styleId="21">
    <w:name w:val="picturewrong"/>
    <w:basedOn w:val="10"/>
    <w:qFormat/>
    <w:uiPriority w:val="0"/>
  </w:style>
  <w:style w:type="character" w:customStyle="1" w:styleId="22">
    <w:name w:val="next"/>
    <w:basedOn w:val="10"/>
    <w:qFormat/>
    <w:uiPriority w:val="0"/>
    <w:rPr>
      <w:color w:val="999999"/>
      <w:bdr w:val="single" w:color="CCCCCC" w:sz="6" w:space="0"/>
      <w:shd w:val="clear" w:fill="F8F8F8"/>
    </w:rPr>
  </w:style>
  <w:style w:type="character" w:customStyle="1" w:styleId="23">
    <w:name w:val="next1"/>
    <w:basedOn w:val="10"/>
    <w:qFormat/>
    <w:uiPriority w:val="0"/>
    <w:rPr>
      <w:color w:val="999999"/>
      <w:bdr w:val="single" w:color="CCCCCC" w:sz="6" w:space="0"/>
      <w:shd w:val="clear" w:fill="F8F8F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135</Words>
  <Characters>770</Characters>
  <Lines>6</Lines>
  <Paragraphs>1</Paragraphs>
  <TotalTime>1</TotalTime>
  <ScaleCrop>false</ScaleCrop>
  <LinksUpToDate>false</LinksUpToDate>
  <CharactersWithSpaces>904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2019-02-26T01:58:00Z</dcterms:created>
  <dc:creator>lenovo</dc:creator>
  <cp:lastModifiedBy>梁杨</cp:lastModifiedBy>
  <dcterms:modified xsi:type="dcterms:W3CDTF">2021-03-04T02:15:10Z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