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bCs/>
          <w:color w:val="auto"/>
          <w:sz w:val="100"/>
          <w:szCs w:val="100"/>
          <w:highlight w:val="none"/>
        </w:rPr>
      </w:pPr>
      <w:r>
        <w:rPr>
          <w:b/>
          <w:bCs/>
          <w:color w:val="auto"/>
          <w:sz w:val="100"/>
          <w:szCs w:val="100"/>
          <w:highlight w:val="none"/>
        </w:rPr>
        <w:t>政府采购</w:t>
      </w:r>
    </w:p>
    <w:p>
      <w:pPr>
        <w:spacing w:line="360" w:lineRule="auto"/>
        <w:jc w:val="center"/>
        <w:outlineLvl w:val="0"/>
        <w:rPr>
          <w:b/>
          <w:bCs/>
          <w:color w:val="auto"/>
          <w:sz w:val="100"/>
          <w:szCs w:val="100"/>
          <w:highlight w:val="none"/>
        </w:rPr>
      </w:pPr>
      <w:r>
        <w:rPr>
          <w:b/>
          <w:bCs/>
          <w:color w:val="auto"/>
          <w:sz w:val="100"/>
          <w:szCs w:val="100"/>
          <w:highlight w:val="none"/>
        </w:rPr>
        <w:t>招标文件</w:t>
      </w:r>
    </w:p>
    <w:p>
      <w:pPr>
        <w:spacing w:line="360" w:lineRule="auto"/>
        <w:rPr>
          <w:color w:val="auto"/>
          <w:highlight w:val="none"/>
        </w:rPr>
      </w:pPr>
    </w:p>
    <w:p>
      <w:pPr>
        <w:spacing w:line="360" w:lineRule="auto"/>
        <w:rPr>
          <w:color w:val="auto"/>
          <w:highlight w:val="none"/>
        </w:rPr>
      </w:pPr>
    </w:p>
    <w:p>
      <w:pPr>
        <w:pStyle w:val="23"/>
        <w:spacing w:line="360" w:lineRule="auto"/>
        <w:ind w:left="0"/>
        <w:rPr>
          <w:color w:val="auto"/>
          <w:sz w:val="32"/>
          <w:szCs w:val="32"/>
          <w:highlight w:val="none"/>
        </w:rPr>
      </w:pPr>
    </w:p>
    <w:p>
      <w:pPr>
        <w:pStyle w:val="23"/>
        <w:spacing w:line="360" w:lineRule="auto"/>
        <w:ind w:left="0"/>
        <w:rPr>
          <w:color w:val="auto"/>
          <w:sz w:val="32"/>
          <w:szCs w:val="32"/>
          <w:highlight w:val="none"/>
        </w:rPr>
      </w:pPr>
    </w:p>
    <w:p>
      <w:pPr>
        <w:spacing w:line="360" w:lineRule="auto"/>
        <w:ind w:firstLine="315" w:firstLineChars="98"/>
        <w:outlineLvl w:val="0"/>
        <w:rPr>
          <w:b/>
          <w:bCs/>
          <w:color w:val="auto"/>
          <w:sz w:val="32"/>
          <w:szCs w:val="32"/>
          <w:highlight w:val="none"/>
        </w:rPr>
      </w:pPr>
      <w:r>
        <w:rPr>
          <w:b/>
          <w:bCs/>
          <w:color w:val="auto"/>
          <w:sz w:val="32"/>
          <w:szCs w:val="32"/>
          <w:highlight w:val="none"/>
        </w:rPr>
        <w:t>采购计划编号：</w:t>
      </w:r>
      <w:r>
        <w:rPr>
          <w:rFonts w:hint="eastAsia"/>
          <w:b/>
          <w:bCs/>
          <w:color w:val="auto"/>
          <w:sz w:val="32"/>
          <w:szCs w:val="32"/>
          <w:highlight w:val="none"/>
        </w:rPr>
        <w:t>20C02013</w:t>
      </w:r>
    </w:p>
    <w:p>
      <w:pPr>
        <w:pStyle w:val="23"/>
        <w:spacing w:line="360" w:lineRule="auto"/>
        <w:ind w:left="2547" w:leftChars="112" w:hanging="2233" w:hangingChars="695"/>
        <w:outlineLvl w:val="0"/>
        <w:rPr>
          <w:b/>
          <w:bCs/>
          <w:color w:val="auto"/>
          <w:sz w:val="32"/>
          <w:szCs w:val="32"/>
          <w:highlight w:val="none"/>
        </w:rPr>
      </w:pPr>
      <w:r>
        <w:rPr>
          <w:b/>
          <w:bCs/>
          <w:color w:val="auto"/>
          <w:sz w:val="32"/>
          <w:szCs w:val="32"/>
          <w:highlight w:val="none"/>
        </w:rPr>
        <w:t>采购项目名称：2021年全市48段黑臭水体和主城区56个湖库以及</w:t>
      </w:r>
      <w:r>
        <w:rPr>
          <w:rFonts w:hint="eastAsia"/>
          <w:b/>
          <w:bCs/>
          <w:color w:val="auto"/>
          <w:sz w:val="32"/>
          <w:szCs w:val="32"/>
          <w:highlight w:val="none"/>
        </w:rPr>
        <w:t>“</w:t>
      </w:r>
      <w:r>
        <w:rPr>
          <w:b/>
          <w:bCs/>
          <w:color w:val="auto"/>
          <w:sz w:val="32"/>
          <w:szCs w:val="32"/>
          <w:highlight w:val="none"/>
        </w:rPr>
        <w:t>清水绿岸</w:t>
      </w:r>
      <w:r>
        <w:rPr>
          <w:rFonts w:hint="eastAsia"/>
          <w:b/>
          <w:bCs/>
          <w:color w:val="auto"/>
          <w:sz w:val="32"/>
          <w:szCs w:val="32"/>
          <w:highlight w:val="none"/>
        </w:rPr>
        <w:t>”</w:t>
      </w:r>
      <w:r>
        <w:rPr>
          <w:b/>
          <w:bCs/>
          <w:color w:val="auto"/>
          <w:sz w:val="32"/>
          <w:szCs w:val="32"/>
          <w:highlight w:val="none"/>
        </w:rPr>
        <w:t>20条河流水质监督性监测</w:t>
      </w:r>
    </w:p>
    <w:p>
      <w:pPr>
        <w:pStyle w:val="23"/>
        <w:spacing w:line="360" w:lineRule="auto"/>
        <w:ind w:left="2547" w:leftChars="112" w:hanging="2233" w:hangingChars="695"/>
        <w:outlineLvl w:val="0"/>
        <w:rPr>
          <w:b/>
          <w:bCs/>
          <w:color w:val="auto"/>
          <w:sz w:val="32"/>
          <w:szCs w:val="32"/>
          <w:highlight w:val="none"/>
        </w:rPr>
      </w:pPr>
    </w:p>
    <w:p>
      <w:pPr>
        <w:pStyle w:val="23"/>
        <w:spacing w:line="360" w:lineRule="auto"/>
        <w:ind w:left="0"/>
        <w:rPr>
          <w:b/>
          <w:bCs/>
          <w:color w:val="auto"/>
          <w:sz w:val="32"/>
          <w:szCs w:val="32"/>
          <w:highlight w:val="none"/>
        </w:rPr>
      </w:pPr>
    </w:p>
    <w:p>
      <w:pPr>
        <w:pStyle w:val="23"/>
        <w:spacing w:line="360" w:lineRule="auto"/>
        <w:ind w:left="0" w:firstLine="321" w:firstLineChars="100"/>
        <w:rPr>
          <w:b/>
          <w:bCs/>
          <w:color w:val="auto"/>
          <w:sz w:val="32"/>
          <w:szCs w:val="32"/>
          <w:highlight w:val="none"/>
        </w:rPr>
      </w:pPr>
      <w:r>
        <w:rPr>
          <w:b/>
          <w:bCs/>
          <w:color w:val="auto"/>
          <w:sz w:val="32"/>
          <w:szCs w:val="32"/>
          <w:highlight w:val="none"/>
        </w:rPr>
        <w:t>采购人：重庆市城市管线综合管理事务中心</w:t>
      </w:r>
    </w:p>
    <w:p>
      <w:pPr>
        <w:pStyle w:val="23"/>
        <w:spacing w:line="360" w:lineRule="auto"/>
        <w:ind w:left="0" w:firstLine="289" w:firstLineChars="100"/>
        <w:rPr>
          <w:b/>
          <w:bCs/>
          <w:color w:val="auto"/>
          <w:w w:val="90"/>
          <w:sz w:val="32"/>
          <w:szCs w:val="32"/>
          <w:highlight w:val="none"/>
        </w:rPr>
      </w:pPr>
      <w:r>
        <w:rPr>
          <w:b/>
          <w:bCs/>
          <w:color w:val="auto"/>
          <w:w w:val="90"/>
          <w:sz w:val="32"/>
          <w:szCs w:val="32"/>
          <w:highlight w:val="none"/>
        </w:rPr>
        <w:t>采购代理机构：</w:t>
      </w:r>
      <w:r>
        <w:rPr>
          <w:b/>
          <w:bCs/>
          <w:color w:val="auto"/>
          <w:sz w:val="32"/>
          <w:szCs w:val="32"/>
          <w:highlight w:val="none"/>
        </w:rPr>
        <w:t>重庆精聚达建筑工程咨询有限公司</w:t>
      </w:r>
    </w:p>
    <w:p>
      <w:pPr>
        <w:snapToGrid w:val="0"/>
        <w:spacing w:line="360" w:lineRule="auto"/>
        <w:jc w:val="center"/>
        <w:rPr>
          <w:b/>
          <w:bCs/>
          <w:color w:val="auto"/>
          <w:sz w:val="32"/>
          <w:szCs w:val="32"/>
          <w:highlight w:val="none"/>
        </w:rPr>
      </w:pPr>
      <w:r>
        <w:rPr>
          <w:b/>
          <w:bCs/>
          <w:color w:val="auto"/>
          <w:sz w:val="32"/>
          <w:szCs w:val="32"/>
          <w:highlight w:val="none"/>
        </w:rPr>
        <w:t>二O二</w:t>
      </w:r>
      <w:r>
        <w:rPr>
          <w:rFonts w:hint="eastAsia"/>
          <w:b/>
          <w:bCs/>
          <w:color w:val="auto"/>
          <w:sz w:val="32"/>
          <w:szCs w:val="32"/>
          <w:highlight w:val="none"/>
        </w:rPr>
        <w:t>一</w:t>
      </w:r>
      <w:r>
        <w:rPr>
          <w:b/>
          <w:bCs/>
          <w:color w:val="auto"/>
          <w:sz w:val="32"/>
          <w:szCs w:val="32"/>
          <w:highlight w:val="none"/>
        </w:rPr>
        <w:t>年一月</w:t>
      </w:r>
    </w:p>
    <w:p>
      <w:pPr>
        <w:snapToGrid w:val="0"/>
        <w:spacing w:line="360" w:lineRule="auto"/>
        <w:rPr>
          <w:color w:val="auto"/>
          <w:sz w:val="44"/>
          <w:szCs w:val="44"/>
          <w:highlight w:val="none"/>
        </w:rPr>
        <w:sectPr>
          <w:pgSz w:w="12240" w:h="15840"/>
          <w:pgMar w:top="1440" w:right="1800" w:bottom="1440" w:left="1800" w:header="720" w:footer="720" w:gutter="0"/>
          <w:cols w:space="720" w:num="1"/>
        </w:sectPr>
      </w:pPr>
    </w:p>
    <w:p>
      <w:pPr>
        <w:snapToGrid w:val="0"/>
        <w:spacing w:line="360" w:lineRule="auto"/>
        <w:jc w:val="center"/>
        <w:rPr>
          <w:color w:val="auto"/>
          <w:sz w:val="44"/>
          <w:szCs w:val="44"/>
          <w:highlight w:val="none"/>
        </w:rPr>
      </w:pPr>
      <w:r>
        <w:rPr>
          <w:color w:val="auto"/>
          <w:sz w:val="44"/>
          <w:szCs w:val="44"/>
          <w:highlight w:val="none"/>
        </w:rPr>
        <w:t>目录</w:t>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TOC \o "1-2" \h \z </w:instrText>
      </w:r>
      <w:r>
        <w:rPr>
          <w:rFonts w:eastAsiaTheme="majorEastAsia"/>
          <w:color w:val="auto"/>
          <w:highlight w:val="none"/>
        </w:rPr>
        <w:fldChar w:fldCharType="separate"/>
      </w:r>
      <w:r>
        <w:rPr>
          <w:rFonts w:eastAsiaTheme="majorEastAsia"/>
          <w:color w:val="auto"/>
          <w:highlight w:val="none"/>
        </w:rPr>
        <w:fldChar w:fldCharType="begin"/>
      </w:r>
      <w:r>
        <w:rPr>
          <w:rFonts w:eastAsiaTheme="majorEastAsia"/>
          <w:color w:val="auto"/>
          <w:highlight w:val="none"/>
        </w:rPr>
        <w:instrText xml:space="preserve"> HYPERLINK \l _Toc12655 </w:instrText>
      </w:r>
      <w:r>
        <w:rPr>
          <w:rFonts w:eastAsiaTheme="majorEastAsia"/>
          <w:color w:val="auto"/>
          <w:highlight w:val="none"/>
        </w:rPr>
        <w:fldChar w:fldCharType="separate"/>
      </w:r>
      <w:r>
        <w:rPr>
          <w:rFonts w:hint="default"/>
          <w:color w:val="auto"/>
          <w:highlight w:val="none"/>
        </w:rPr>
        <w:t xml:space="preserve">第一篇 </w:t>
      </w:r>
      <w:r>
        <w:rPr>
          <w:color w:val="auto"/>
          <w:highlight w:val="none"/>
        </w:rPr>
        <w:t>投标邀请书</w:t>
      </w:r>
      <w:r>
        <w:rPr>
          <w:color w:val="auto"/>
          <w:highlight w:val="none"/>
        </w:rPr>
        <w:tab/>
      </w:r>
      <w:r>
        <w:rPr>
          <w:color w:val="auto"/>
          <w:highlight w:val="none"/>
        </w:rPr>
        <w:fldChar w:fldCharType="begin"/>
      </w:r>
      <w:r>
        <w:rPr>
          <w:color w:val="auto"/>
          <w:highlight w:val="none"/>
        </w:rPr>
        <w:instrText xml:space="preserve"> PAGEREF _Toc12655 </w:instrText>
      </w:r>
      <w:r>
        <w:rPr>
          <w:color w:val="auto"/>
          <w:highlight w:val="none"/>
        </w:rPr>
        <w:fldChar w:fldCharType="separate"/>
      </w:r>
      <w:r>
        <w:rPr>
          <w:color w:val="auto"/>
          <w:highlight w:val="none"/>
        </w:rPr>
        <w:t>3</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_Toc28394 </w:instrText>
      </w:r>
      <w:r>
        <w:rPr>
          <w:rFonts w:eastAsiaTheme="majorEastAsia"/>
          <w:color w:val="auto"/>
          <w:highlight w:val="none"/>
        </w:rPr>
        <w:fldChar w:fldCharType="separate"/>
      </w:r>
      <w:r>
        <w:rPr>
          <w:rFonts w:ascii="Times New Roman"/>
          <w:bCs/>
          <w:color w:val="auto"/>
          <w:szCs w:val="24"/>
          <w:highlight w:val="none"/>
        </w:rPr>
        <w:t>一、招标项目内容</w:t>
      </w:r>
      <w:r>
        <w:rPr>
          <w:color w:val="auto"/>
          <w:highlight w:val="none"/>
        </w:rPr>
        <w:tab/>
      </w:r>
      <w:r>
        <w:rPr>
          <w:color w:val="auto"/>
          <w:highlight w:val="none"/>
        </w:rPr>
        <w:fldChar w:fldCharType="begin"/>
      </w:r>
      <w:r>
        <w:rPr>
          <w:color w:val="auto"/>
          <w:highlight w:val="none"/>
        </w:rPr>
        <w:instrText xml:space="preserve"> PAGEREF _Toc28394 </w:instrText>
      </w:r>
      <w:r>
        <w:rPr>
          <w:color w:val="auto"/>
          <w:highlight w:val="none"/>
        </w:rPr>
        <w:fldChar w:fldCharType="separate"/>
      </w:r>
      <w:r>
        <w:rPr>
          <w:color w:val="auto"/>
          <w:highlight w:val="none"/>
        </w:rPr>
        <w:t>3</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_Toc28341 </w:instrText>
      </w:r>
      <w:r>
        <w:rPr>
          <w:rFonts w:eastAsiaTheme="majorEastAsia"/>
          <w:color w:val="auto"/>
          <w:highlight w:val="none"/>
        </w:rPr>
        <w:fldChar w:fldCharType="separate"/>
      </w:r>
      <w:r>
        <w:rPr>
          <w:rFonts w:ascii="Times New Roman"/>
          <w:bCs/>
          <w:color w:val="auto"/>
          <w:szCs w:val="24"/>
          <w:highlight w:val="none"/>
        </w:rPr>
        <w:t>二、资金来源</w:t>
      </w:r>
      <w:r>
        <w:rPr>
          <w:color w:val="auto"/>
          <w:highlight w:val="none"/>
        </w:rPr>
        <w:tab/>
      </w:r>
      <w:r>
        <w:rPr>
          <w:color w:val="auto"/>
          <w:highlight w:val="none"/>
        </w:rPr>
        <w:fldChar w:fldCharType="begin"/>
      </w:r>
      <w:r>
        <w:rPr>
          <w:color w:val="auto"/>
          <w:highlight w:val="none"/>
        </w:rPr>
        <w:instrText xml:space="preserve"> PAGEREF _Toc28341 </w:instrText>
      </w:r>
      <w:r>
        <w:rPr>
          <w:color w:val="auto"/>
          <w:highlight w:val="none"/>
        </w:rPr>
        <w:fldChar w:fldCharType="separate"/>
      </w:r>
      <w:r>
        <w:rPr>
          <w:color w:val="auto"/>
          <w:highlight w:val="none"/>
        </w:rPr>
        <w:t>3</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_Toc22673 </w:instrText>
      </w:r>
      <w:r>
        <w:rPr>
          <w:rFonts w:eastAsiaTheme="majorEastAsia"/>
          <w:color w:val="auto"/>
          <w:highlight w:val="none"/>
        </w:rPr>
        <w:fldChar w:fldCharType="separate"/>
      </w:r>
      <w:r>
        <w:rPr>
          <w:rFonts w:ascii="Times New Roman"/>
          <w:bCs/>
          <w:color w:val="auto"/>
          <w:szCs w:val="24"/>
          <w:highlight w:val="none"/>
        </w:rPr>
        <w:t>三、投标人资格要求</w:t>
      </w:r>
      <w:r>
        <w:rPr>
          <w:color w:val="auto"/>
          <w:highlight w:val="none"/>
        </w:rPr>
        <w:tab/>
      </w:r>
      <w:r>
        <w:rPr>
          <w:color w:val="auto"/>
          <w:highlight w:val="none"/>
        </w:rPr>
        <w:fldChar w:fldCharType="begin"/>
      </w:r>
      <w:r>
        <w:rPr>
          <w:color w:val="auto"/>
          <w:highlight w:val="none"/>
        </w:rPr>
        <w:instrText xml:space="preserve"> PAGEREF _Toc22673 </w:instrText>
      </w:r>
      <w:r>
        <w:rPr>
          <w:color w:val="auto"/>
          <w:highlight w:val="none"/>
        </w:rPr>
        <w:fldChar w:fldCharType="separate"/>
      </w:r>
      <w:r>
        <w:rPr>
          <w:color w:val="auto"/>
          <w:highlight w:val="none"/>
        </w:rPr>
        <w:t>3</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_Toc26997 </w:instrText>
      </w:r>
      <w:r>
        <w:rPr>
          <w:rFonts w:eastAsiaTheme="majorEastAsia"/>
          <w:color w:val="auto"/>
          <w:highlight w:val="none"/>
        </w:rPr>
        <w:fldChar w:fldCharType="separate"/>
      </w:r>
      <w:r>
        <w:rPr>
          <w:rFonts w:ascii="Times New Roman"/>
          <w:bCs/>
          <w:color w:val="auto"/>
          <w:szCs w:val="24"/>
          <w:highlight w:val="none"/>
        </w:rPr>
        <w:t>四、投标、开标有关说明</w:t>
      </w:r>
      <w:r>
        <w:rPr>
          <w:color w:val="auto"/>
          <w:highlight w:val="none"/>
        </w:rPr>
        <w:tab/>
      </w:r>
      <w:r>
        <w:rPr>
          <w:color w:val="auto"/>
          <w:highlight w:val="none"/>
        </w:rPr>
        <w:fldChar w:fldCharType="begin"/>
      </w:r>
      <w:r>
        <w:rPr>
          <w:color w:val="auto"/>
          <w:highlight w:val="none"/>
        </w:rPr>
        <w:instrText xml:space="preserve"> PAGEREF _Toc26997 </w:instrText>
      </w:r>
      <w:r>
        <w:rPr>
          <w:color w:val="auto"/>
          <w:highlight w:val="none"/>
        </w:rPr>
        <w:fldChar w:fldCharType="separate"/>
      </w:r>
      <w:r>
        <w:rPr>
          <w:color w:val="auto"/>
          <w:highlight w:val="none"/>
        </w:rPr>
        <w:t>4</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rFonts w:eastAsiaTheme="majorEastAsia"/>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_Toc27854 </w:instrText>
      </w:r>
      <w:r>
        <w:rPr>
          <w:rFonts w:eastAsiaTheme="majorEastAsia"/>
          <w:color w:val="auto"/>
          <w:highlight w:val="none"/>
        </w:rPr>
        <w:fldChar w:fldCharType="separate"/>
      </w:r>
      <w:r>
        <w:rPr>
          <w:rFonts w:ascii="Times New Roman"/>
          <w:bCs/>
          <w:color w:val="auto"/>
          <w:szCs w:val="24"/>
          <w:highlight w:val="none"/>
        </w:rPr>
        <w:t>五、投标保证金</w:t>
      </w:r>
      <w:r>
        <w:rPr>
          <w:color w:val="auto"/>
          <w:highlight w:val="none"/>
        </w:rPr>
        <w:tab/>
      </w:r>
      <w:r>
        <w:rPr>
          <w:color w:val="auto"/>
          <w:highlight w:val="none"/>
        </w:rPr>
        <w:fldChar w:fldCharType="begin"/>
      </w:r>
      <w:r>
        <w:rPr>
          <w:color w:val="auto"/>
          <w:highlight w:val="none"/>
        </w:rPr>
        <w:instrText xml:space="preserve"> PAGEREF _Toc27854 </w:instrText>
      </w:r>
      <w:r>
        <w:rPr>
          <w:color w:val="auto"/>
          <w:highlight w:val="none"/>
        </w:rPr>
        <w:fldChar w:fldCharType="separate"/>
      </w:r>
      <w:r>
        <w:rPr>
          <w:color w:val="auto"/>
          <w:highlight w:val="none"/>
        </w:rPr>
        <w:t>5</w:t>
      </w:r>
      <w:r>
        <w:rPr>
          <w:color w:val="auto"/>
          <w:highlight w:val="none"/>
        </w:rPr>
        <w:fldChar w:fldCharType="end"/>
      </w:r>
      <w:r>
        <w:rPr>
          <w:rFonts w:eastAsiaTheme="majorEastAsia"/>
          <w:color w:val="auto"/>
          <w:highlight w:val="none"/>
        </w:rPr>
        <w:fldChar w:fldCharType="end"/>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eastAsia="宋体"/>
          <w:color w:val="auto"/>
          <w:highlight w:val="none"/>
          <w:lang w:val="en-US" w:eastAsia="zh-CN"/>
        </w:rPr>
      </w:pPr>
      <w:r>
        <w:rPr>
          <w:rFonts w:hint="eastAsia" w:ascii="Times New Roman" w:hAnsi="Times New Roman" w:eastAsia="宋体" w:cs="Times New Roman"/>
          <w:bCs/>
          <w:color w:val="auto"/>
          <w:kern w:val="2"/>
          <w:sz w:val="28"/>
          <w:szCs w:val="30"/>
          <w:highlight w:val="none"/>
          <w:lang w:val="en-US" w:eastAsia="zh-CN" w:bidi="ar-SA"/>
        </w:rPr>
        <w:t xml:space="preserve">第二篇 </w:t>
      </w:r>
      <w:r>
        <w:rPr>
          <w:rFonts w:ascii="Times New Roman" w:hAnsi="Times New Roman" w:eastAsia="宋体" w:cs="Times New Roman"/>
          <w:bCs/>
          <w:color w:val="auto"/>
          <w:kern w:val="2"/>
          <w:sz w:val="28"/>
          <w:szCs w:val="30"/>
          <w:highlight w:val="none"/>
          <w:lang w:val="en-US" w:eastAsia="zh-CN" w:bidi="ar-SA"/>
        </w:rPr>
        <w:t>项目技术规格、数量及质量要求</w:t>
      </w:r>
      <w:r>
        <w:rPr>
          <w:color w:val="auto"/>
          <w:highlight w:val="none"/>
        </w:rPr>
        <w:tab/>
      </w:r>
      <w:r>
        <w:rPr>
          <w:rFonts w:hint="eastAsia"/>
          <w:color w:val="auto"/>
          <w:highlight w:val="none"/>
          <w:lang w:val="en-US" w:eastAsia="zh-CN"/>
        </w:rPr>
        <w:t>............................................................7</w:t>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_Toc7274 </w:instrText>
      </w:r>
      <w:r>
        <w:rPr>
          <w:rFonts w:eastAsiaTheme="majorEastAsia"/>
          <w:color w:val="auto"/>
          <w:highlight w:val="none"/>
        </w:rPr>
        <w:fldChar w:fldCharType="separate"/>
      </w:r>
      <w:r>
        <w:rPr>
          <w:rFonts w:hint="default" w:ascii="Times New Roman"/>
          <w:bCs/>
          <w:color w:val="auto"/>
          <w:szCs w:val="30"/>
          <w:highlight w:val="none"/>
        </w:rPr>
        <w:t xml:space="preserve">一、 </w:t>
      </w:r>
      <w:r>
        <w:rPr>
          <w:rFonts w:ascii="Times New Roman"/>
          <w:bCs/>
          <w:color w:val="auto"/>
          <w:szCs w:val="30"/>
          <w:highlight w:val="none"/>
        </w:rPr>
        <w:t>招标项目一览表</w:t>
      </w:r>
      <w:r>
        <w:rPr>
          <w:color w:val="auto"/>
          <w:highlight w:val="none"/>
        </w:rPr>
        <w:tab/>
      </w:r>
      <w:r>
        <w:rPr>
          <w:color w:val="auto"/>
          <w:highlight w:val="none"/>
        </w:rPr>
        <w:fldChar w:fldCharType="begin"/>
      </w:r>
      <w:r>
        <w:rPr>
          <w:color w:val="auto"/>
          <w:highlight w:val="none"/>
        </w:rPr>
        <w:instrText xml:space="preserve"> PAGEREF _Toc7274 </w:instrText>
      </w:r>
      <w:r>
        <w:rPr>
          <w:color w:val="auto"/>
          <w:highlight w:val="none"/>
        </w:rPr>
        <w:fldChar w:fldCharType="separate"/>
      </w:r>
      <w:r>
        <w:rPr>
          <w:color w:val="auto"/>
          <w:highlight w:val="none"/>
        </w:rPr>
        <w:t>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_Toc3475 </w:instrText>
      </w:r>
      <w:r>
        <w:rPr>
          <w:rFonts w:eastAsiaTheme="majorEastAsia"/>
          <w:color w:val="auto"/>
          <w:highlight w:val="none"/>
        </w:rPr>
        <w:fldChar w:fldCharType="separate"/>
      </w:r>
      <w:r>
        <w:rPr>
          <w:rFonts w:hint="default" w:ascii="Times New Roman"/>
          <w:bCs/>
          <w:color w:val="auto"/>
          <w:szCs w:val="30"/>
          <w:highlight w:val="none"/>
        </w:rPr>
        <w:t xml:space="preserve">二、 </w:t>
      </w:r>
      <w:r>
        <w:rPr>
          <w:rFonts w:ascii="Times New Roman"/>
          <w:bCs/>
          <w:color w:val="auto"/>
          <w:szCs w:val="30"/>
          <w:highlight w:val="none"/>
        </w:rPr>
        <w:t>项目内容及要求</w:t>
      </w:r>
      <w:r>
        <w:rPr>
          <w:color w:val="auto"/>
          <w:highlight w:val="none"/>
        </w:rPr>
        <w:tab/>
      </w:r>
      <w:r>
        <w:rPr>
          <w:color w:val="auto"/>
          <w:highlight w:val="none"/>
        </w:rPr>
        <w:fldChar w:fldCharType="begin"/>
      </w:r>
      <w:r>
        <w:rPr>
          <w:color w:val="auto"/>
          <w:highlight w:val="none"/>
        </w:rPr>
        <w:instrText xml:space="preserve"> PAGEREF _Toc3475 </w:instrText>
      </w:r>
      <w:r>
        <w:rPr>
          <w:color w:val="auto"/>
          <w:highlight w:val="none"/>
        </w:rPr>
        <w:fldChar w:fldCharType="separate"/>
      </w:r>
      <w:r>
        <w:rPr>
          <w:color w:val="auto"/>
          <w:highlight w:val="none"/>
        </w:rPr>
        <w:t>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_Toc29522 </w:instrText>
      </w:r>
      <w:r>
        <w:rPr>
          <w:rFonts w:eastAsiaTheme="majorEastAsia"/>
          <w:color w:val="auto"/>
          <w:highlight w:val="none"/>
        </w:rPr>
        <w:fldChar w:fldCharType="separate"/>
      </w:r>
      <w:r>
        <w:rPr>
          <w:rFonts w:ascii="Times New Roman"/>
          <w:color w:val="auto"/>
          <w:highlight w:val="none"/>
        </w:rPr>
        <w:t>（一）48段城市黑臭水体、小泉支流、56个湖库及“清水绿岸”20条河流名称</w:t>
      </w:r>
      <w:r>
        <w:rPr>
          <w:color w:val="auto"/>
          <w:highlight w:val="none"/>
        </w:rPr>
        <w:tab/>
      </w:r>
      <w:r>
        <w:rPr>
          <w:color w:val="auto"/>
          <w:highlight w:val="none"/>
        </w:rPr>
        <w:fldChar w:fldCharType="begin"/>
      </w:r>
      <w:r>
        <w:rPr>
          <w:color w:val="auto"/>
          <w:highlight w:val="none"/>
        </w:rPr>
        <w:instrText xml:space="preserve"> PAGEREF _Toc29522 </w:instrText>
      </w:r>
      <w:r>
        <w:rPr>
          <w:color w:val="auto"/>
          <w:highlight w:val="none"/>
        </w:rPr>
        <w:fldChar w:fldCharType="separate"/>
      </w:r>
      <w:r>
        <w:rPr>
          <w:color w:val="auto"/>
          <w:highlight w:val="none"/>
        </w:rPr>
        <w:t>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_Toc10964 </w:instrText>
      </w:r>
      <w:r>
        <w:rPr>
          <w:rFonts w:eastAsiaTheme="majorEastAsia"/>
          <w:color w:val="auto"/>
          <w:highlight w:val="none"/>
        </w:rPr>
        <w:fldChar w:fldCharType="separate"/>
      </w:r>
      <w:r>
        <w:rPr>
          <w:rFonts w:ascii="Times New Roman"/>
          <w:color w:val="auto"/>
          <w:highlight w:val="none"/>
        </w:rPr>
        <w:t>（二）现场巡查</w:t>
      </w:r>
      <w:r>
        <w:rPr>
          <w:color w:val="auto"/>
          <w:highlight w:val="none"/>
        </w:rPr>
        <w:tab/>
      </w:r>
      <w:r>
        <w:rPr>
          <w:color w:val="auto"/>
          <w:highlight w:val="none"/>
        </w:rPr>
        <w:fldChar w:fldCharType="begin"/>
      </w:r>
      <w:r>
        <w:rPr>
          <w:color w:val="auto"/>
          <w:highlight w:val="none"/>
        </w:rPr>
        <w:instrText xml:space="preserve"> PAGEREF _Toc10964 </w:instrText>
      </w:r>
      <w:r>
        <w:rPr>
          <w:color w:val="auto"/>
          <w:highlight w:val="none"/>
        </w:rPr>
        <w:fldChar w:fldCharType="separate"/>
      </w:r>
      <w:r>
        <w:rPr>
          <w:color w:val="auto"/>
          <w:highlight w:val="none"/>
        </w:rPr>
        <w:t>12</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_Toc19642 </w:instrText>
      </w:r>
      <w:r>
        <w:rPr>
          <w:rFonts w:eastAsiaTheme="majorEastAsia"/>
          <w:color w:val="auto"/>
          <w:highlight w:val="none"/>
        </w:rPr>
        <w:fldChar w:fldCharType="separate"/>
      </w:r>
      <w:r>
        <w:rPr>
          <w:rFonts w:ascii="Times New Roman"/>
          <w:color w:val="auto"/>
          <w:highlight w:val="none"/>
        </w:rPr>
        <w:t>（三）布点方案</w:t>
      </w:r>
      <w:r>
        <w:rPr>
          <w:color w:val="auto"/>
          <w:highlight w:val="none"/>
        </w:rPr>
        <w:tab/>
      </w:r>
      <w:r>
        <w:rPr>
          <w:color w:val="auto"/>
          <w:highlight w:val="none"/>
        </w:rPr>
        <w:fldChar w:fldCharType="begin"/>
      </w:r>
      <w:r>
        <w:rPr>
          <w:color w:val="auto"/>
          <w:highlight w:val="none"/>
        </w:rPr>
        <w:instrText xml:space="preserve"> PAGEREF _Toc19642 </w:instrText>
      </w:r>
      <w:r>
        <w:rPr>
          <w:color w:val="auto"/>
          <w:highlight w:val="none"/>
        </w:rPr>
        <w:fldChar w:fldCharType="separate"/>
      </w:r>
      <w:r>
        <w:rPr>
          <w:color w:val="auto"/>
          <w:highlight w:val="none"/>
        </w:rPr>
        <w:t>13</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_Toc17841 </w:instrText>
      </w:r>
      <w:r>
        <w:rPr>
          <w:rFonts w:eastAsiaTheme="majorEastAsia"/>
          <w:color w:val="auto"/>
          <w:highlight w:val="none"/>
        </w:rPr>
        <w:fldChar w:fldCharType="separate"/>
      </w:r>
      <w:r>
        <w:rPr>
          <w:rFonts w:ascii="Times New Roman"/>
          <w:color w:val="auto"/>
          <w:highlight w:val="none"/>
        </w:rPr>
        <w:t>（四）水质检测</w:t>
      </w:r>
      <w:r>
        <w:rPr>
          <w:color w:val="auto"/>
          <w:highlight w:val="none"/>
        </w:rPr>
        <w:tab/>
      </w:r>
      <w:r>
        <w:rPr>
          <w:color w:val="auto"/>
          <w:highlight w:val="none"/>
        </w:rPr>
        <w:fldChar w:fldCharType="begin"/>
      </w:r>
      <w:r>
        <w:rPr>
          <w:color w:val="auto"/>
          <w:highlight w:val="none"/>
        </w:rPr>
        <w:instrText xml:space="preserve"> PAGEREF _Toc17841 </w:instrText>
      </w:r>
      <w:r>
        <w:rPr>
          <w:color w:val="auto"/>
          <w:highlight w:val="none"/>
        </w:rPr>
        <w:fldChar w:fldCharType="separate"/>
      </w:r>
      <w:r>
        <w:rPr>
          <w:color w:val="auto"/>
          <w:highlight w:val="none"/>
        </w:rPr>
        <w:t>14</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_Toc22278 </w:instrText>
      </w:r>
      <w:r>
        <w:rPr>
          <w:rFonts w:eastAsiaTheme="majorEastAsia"/>
          <w:color w:val="auto"/>
          <w:highlight w:val="none"/>
        </w:rPr>
        <w:fldChar w:fldCharType="separate"/>
      </w:r>
      <w:r>
        <w:rPr>
          <w:color w:val="auto"/>
          <w:highlight w:val="none"/>
        </w:rPr>
        <w:t>第三篇</w:t>
      </w:r>
      <w:r>
        <w:rPr>
          <w:rFonts w:hint="eastAsia"/>
          <w:color w:val="auto"/>
          <w:highlight w:val="none"/>
          <w:lang w:val="en-US" w:eastAsia="zh-CN"/>
        </w:rPr>
        <w:t xml:space="preserve"> </w:t>
      </w:r>
      <w:r>
        <w:rPr>
          <w:color w:val="auto"/>
          <w:highlight w:val="none"/>
        </w:rPr>
        <w:t>项目商务要求</w:t>
      </w:r>
      <w:r>
        <w:rPr>
          <w:color w:val="auto"/>
          <w:highlight w:val="none"/>
        </w:rPr>
        <w:tab/>
      </w:r>
      <w:r>
        <w:rPr>
          <w:color w:val="auto"/>
          <w:highlight w:val="none"/>
        </w:rPr>
        <w:fldChar w:fldCharType="begin"/>
      </w:r>
      <w:r>
        <w:rPr>
          <w:color w:val="auto"/>
          <w:highlight w:val="none"/>
        </w:rPr>
        <w:instrText xml:space="preserve"> PAGEREF _Toc22278 </w:instrText>
      </w:r>
      <w:r>
        <w:rPr>
          <w:color w:val="auto"/>
          <w:highlight w:val="none"/>
        </w:rPr>
        <w:fldChar w:fldCharType="separate"/>
      </w:r>
      <w:r>
        <w:rPr>
          <w:color w:val="auto"/>
          <w:highlight w:val="none"/>
        </w:rPr>
        <w:t>15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_Toc9681 </w:instrText>
      </w:r>
      <w:r>
        <w:rPr>
          <w:rFonts w:eastAsiaTheme="majorEastAsia"/>
          <w:color w:val="auto"/>
          <w:highlight w:val="none"/>
        </w:rPr>
        <w:fldChar w:fldCharType="separate"/>
      </w:r>
      <w:r>
        <w:rPr>
          <w:rFonts w:ascii="Times New Roman"/>
          <w:bCs/>
          <w:color w:val="auto"/>
          <w:highlight w:val="none"/>
        </w:rPr>
        <w:t>一、实施时间、实施地点及验收方式</w:t>
      </w:r>
      <w:r>
        <w:rPr>
          <w:color w:val="auto"/>
          <w:highlight w:val="none"/>
        </w:rPr>
        <w:tab/>
      </w:r>
      <w:r>
        <w:rPr>
          <w:color w:val="auto"/>
          <w:highlight w:val="none"/>
        </w:rPr>
        <w:fldChar w:fldCharType="begin"/>
      </w:r>
      <w:r>
        <w:rPr>
          <w:color w:val="auto"/>
          <w:highlight w:val="none"/>
        </w:rPr>
        <w:instrText xml:space="preserve"> PAGEREF _Toc9681 </w:instrText>
      </w:r>
      <w:r>
        <w:rPr>
          <w:color w:val="auto"/>
          <w:highlight w:val="none"/>
        </w:rPr>
        <w:fldChar w:fldCharType="separate"/>
      </w:r>
      <w:r>
        <w:rPr>
          <w:color w:val="auto"/>
          <w:highlight w:val="none"/>
        </w:rPr>
        <w:t>15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_Toc2750 </w:instrText>
      </w:r>
      <w:r>
        <w:rPr>
          <w:rFonts w:eastAsiaTheme="majorEastAsia"/>
          <w:color w:val="auto"/>
          <w:highlight w:val="none"/>
        </w:rPr>
        <w:fldChar w:fldCharType="separate"/>
      </w:r>
      <w:r>
        <w:rPr>
          <w:rFonts w:ascii="Times New Roman"/>
          <w:bCs/>
          <w:color w:val="auto"/>
          <w:highlight w:val="none"/>
        </w:rPr>
        <w:t>二、报价要求</w:t>
      </w:r>
      <w:r>
        <w:rPr>
          <w:color w:val="auto"/>
          <w:highlight w:val="none"/>
        </w:rPr>
        <w:tab/>
      </w:r>
      <w:r>
        <w:rPr>
          <w:color w:val="auto"/>
          <w:highlight w:val="none"/>
        </w:rPr>
        <w:fldChar w:fldCharType="begin"/>
      </w:r>
      <w:r>
        <w:rPr>
          <w:color w:val="auto"/>
          <w:highlight w:val="none"/>
        </w:rPr>
        <w:instrText xml:space="preserve"> PAGEREF _Toc2750 </w:instrText>
      </w:r>
      <w:r>
        <w:rPr>
          <w:color w:val="auto"/>
          <w:highlight w:val="none"/>
        </w:rPr>
        <w:fldChar w:fldCharType="separate"/>
      </w:r>
      <w:r>
        <w:rPr>
          <w:color w:val="auto"/>
          <w:highlight w:val="none"/>
        </w:rPr>
        <w:t>16</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_Toc6904 </w:instrText>
      </w:r>
      <w:r>
        <w:rPr>
          <w:rFonts w:eastAsiaTheme="majorEastAsia"/>
          <w:color w:val="auto"/>
          <w:highlight w:val="none"/>
        </w:rPr>
        <w:fldChar w:fldCharType="separate"/>
      </w:r>
      <w:r>
        <w:rPr>
          <w:rFonts w:ascii="Times New Roman"/>
          <w:bCs/>
          <w:color w:val="auto"/>
          <w:highlight w:val="none"/>
        </w:rPr>
        <w:t>三、付款方式</w:t>
      </w:r>
      <w:r>
        <w:rPr>
          <w:color w:val="auto"/>
          <w:highlight w:val="none"/>
        </w:rPr>
        <w:tab/>
      </w:r>
      <w:r>
        <w:rPr>
          <w:color w:val="auto"/>
          <w:highlight w:val="none"/>
        </w:rPr>
        <w:fldChar w:fldCharType="begin"/>
      </w:r>
      <w:r>
        <w:rPr>
          <w:color w:val="auto"/>
          <w:highlight w:val="none"/>
        </w:rPr>
        <w:instrText xml:space="preserve"> PAGEREF _Toc6904 </w:instrText>
      </w:r>
      <w:r>
        <w:rPr>
          <w:color w:val="auto"/>
          <w:highlight w:val="none"/>
        </w:rPr>
        <w:fldChar w:fldCharType="separate"/>
      </w:r>
      <w:r>
        <w:rPr>
          <w:color w:val="auto"/>
          <w:highlight w:val="none"/>
        </w:rPr>
        <w:t>16</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_Toc13267 </w:instrText>
      </w:r>
      <w:r>
        <w:rPr>
          <w:rFonts w:eastAsiaTheme="majorEastAsia"/>
          <w:color w:val="auto"/>
          <w:highlight w:val="none"/>
        </w:rPr>
        <w:fldChar w:fldCharType="separate"/>
      </w:r>
      <w:r>
        <w:rPr>
          <w:rFonts w:ascii="Times New Roman"/>
          <w:bCs/>
          <w:color w:val="auto"/>
          <w:highlight w:val="none"/>
        </w:rPr>
        <w:t>四、知识产权</w:t>
      </w:r>
      <w:r>
        <w:rPr>
          <w:color w:val="auto"/>
          <w:highlight w:val="none"/>
        </w:rPr>
        <w:tab/>
      </w:r>
      <w:r>
        <w:rPr>
          <w:color w:val="auto"/>
          <w:highlight w:val="none"/>
        </w:rPr>
        <w:fldChar w:fldCharType="begin"/>
      </w:r>
      <w:r>
        <w:rPr>
          <w:color w:val="auto"/>
          <w:highlight w:val="none"/>
        </w:rPr>
        <w:instrText xml:space="preserve"> PAGEREF _Toc13267 </w:instrText>
      </w:r>
      <w:r>
        <w:rPr>
          <w:color w:val="auto"/>
          <w:highlight w:val="none"/>
        </w:rPr>
        <w:fldChar w:fldCharType="separate"/>
      </w:r>
      <w:r>
        <w:rPr>
          <w:color w:val="auto"/>
          <w:highlight w:val="none"/>
        </w:rPr>
        <w:t>16</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_Toc21209 </w:instrText>
      </w:r>
      <w:r>
        <w:rPr>
          <w:rFonts w:eastAsiaTheme="majorEastAsia"/>
          <w:color w:val="auto"/>
          <w:highlight w:val="none"/>
        </w:rPr>
        <w:fldChar w:fldCharType="separate"/>
      </w:r>
      <w:r>
        <w:rPr>
          <w:rFonts w:ascii="Times New Roman"/>
          <w:bCs/>
          <w:color w:val="auto"/>
          <w:highlight w:val="none"/>
        </w:rPr>
        <w:t>五、其他</w:t>
      </w:r>
      <w:r>
        <w:rPr>
          <w:color w:val="auto"/>
          <w:highlight w:val="none"/>
        </w:rPr>
        <w:tab/>
      </w:r>
      <w:r>
        <w:rPr>
          <w:color w:val="auto"/>
          <w:highlight w:val="none"/>
        </w:rPr>
        <w:fldChar w:fldCharType="begin"/>
      </w:r>
      <w:r>
        <w:rPr>
          <w:color w:val="auto"/>
          <w:highlight w:val="none"/>
        </w:rPr>
        <w:instrText xml:space="preserve"> PAGEREF _Toc21209 </w:instrText>
      </w:r>
      <w:r>
        <w:rPr>
          <w:color w:val="auto"/>
          <w:highlight w:val="none"/>
        </w:rPr>
        <w:fldChar w:fldCharType="separate"/>
      </w:r>
      <w:r>
        <w:rPr>
          <w:color w:val="auto"/>
          <w:highlight w:val="none"/>
        </w:rPr>
        <w:t>16</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_Toc23690 </w:instrText>
      </w:r>
      <w:r>
        <w:rPr>
          <w:rFonts w:eastAsiaTheme="majorEastAsia"/>
          <w:color w:val="auto"/>
          <w:highlight w:val="none"/>
        </w:rPr>
        <w:fldChar w:fldCharType="separate"/>
      </w:r>
      <w:r>
        <w:rPr>
          <w:color w:val="auto"/>
          <w:highlight w:val="none"/>
        </w:rPr>
        <w:t>第四篇</w:t>
      </w:r>
      <w:r>
        <w:rPr>
          <w:rFonts w:hint="eastAsia"/>
          <w:color w:val="auto"/>
          <w:highlight w:val="none"/>
          <w:lang w:val="en-US" w:eastAsia="zh-CN"/>
        </w:rPr>
        <w:t xml:space="preserve">  </w:t>
      </w:r>
      <w:r>
        <w:rPr>
          <w:rFonts w:hint="eastAsia"/>
          <w:color w:val="auto"/>
          <w:highlight w:val="none"/>
        </w:rPr>
        <w:t>资格审查及评标办法</w:t>
      </w:r>
      <w:r>
        <w:rPr>
          <w:color w:val="auto"/>
          <w:highlight w:val="none"/>
        </w:rPr>
        <w:tab/>
      </w:r>
      <w:r>
        <w:rPr>
          <w:color w:val="auto"/>
          <w:highlight w:val="none"/>
        </w:rPr>
        <w:fldChar w:fldCharType="begin"/>
      </w:r>
      <w:r>
        <w:rPr>
          <w:color w:val="auto"/>
          <w:highlight w:val="none"/>
        </w:rPr>
        <w:instrText xml:space="preserve"> PAGEREF _Toc23690 </w:instrText>
      </w:r>
      <w:r>
        <w:rPr>
          <w:color w:val="auto"/>
          <w:highlight w:val="none"/>
        </w:rPr>
        <w:fldChar w:fldCharType="separate"/>
      </w:r>
      <w:r>
        <w:rPr>
          <w:color w:val="auto"/>
          <w:highlight w:val="none"/>
        </w:rPr>
        <w:t>17</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_Toc29020 </w:instrText>
      </w:r>
      <w:r>
        <w:rPr>
          <w:rFonts w:eastAsiaTheme="majorEastAsia"/>
          <w:color w:val="auto"/>
          <w:highlight w:val="none"/>
        </w:rPr>
        <w:fldChar w:fldCharType="separate"/>
      </w:r>
      <w:r>
        <w:rPr>
          <w:rFonts w:hint="eastAsia" w:cs="宋体"/>
          <w:color w:val="auto"/>
          <w:szCs w:val="24"/>
          <w:highlight w:val="none"/>
        </w:rPr>
        <w:t>一、资格审查</w:t>
      </w:r>
      <w:r>
        <w:rPr>
          <w:color w:val="auto"/>
          <w:highlight w:val="none"/>
        </w:rPr>
        <w:tab/>
      </w:r>
      <w:r>
        <w:rPr>
          <w:color w:val="auto"/>
          <w:highlight w:val="none"/>
        </w:rPr>
        <w:fldChar w:fldCharType="begin"/>
      </w:r>
      <w:r>
        <w:rPr>
          <w:color w:val="auto"/>
          <w:highlight w:val="none"/>
        </w:rPr>
        <w:instrText xml:space="preserve"> PAGEREF _Toc29020 </w:instrText>
      </w:r>
      <w:r>
        <w:rPr>
          <w:color w:val="auto"/>
          <w:highlight w:val="none"/>
        </w:rPr>
        <w:fldChar w:fldCharType="separate"/>
      </w:r>
      <w:r>
        <w:rPr>
          <w:color w:val="auto"/>
          <w:highlight w:val="none"/>
        </w:rPr>
        <w:t>17</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_Toc10918 </w:instrText>
      </w:r>
      <w:r>
        <w:rPr>
          <w:rFonts w:eastAsiaTheme="majorEastAsia"/>
          <w:color w:val="auto"/>
          <w:highlight w:val="none"/>
        </w:rPr>
        <w:fldChar w:fldCharType="separate"/>
      </w:r>
      <w:r>
        <w:rPr>
          <w:rFonts w:hint="eastAsia"/>
          <w:color w:val="auto"/>
          <w:szCs w:val="24"/>
          <w:highlight w:val="none"/>
        </w:rPr>
        <w:t>二、评标方法</w:t>
      </w:r>
      <w:r>
        <w:rPr>
          <w:color w:val="auto"/>
          <w:highlight w:val="none"/>
        </w:rPr>
        <w:tab/>
      </w:r>
      <w:r>
        <w:rPr>
          <w:color w:val="auto"/>
          <w:highlight w:val="none"/>
        </w:rPr>
        <w:fldChar w:fldCharType="begin"/>
      </w:r>
      <w:r>
        <w:rPr>
          <w:color w:val="auto"/>
          <w:highlight w:val="none"/>
        </w:rPr>
        <w:instrText xml:space="preserve"> PAGEREF _Toc10918 </w:instrText>
      </w:r>
      <w:r>
        <w:rPr>
          <w:color w:val="auto"/>
          <w:highlight w:val="none"/>
        </w:rPr>
        <w:fldChar w:fldCharType="separate"/>
      </w:r>
      <w:r>
        <w:rPr>
          <w:color w:val="auto"/>
          <w:highlight w:val="none"/>
        </w:rPr>
        <w:t>18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_Toc12083 </w:instrText>
      </w:r>
      <w:r>
        <w:rPr>
          <w:rFonts w:eastAsiaTheme="majorEastAsia"/>
          <w:color w:val="auto"/>
          <w:highlight w:val="none"/>
        </w:rPr>
        <w:fldChar w:fldCharType="separate"/>
      </w:r>
      <w:r>
        <w:rPr>
          <w:rFonts w:hint="eastAsia" w:ascii="Times New Roman"/>
          <w:bCs/>
          <w:color w:val="auto"/>
          <w:highlight w:val="none"/>
        </w:rPr>
        <w:t>三</w:t>
      </w:r>
      <w:r>
        <w:rPr>
          <w:rFonts w:ascii="Times New Roman"/>
          <w:bCs/>
          <w:color w:val="auto"/>
          <w:highlight w:val="none"/>
        </w:rPr>
        <w:t>、评标标准</w:t>
      </w:r>
      <w:r>
        <w:rPr>
          <w:color w:val="auto"/>
          <w:highlight w:val="none"/>
        </w:rPr>
        <w:tab/>
      </w:r>
      <w:r>
        <w:rPr>
          <w:color w:val="auto"/>
          <w:highlight w:val="none"/>
        </w:rPr>
        <w:fldChar w:fldCharType="begin"/>
      </w:r>
      <w:r>
        <w:rPr>
          <w:color w:val="auto"/>
          <w:highlight w:val="none"/>
        </w:rPr>
        <w:instrText xml:space="preserve"> PAGEREF _Toc12083 </w:instrText>
      </w:r>
      <w:r>
        <w:rPr>
          <w:color w:val="auto"/>
          <w:highlight w:val="none"/>
        </w:rPr>
        <w:fldChar w:fldCharType="separate"/>
      </w:r>
      <w:r>
        <w:rPr>
          <w:color w:val="auto"/>
          <w:highlight w:val="none"/>
        </w:rPr>
        <w:t>19</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_Toc2369 </w:instrText>
      </w:r>
      <w:r>
        <w:rPr>
          <w:rFonts w:eastAsiaTheme="majorEastAsia"/>
          <w:color w:val="auto"/>
          <w:highlight w:val="none"/>
        </w:rPr>
        <w:fldChar w:fldCharType="separate"/>
      </w:r>
      <w:r>
        <w:rPr>
          <w:rFonts w:hint="eastAsia" w:ascii="Times New Roman"/>
          <w:bCs/>
          <w:color w:val="auto"/>
          <w:szCs w:val="24"/>
          <w:highlight w:val="none"/>
        </w:rPr>
        <w:t>四</w:t>
      </w:r>
      <w:r>
        <w:rPr>
          <w:rFonts w:ascii="Times New Roman"/>
          <w:bCs/>
          <w:color w:val="auto"/>
          <w:szCs w:val="24"/>
          <w:highlight w:val="none"/>
        </w:rPr>
        <w:t>、无效投标条款</w:t>
      </w:r>
      <w:r>
        <w:rPr>
          <w:color w:val="auto"/>
          <w:highlight w:val="none"/>
        </w:rPr>
        <w:tab/>
      </w:r>
      <w:r>
        <w:rPr>
          <w:color w:val="auto"/>
          <w:highlight w:val="none"/>
        </w:rPr>
        <w:fldChar w:fldCharType="begin"/>
      </w:r>
      <w:r>
        <w:rPr>
          <w:color w:val="auto"/>
          <w:highlight w:val="none"/>
        </w:rPr>
        <w:instrText xml:space="preserve"> PAGEREF _Toc2369 </w:instrText>
      </w:r>
      <w:r>
        <w:rPr>
          <w:color w:val="auto"/>
          <w:highlight w:val="none"/>
        </w:rPr>
        <w:fldChar w:fldCharType="separate"/>
      </w:r>
      <w:r>
        <w:rPr>
          <w:color w:val="auto"/>
          <w:highlight w:val="none"/>
        </w:rPr>
        <w:t>24</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_Toc6443 </w:instrText>
      </w:r>
      <w:r>
        <w:rPr>
          <w:rFonts w:eastAsiaTheme="majorEastAsia"/>
          <w:color w:val="auto"/>
          <w:highlight w:val="none"/>
        </w:rPr>
        <w:fldChar w:fldCharType="separate"/>
      </w:r>
      <w:r>
        <w:rPr>
          <w:rFonts w:hint="eastAsia" w:ascii="Times New Roman"/>
          <w:bCs/>
          <w:color w:val="auto"/>
          <w:szCs w:val="24"/>
          <w:highlight w:val="none"/>
        </w:rPr>
        <w:t>五</w:t>
      </w:r>
      <w:r>
        <w:rPr>
          <w:rFonts w:ascii="Times New Roman"/>
          <w:bCs/>
          <w:color w:val="auto"/>
          <w:szCs w:val="24"/>
          <w:highlight w:val="none"/>
        </w:rPr>
        <w:t>、废标条款</w:t>
      </w:r>
      <w:r>
        <w:rPr>
          <w:color w:val="auto"/>
          <w:highlight w:val="none"/>
        </w:rPr>
        <w:tab/>
      </w:r>
      <w:r>
        <w:rPr>
          <w:color w:val="auto"/>
          <w:highlight w:val="none"/>
        </w:rPr>
        <w:fldChar w:fldCharType="begin"/>
      </w:r>
      <w:r>
        <w:rPr>
          <w:color w:val="auto"/>
          <w:highlight w:val="none"/>
        </w:rPr>
        <w:instrText xml:space="preserve"> PAGEREF _Toc6443 </w:instrText>
      </w:r>
      <w:r>
        <w:rPr>
          <w:color w:val="auto"/>
          <w:highlight w:val="none"/>
        </w:rPr>
        <w:fldChar w:fldCharType="separate"/>
      </w:r>
      <w:r>
        <w:rPr>
          <w:color w:val="auto"/>
          <w:highlight w:val="none"/>
        </w:rPr>
        <w:t>24</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_Toc20381 </w:instrText>
      </w:r>
      <w:r>
        <w:rPr>
          <w:rFonts w:eastAsiaTheme="majorEastAsia"/>
          <w:color w:val="auto"/>
          <w:highlight w:val="none"/>
        </w:rPr>
        <w:fldChar w:fldCharType="separate"/>
      </w:r>
      <w:r>
        <w:rPr>
          <w:color w:val="auto"/>
          <w:highlight w:val="none"/>
        </w:rPr>
        <w:t>第五篇</w:t>
      </w:r>
      <w:r>
        <w:rPr>
          <w:rFonts w:hint="eastAsia"/>
          <w:color w:val="auto"/>
          <w:highlight w:val="none"/>
          <w:lang w:val="en-US" w:eastAsia="zh-CN"/>
        </w:rPr>
        <w:t xml:space="preserve"> </w:t>
      </w:r>
      <w:r>
        <w:rPr>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_Toc20381 </w:instrText>
      </w:r>
      <w:r>
        <w:rPr>
          <w:color w:val="auto"/>
          <w:highlight w:val="none"/>
        </w:rPr>
        <w:fldChar w:fldCharType="separate"/>
      </w:r>
      <w:r>
        <w:rPr>
          <w:color w:val="auto"/>
          <w:highlight w:val="none"/>
        </w:rPr>
        <w:t>25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_Toc30824 </w:instrText>
      </w:r>
      <w:r>
        <w:rPr>
          <w:rFonts w:eastAsiaTheme="majorEastAsia"/>
          <w:color w:val="auto"/>
          <w:highlight w:val="none"/>
        </w:rPr>
        <w:fldChar w:fldCharType="separate"/>
      </w:r>
      <w:r>
        <w:rPr>
          <w:rFonts w:hint="eastAsia" w:cs="宋体"/>
          <w:color w:val="auto"/>
          <w:highlight w:val="none"/>
        </w:rPr>
        <w:t>一、投标人</w:t>
      </w:r>
      <w:r>
        <w:rPr>
          <w:color w:val="auto"/>
          <w:highlight w:val="none"/>
        </w:rPr>
        <w:tab/>
      </w:r>
      <w:r>
        <w:rPr>
          <w:color w:val="auto"/>
          <w:highlight w:val="none"/>
        </w:rPr>
        <w:fldChar w:fldCharType="begin"/>
      </w:r>
      <w:r>
        <w:rPr>
          <w:color w:val="auto"/>
          <w:highlight w:val="none"/>
        </w:rPr>
        <w:instrText xml:space="preserve"> PAGEREF _Toc30824 </w:instrText>
      </w:r>
      <w:r>
        <w:rPr>
          <w:color w:val="auto"/>
          <w:highlight w:val="none"/>
        </w:rPr>
        <w:fldChar w:fldCharType="separate"/>
      </w:r>
      <w:r>
        <w:rPr>
          <w:color w:val="auto"/>
          <w:highlight w:val="none"/>
        </w:rPr>
        <w:t>25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_Toc23958 </w:instrText>
      </w:r>
      <w:r>
        <w:rPr>
          <w:rFonts w:eastAsiaTheme="majorEastAsia"/>
          <w:color w:val="auto"/>
          <w:highlight w:val="none"/>
        </w:rPr>
        <w:fldChar w:fldCharType="separate"/>
      </w:r>
      <w:r>
        <w:rPr>
          <w:rFonts w:hint="eastAsia" w:cs="宋体"/>
          <w:color w:val="auto"/>
          <w:highlight w:val="none"/>
        </w:rPr>
        <w:t>二、招标文件</w:t>
      </w:r>
      <w:r>
        <w:rPr>
          <w:color w:val="auto"/>
          <w:highlight w:val="none"/>
        </w:rPr>
        <w:tab/>
      </w:r>
      <w:r>
        <w:rPr>
          <w:color w:val="auto"/>
          <w:highlight w:val="none"/>
        </w:rPr>
        <w:fldChar w:fldCharType="begin"/>
      </w:r>
      <w:r>
        <w:rPr>
          <w:color w:val="auto"/>
          <w:highlight w:val="none"/>
        </w:rPr>
        <w:instrText xml:space="preserve"> PAGEREF _Toc23958 </w:instrText>
      </w:r>
      <w:r>
        <w:rPr>
          <w:color w:val="auto"/>
          <w:highlight w:val="none"/>
        </w:rPr>
        <w:fldChar w:fldCharType="separate"/>
      </w:r>
      <w:r>
        <w:rPr>
          <w:color w:val="auto"/>
          <w:highlight w:val="none"/>
        </w:rPr>
        <w:t>25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_Toc910 </w:instrText>
      </w:r>
      <w:r>
        <w:rPr>
          <w:rFonts w:eastAsiaTheme="majorEastAsia"/>
          <w:color w:val="auto"/>
          <w:highlight w:val="none"/>
        </w:rPr>
        <w:fldChar w:fldCharType="separate"/>
      </w:r>
      <w:r>
        <w:rPr>
          <w:rFonts w:hint="eastAsia" w:cs="宋体"/>
          <w:color w:val="auto"/>
          <w:highlight w:val="none"/>
        </w:rPr>
        <w:t>三、投标文件</w:t>
      </w:r>
      <w:r>
        <w:rPr>
          <w:color w:val="auto"/>
          <w:highlight w:val="none"/>
        </w:rPr>
        <w:tab/>
      </w:r>
      <w:r>
        <w:rPr>
          <w:color w:val="auto"/>
          <w:highlight w:val="none"/>
        </w:rPr>
        <w:fldChar w:fldCharType="begin"/>
      </w:r>
      <w:r>
        <w:rPr>
          <w:color w:val="auto"/>
          <w:highlight w:val="none"/>
        </w:rPr>
        <w:instrText xml:space="preserve"> PAGEREF _Toc910 </w:instrText>
      </w:r>
      <w:r>
        <w:rPr>
          <w:color w:val="auto"/>
          <w:highlight w:val="none"/>
        </w:rPr>
        <w:fldChar w:fldCharType="separate"/>
      </w:r>
      <w:r>
        <w:rPr>
          <w:color w:val="auto"/>
          <w:highlight w:val="none"/>
        </w:rPr>
        <w:t>25</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_Toc29838 </w:instrText>
      </w:r>
      <w:r>
        <w:rPr>
          <w:rFonts w:eastAsiaTheme="majorEastAsia"/>
          <w:color w:val="auto"/>
          <w:highlight w:val="none"/>
        </w:rPr>
        <w:fldChar w:fldCharType="separate"/>
      </w:r>
      <w:r>
        <w:rPr>
          <w:rFonts w:hint="eastAsia" w:cs="宋体"/>
          <w:color w:val="auto"/>
          <w:highlight w:val="none"/>
        </w:rPr>
        <w:t>四、开标</w:t>
      </w:r>
      <w:r>
        <w:rPr>
          <w:color w:val="auto"/>
          <w:highlight w:val="none"/>
        </w:rPr>
        <w:tab/>
      </w:r>
      <w:r>
        <w:rPr>
          <w:color w:val="auto"/>
          <w:highlight w:val="none"/>
        </w:rPr>
        <w:fldChar w:fldCharType="begin"/>
      </w:r>
      <w:r>
        <w:rPr>
          <w:color w:val="auto"/>
          <w:highlight w:val="none"/>
        </w:rPr>
        <w:instrText xml:space="preserve"> PAGEREF _Toc29838 </w:instrText>
      </w:r>
      <w:r>
        <w:rPr>
          <w:color w:val="auto"/>
          <w:highlight w:val="none"/>
        </w:rPr>
        <w:fldChar w:fldCharType="separate"/>
      </w:r>
      <w:r>
        <w:rPr>
          <w:color w:val="auto"/>
          <w:highlight w:val="none"/>
        </w:rPr>
        <w:t>27</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_Toc3713 </w:instrText>
      </w:r>
      <w:r>
        <w:rPr>
          <w:rFonts w:eastAsiaTheme="majorEastAsia"/>
          <w:color w:val="auto"/>
          <w:highlight w:val="none"/>
        </w:rPr>
        <w:fldChar w:fldCharType="separate"/>
      </w:r>
      <w:r>
        <w:rPr>
          <w:rFonts w:hint="eastAsia" w:cs="宋体"/>
          <w:color w:val="auto"/>
          <w:highlight w:val="none"/>
        </w:rPr>
        <w:t>五、评标</w:t>
      </w:r>
      <w:r>
        <w:rPr>
          <w:color w:val="auto"/>
          <w:highlight w:val="none"/>
        </w:rPr>
        <w:tab/>
      </w:r>
      <w:r>
        <w:rPr>
          <w:color w:val="auto"/>
          <w:highlight w:val="none"/>
        </w:rPr>
        <w:fldChar w:fldCharType="begin"/>
      </w:r>
      <w:r>
        <w:rPr>
          <w:color w:val="auto"/>
          <w:highlight w:val="none"/>
        </w:rPr>
        <w:instrText xml:space="preserve"> PAGEREF _Toc3713 </w:instrText>
      </w:r>
      <w:r>
        <w:rPr>
          <w:color w:val="auto"/>
          <w:highlight w:val="none"/>
        </w:rPr>
        <w:fldChar w:fldCharType="separate"/>
      </w:r>
      <w:r>
        <w:rPr>
          <w:color w:val="auto"/>
          <w:highlight w:val="none"/>
        </w:rPr>
        <w:t>28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_Toc30913 </w:instrText>
      </w:r>
      <w:r>
        <w:rPr>
          <w:rFonts w:eastAsiaTheme="majorEastAsia"/>
          <w:color w:val="auto"/>
          <w:highlight w:val="none"/>
        </w:rPr>
        <w:fldChar w:fldCharType="separate"/>
      </w:r>
      <w:r>
        <w:rPr>
          <w:rFonts w:hint="eastAsia" w:cs="宋体"/>
          <w:color w:val="auto"/>
          <w:highlight w:val="none"/>
        </w:rPr>
        <w:t>六、定标</w:t>
      </w:r>
      <w:r>
        <w:rPr>
          <w:color w:val="auto"/>
          <w:highlight w:val="none"/>
        </w:rPr>
        <w:tab/>
      </w:r>
      <w:r>
        <w:rPr>
          <w:color w:val="auto"/>
          <w:highlight w:val="none"/>
        </w:rPr>
        <w:fldChar w:fldCharType="begin"/>
      </w:r>
      <w:r>
        <w:rPr>
          <w:color w:val="auto"/>
          <w:highlight w:val="none"/>
        </w:rPr>
        <w:instrText xml:space="preserve"> PAGEREF _Toc30913 </w:instrText>
      </w:r>
      <w:r>
        <w:rPr>
          <w:color w:val="auto"/>
          <w:highlight w:val="none"/>
        </w:rPr>
        <w:fldChar w:fldCharType="separate"/>
      </w:r>
      <w:r>
        <w:rPr>
          <w:color w:val="auto"/>
          <w:highlight w:val="none"/>
        </w:rPr>
        <w:t>28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_Toc21738 </w:instrText>
      </w:r>
      <w:r>
        <w:rPr>
          <w:rFonts w:eastAsiaTheme="majorEastAsia"/>
          <w:color w:val="auto"/>
          <w:highlight w:val="none"/>
        </w:rPr>
        <w:fldChar w:fldCharType="separate"/>
      </w:r>
      <w:r>
        <w:rPr>
          <w:rFonts w:hint="eastAsia" w:cs="宋体"/>
          <w:color w:val="auto"/>
          <w:highlight w:val="none"/>
        </w:rPr>
        <w:t>七、中标通知书</w:t>
      </w:r>
      <w:r>
        <w:rPr>
          <w:color w:val="auto"/>
          <w:highlight w:val="none"/>
        </w:rPr>
        <w:tab/>
      </w:r>
      <w:r>
        <w:rPr>
          <w:color w:val="auto"/>
          <w:highlight w:val="none"/>
        </w:rPr>
        <w:fldChar w:fldCharType="begin"/>
      </w:r>
      <w:r>
        <w:rPr>
          <w:color w:val="auto"/>
          <w:highlight w:val="none"/>
        </w:rPr>
        <w:instrText xml:space="preserve"> PAGEREF _Toc21738 </w:instrText>
      </w:r>
      <w:r>
        <w:rPr>
          <w:color w:val="auto"/>
          <w:highlight w:val="none"/>
        </w:rPr>
        <w:fldChar w:fldCharType="separate"/>
      </w:r>
      <w:r>
        <w:rPr>
          <w:color w:val="auto"/>
          <w:highlight w:val="none"/>
        </w:rPr>
        <w:t>28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_Toc26143 </w:instrText>
      </w:r>
      <w:r>
        <w:rPr>
          <w:rFonts w:eastAsiaTheme="majorEastAsia"/>
          <w:color w:val="auto"/>
          <w:highlight w:val="none"/>
        </w:rPr>
        <w:fldChar w:fldCharType="separate"/>
      </w:r>
      <w:r>
        <w:rPr>
          <w:rFonts w:hint="eastAsia" w:cs="宋体"/>
          <w:color w:val="auto"/>
          <w:highlight w:val="none"/>
        </w:rPr>
        <w:t>八、关于质疑和投诉</w:t>
      </w:r>
      <w:r>
        <w:rPr>
          <w:color w:val="auto"/>
          <w:highlight w:val="none"/>
        </w:rPr>
        <w:tab/>
      </w:r>
      <w:r>
        <w:rPr>
          <w:color w:val="auto"/>
          <w:highlight w:val="none"/>
        </w:rPr>
        <w:fldChar w:fldCharType="begin"/>
      </w:r>
      <w:r>
        <w:rPr>
          <w:color w:val="auto"/>
          <w:highlight w:val="none"/>
        </w:rPr>
        <w:instrText xml:space="preserve"> PAGEREF _Toc26143 </w:instrText>
      </w:r>
      <w:r>
        <w:rPr>
          <w:color w:val="auto"/>
          <w:highlight w:val="none"/>
        </w:rPr>
        <w:fldChar w:fldCharType="separate"/>
      </w:r>
      <w:r>
        <w:rPr>
          <w:color w:val="auto"/>
          <w:highlight w:val="none"/>
        </w:rPr>
        <w:t>28</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_Toc7715 </w:instrText>
      </w:r>
      <w:r>
        <w:rPr>
          <w:rFonts w:eastAsiaTheme="majorEastAsia"/>
          <w:color w:val="auto"/>
          <w:highlight w:val="none"/>
        </w:rPr>
        <w:fldChar w:fldCharType="separate"/>
      </w:r>
      <w:r>
        <w:rPr>
          <w:rFonts w:hint="eastAsia"/>
          <w:color w:val="auto"/>
          <w:highlight w:val="none"/>
        </w:rPr>
        <w:t>九、采购代理服务费</w:t>
      </w:r>
      <w:r>
        <w:rPr>
          <w:color w:val="auto"/>
          <w:highlight w:val="none"/>
        </w:rPr>
        <w:tab/>
      </w:r>
      <w:r>
        <w:rPr>
          <w:color w:val="auto"/>
          <w:highlight w:val="none"/>
        </w:rPr>
        <w:fldChar w:fldCharType="begin"/>
      </w:r>
      <w:r>
        <w:rPr>
          <w:color w:val="auto"/>
          <w:highlight w:val="none"/>
        </w:rPr>
        <w:instrText xml:space="preserve"> PAGEREF _Toc7715 </w:instrText>
      </w:r>
      <w:r>
        <w:rPr>
          <w:color w:val="auto"/>
          <w:highlight w:val="none"/>
        </w:rPr>
        <w:fldChar w:fldCharType="separate"/>
      </w:r>
      <w:r>
        <w:rPr>
          <w:color w:val="auto"/>
          <w:highlight w:val="none"/>
        </w:rPr>
        <w:t>29</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_Toc17926 </w:instrText>
      </w:r>
      <w:r>
        <w:rPr>
          <w:rFonts w:eastAsiaTheme="majorEastAsia"/>
          <w:color w:val="auto"/>
          <w:highlight w:val="none"/>
        </w:rPr>
        <w:fldChar w:fldCharType="separate"/>
      </w:r>
      <w:r>
        <w:rPr>
          <w:rFonts w:hint="eastAsia"/>
          <w:color w:val="auto"/>
          <w:highlight w:val="none"/>
        </w:rPr>
        <w:t>十、交易服务费</w:t>
      </w:r>
      <w:r>
        <w:rPr>
          <w:color w:val="auto"/>
          <w:highlight w:val="none"/>
        </w:rPr>
        <w:tab/>
      </w:r>
      <w:r>
        <w:rPr>
          <w:color w:val="auto"/>
          <w:highlight w:val="none"/>
        </w:rPr>
        <w:fldChar w:fldCharType="begin"/>
      </w:r>
      <w:r>
        <w:rPr>
          <w:color w:val="auto"/>
          <w:highlight w:val="none"/>
        </w:rPr>
        <w:instrText xml:space="preserve"> PAGEREF _Toc17926 </w:instrText>
      </w:r>
      <w:r>
        <w:rPr>
          <w:color w:val="auto"/>
          <w:highlight w:val="none"/>
        </w:rPr>
        <w:fldChar w:fldCharType="separate"/>
      </w:r>
      <w:r>
        <w:rPr>
          <w:color w:val="auto"/>
          <w:highlight w:val="none"/>
        </w:rPr>
        <w:t>30</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_Toc20448 </w:instrText>
      </w:r>
      <w:r>
        <w:rPr>
          <w:rFonts w:eastAsiaTheme="majorEastAsia"/>
          <w:color w:val="auto"/>
          <w:highlight w:val="none"/>
        </w:rPr>
        <w:fldChar w:fldCharType="separate"/>
      </w:r>
      <w:r>
        <w:rPr>
          <w:rFonts w:hint="eastAsia" w:cs="宋体"/>
          <w:color w:val="auto"/>
          <w:highlight w:val="none"/>
        </w:rPr>
        <w:t>十一、签订合同</w:t>
      </w:r>
      <w:r>
        <w:rPr>
          <w:color w:val="auto"/>
          <w:highlight w:val="none"/>
        </w:rPr>
        <w:tab/>
      </w:r>
      <w:r>
        <w:rPr>
          <w:color w:val="auto"/>
          <w:highlight w:val="none"/>
        </w:rPr>
        <w:fldChar w:fldCharType="begin"/>
      </w:r>
      <w:r>
        <w:rPr>
          <w:color w:val="auto"/>
          <w:highlight w:val="none"/>
        </w:rPr>
        <w:instrText xml:space="preserve"> PAGEREF _Toc20448 </w:instrText>
      </w:r>
      <w:r>
        <w:rPr>
          <w:color w:val="auto"/>
          <w:highlight w:val="none"/>
        </w:rPr>
        <w:fldChar w:fldCharType="separate"/>
      </w:r>
      <w:r>
        <w:rPr>
          <w:color w:val="auto"/>
          <w:highlight w:val="none"/>
        </w:rPr>
        <w:t>30</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_Toc6403 </w:instrText>
      </w:r>
      <w:r>
        <w:rPr>
          <w:rFonts w:eastAsiaTheme="majorEastAsia"/>
          <w:color w:val="auto"/>
          <w:highlight w:val="none"/>
        </w:rPr>
        <w:fldChar w:fldCharType="separate"/>
      </w:r>
      <w:r>
        <w:rPr>
          <w:color w:val="auto"/>
          <w:highlight w:val="none"/>
        </w:rPr>
        <w:t>第六篇</w:t>
      </w:r>
      <w:r>
        <w:rPr>
          <w:rFonts w:hint="eastAsia"/>
          <w:color w:val="auto"/>
          <w:highlight w:val="none"/>
        </w:rPr>
        <w:t xml:space="preserve">  </w:t>
      </w:r>
      <w:r>
        <w:rPr>
          <w:color w:val="auto"/>
          <w:highlight w:val="none"/>
        </w:rPr>
        <w:t>合同主要条款和格式合同（样本）</w:t>
      </w:r>
      <w:r>
        <w:rPr>
          <w:color w:val="auto"/>
          <w:highlight w:val="none"/>
        </w:rPr>
        <w:tab/>
      </w:r>
      <w:r>
        <w:rPr>
          <w:color w:val="auto"/>
          <w:highlight w:val="none"/>
        </w:rPr>
        <w:fldChar w:fldCharType="begin"/>
      </w:r>
      <w:r>
        <w:rPr>
          <w:color w:val="auto"/>
          <w:highlight w:val="none"/>
        </w:rPr>
        <w:instrText xml:space="preserve"> PAGEREF _Toc6403 </w:instrText>
      </w:r>
      <w:r>
        <w:rPr>
          <w:color w:val="auto"/>
          <w:highlight w:val="none"/>
        </w:rPr>
        <w:fldChar w:fldCharType="separate"/>
      </w:r>
      <w:r>
        <w:rPr>
          <w:color w:val="auto"/>
          <w:highlight w:val="none"/>
        </w:rPr>
        <w:t>31</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_Toc30201 </w:instrText>
      </w:r>
      <w:r>
        <w:rPr>
          <w:rFonts w:eastAsiaTheme="majorEastAsia"/>
          <w:color w:val="auto"/>
          <w:highlight w:val="none"/>
        </w:rPr>
        <w:fldChar w:fldCharType="separate"/>
      </w:r>
      <w:r>
        <w:rPr>
          <w:rFonts w:ascii="Times New Roman"/>
          <w:bCs/>
          <w:color w:val="auto"/>
          <w:szCs w:val="24"/>
          <w:highlight w:val="none"/>
        </w:rPr>
        <w:t>一、合同主要条款</w:t>
      </w:r>
      <w:r>
        <w:rPr>
          <w:color w:val="auto"/>
          <w:highlight w:val="none"/>
        </w:rPr>
        <w:tab/>
      </w:r>
      <w:r>
        <w:rPr>
          <w:color w:val="auto"/>
          <w:highlight w:val="none"/>
        </w:rPr>
        <w:fldChar w:fldCharType="begin"/>
      </w:r>
      <w:r>
        <w:rPr>
          <w:color w:val="auto"/>
          <w:highlight w:val="none"/>
        </w:rPr>
        <w:instrText xml:space="preserve"> PAGEREF _Toc30201 </w:instrText>
      </w:r>
      <w:r>
        <w:rPr>
          <w:color w:val="auto"/>
          <w:highlight w:val="none"/>
        </w:rPr>
        <w:fldChar w:fldCharType="separate"/>
      </w:r>
      <w:r>
        <w:rPr>
          <w:color w:val="auto"/>
          <w:highlight w:val="none"/>
        </w:rPr>
        <w:t>31</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_Toc12457 </w:instrText>
      </w:r>
      <w:r>
        <w:rPr>
          <w:rFonts w:eastAsiaTheme="majorEastAsia"/>
          <w:color w:val="auto"/>
          <w:highlight w:val="none"/>
        </w:rPr>
        <w:fldChar w:fldCharType="separate"/>
      </w:r>
      <w:r>
        <w:rPr>
          <w:rFonts w:ascii="Times New Roman"/>
          <w:bCs/>
          <w:color w:val="auto"/>
          <w:szCs w:val="24"/>
          <w:highlight w:val="none"/>
        </w:rPr>
        <w:t>二、政府采购合同（格式）</w:t>
      </w:r>
      <w:r>
        <w:rPr>
          <w:color w:val="auto"/>
          <w:highlight w:val="none"/>
        </w:rPr>
        <w:tab/>
      </w:r>
      <w:r>
        <w:rPr>
          <w:color w:val="auto"/>
          <w:highlight w:val="none"/>
        </w:rPr>
        <w:fldChar w:fldCharType="begin"/>
      </w:r>
      <w:r>
        <w:rPr>
          <w:color w:val="auto"/>
          <w:highlight w:val="none"/>
        </w:rPr>
        <w:instrText xml:space="preserve"> PAGEREF _Toc12457 </w:instrText>
      </w:r>
      <w:r>
        <w:rPr>
          <w:color w:val="auto"/>
          <w:highlight w:val="none"/>
        </w:rPr>
        <w:fldChar w:fldCharType="separate"/>
      </w:r>
      <w:r>
        <w:rPr>
          <w:color w:val="auto"/>
          <w:highlight w:val="none"/>
        </w:rPr>
        <w:t>34</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tabs>
          <w:tab w:val="right" w:leader="dot" w:pos="9412"/>
          <w:tab w:val="clear" w:pos="1260"/>
          <w:tab w:val="clear" w:pos="1685"/>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_Toc23504 </w:instrText>
      </w:r>
      <w:r>
        <w:rPr>
          <w:rFonts w:eastAsiaTheme="majorEastAsia"/>
          <w:color w:val="auto"/>
          <w:highlight w:val="none"/>
        </w:rPr>
        <w:fldChar w:fldCharType="separate"/>
      </w:r>
      <w:r>
        <w:rPr>
          <w:color w:val="auto"/>
          <w:highlight w:val="none"/>
        </w:rPr>
        <w:t>第七篇</w:t>
      </w:r>
      <w:r>
        <w:rPr>
          <w:rFonts w:hint="eastAsia"/>
          <w:color w:val="auto"/>
          <w:highlight w:val="none"/>
        </w:rPr>
        <w:t xml:space="preserve"> </w:t>
      </w:r>
      <w:r>
        <w:rPr>
          <w:rFonts w:hint="eastAsia"/>
          <w:color w:val="auto"/>
          <w:highlight w:val="none"/>
          <w:lang w:val="en-US" w:eastAsia="zh-CN"/>
        </w:rPr>
        <w:t xml:space="preserve"> </w:t>
      </w:r>
      <w:r>
        <w:rPr>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_Toc23504 </w:instrText>
      </w:r>
      <w:r>
        <w:rPr>
          <w:color w:val="auto"/>
          <w:highlight w:val="none"/>
        </w:rPr>
        <w:fldChar w:fldCharType="separate"/>
      </w:r>
      <w:r>
        <w:rPr>
          <w:color w:val="auto"/>
          <w:highlight w:val="none"/>
        </w:rPr>
        <w:t>36</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_Toc6377 </w:instrText>
      </w:r>
      <w:r>
        <w:rPr>
          <w:rFonts w:eastAsiaTheme="majorEastAsia"/>
          <w:color w:val="auto"/>
          <w:highlight w:val="none"/>
        </w:rPr>
        <w:fldChar w:fldCharType="separate"/>
      </w:r>
      <w:r>
        <w:rPr>
          <w:rFonts w:ascii="Times New Roman"/>
          <w:bCs/>
          <w:color w:val="auto"/>
          <w:highlight w:val="none"/>
        </w:rPr>
        <w:t>一、经济文件</w:t>
      </w:r>
      <w:r>
        <w:rPr>
          <w:color w:val="auto"/>
          <w:highlight w:val="none"/>
        </w:rPr>
        <w:tab/>
      </w:r>
      <w:r>
        <w:rPr>
          <w:color w:val="auto"/>
          <w:highlight w:val="none"/>
        </w:rPr>
        <w:fldChar w:fldCharType="begin"/>
      </w:r>
      <w:r>
        <w:rPr>
          <w:color w:val="auto"/>
          <w:highlight w:val="none"/>
        </w:rPr>
        <w:instrText xml:space="preserve"> PAGEREF _Toc6377 </w:instrText>
      </w:r>
      <w:r>
        <w:rPr>
          <w:color w:val="auto"/>
          <w:highlight w:val="none"/>
        </w:rPr>
        <w:fldChar w:fldCharType="separate"/>
      </w:r>
      <w:r>
        <w:rPr>
          <w:color w:val="auto"/>
          <w:highlight w:val="none"/>
        </w:rPr>
        <w:t>37</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_Toc30054 </w:instrText>
      </w:r>
      <w:r>
        <w:rPr>
          <w:rFonts w:eastAsiaTheme="majorEastAsia"/>
          <w:color w:val="auto"/>
          <w:highlight w:val="none"/>
        </w:rPr>
        <w:fldChar w:fldCharType="separate"/>
      </w:r>
      <w:r>
        <w:rPr>
          <w:rFonts w:ascii="Times New Roman"/>
          <w:bCs/>
          <w:color w:val="auto"/>
          <w:highlight w:val="none"/>
        </w:rPr>
        <w:t>二、资格文件</w:t>
      </w:r>
      <w:r>
        <w:rPr>
          <w:color w:val="auto"/>
          <w:highlight w:val="none"/>
        </w:rPr>
        <w:tab/>
      </w:r>
      <w:r>
        <w:rPr>
          <w:color w:val="auto"/>
          <w:highlight w:val="none"/>
        </w:rPr>
        <w:fldChar w:fldCharType="begin"/>
      </w:r>
      <w:r>
        <w:rPr>
          <w:color w:val="auto"/>
          <w:highlight w:val="none"/>
        </w:rPr>
        <w:instrText xml:space="preserve"> PAGEREF _Toc30054 </w:instrText>
      </w:r>
      <w:r>
        <w:rPr>
          <w:color w:val="auto"/>
          <w:highlight w:val="none"/>
        </w:rPr>
        <w:fldChar w:fldCharType="separate"/>
      </w:r>
      <w:r>
        <w:rPr>
          <w:color w:val="auto"/>
          <w:highlight w:val="none"/>
        </w:rPr>
        <w:t>39</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_Toc30276 </w:instrText>
      </w:r>
      <w:r>
        <w:rPr>
          <w:rFonts w:eastAsiaTheme="majorEastAsia"/>
          <w:color w:val="auto"/>
          <w:highlight w:val="none"/>
        </w:rPr>
        <w:fldChar w:fldCharType="separate"/>
      </w:r>
      <w:r>
        <w:rPr>
          <w:rFonts w:ascii="Times New Roman"/>
          <w:bCs/>
          <w:color w:val="auto"/>
          <w:highlight w:val="none"/>
        </w:rPr>
        <w:t>三、商务文件</w:t>
      </w:r>
      <w:r>
        <w:rPr>
          <w:color w:val="auto"/>
          <w:highlight w:val="none"/>
        </w:rPr>
        <w:tab/>
      </w:r>
      <w:r>
        <w:rPr>
          <w:color w:val="auto"/>
          <w:highlight w:val="none"/>
        </w:rPr>
        <w:fldChar w:fldCharType="begin"/>
      </w:r>
      <w:r>
        <w:rPr>
          <w:color w:val="auto"/>
          <w:highlight w:val="none"/>
        </w:rPr>
        <w:instrText xml:space="preserve"> PAGEREF _Toc30276 </w:instrText>
      </w:r>
      <w:r>
        <w:rPr>
          <w:color w:val="auto"/>
          <w:highlight w:val="none"/>
        </w:rPr>
        <w:fldChar w:fldCharType="separate"/>
      </w:r>
      <w:r>
        <w:rPr>
          <w:color w:val="auto"/>
          <w:highlight w:val="none"/>
        </w:rPr>
        <w:t>44</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_Toc31640 </w:instrText>
      </w:r>
      <w:r>
        <w:rPr>
          <w:rFonts w:eastAsiaTheme="majorEastAsia"/>
          <w:color w:val="auto"/>
          <w:highlight w:val="none"/>
        </w:rPr>
        <w:fldChar w:fldCharType="separate"/>
      </w:r>
      <w:r>
        <w:rPr>
          <w:rFonts w:ascii="Times New Roman"/>
          <w:bCs/>
          <w:color w:val="auto"/>
          <w:highlight w:val="none"/>
        </w:rPr>
        <w:t>四、技术文件</w:t>
      </w:r>
      <w:r>
        <w:rPr>
          <w:color w:val="auto"/>
          <w:highlight w:val="none"/>
        </w:rPr>
        <w:tab/>
      </w:r>
      <w:r>
        <w:rPr>
          <w:color w:val="auto"/>
          <w:highlight w:val="none"/>
        </w:rPr>
        <w:fldChar w:fldCharType="begin"/>
      </w:r>
      <w:r>
        <w:rPr>
          <w:color w:val="auto"/>
          <w:highlight w:val="none"/>
        </w:rPr>
        <w:instrText xml:space="preserve"> PAGEREF _Toc31640 </w:instrText>
      </w:r>
      <w:r>
        <w:rPr>
          <w:color w:val="auto"/>
          <w:highlight w:val="none"/>
        </w:rPr>
        <w:fldChar w:fldCharType="separate"/>
      </w:r>
      <w:r>
        <w:rPr>
          <w:color w:val="auto"/>
          <w:highlight w:val="none"/>
        </w:rPr>
        <w:t>47</w:t>
      </w:r>
      <w:r>
        <w:rPr>
          <w:color w:val="auto"/>
          <w:highlight w:val="none"/>
        </w:rPr>
        <w:fldChar w:fldCharType="end"/>
      </w:r>
      <w:r>
        <w:rPr>
          <w:rFonts w:eastAsiaTheme="majorEastAsia"/>
          <w:color w:val="auto"/>
          <w:highlight w:val="none"/>
        </w:rPr>
        <w:fldChar w:fldCharType="end"/>
      </w:r>
    </w:p>
    <w:p>
      <w:pPr>
        <w:pStyle w:val="45"/>
        <w:keepNext w:val="0"/>
        <w:keepLines w:val="0"/>
        <w:pageBreakBefore w:val="0"/>
        <w:widowControl w:val="0"/>
        <w:tabs>
          <w:tab w:val="right" w:leader="dot" w:pos="9412"/>
          <w:tab w:val="clear" w:pos="8400"/>
        </w:tabs>
        <w:kinsoku/>
        <w:wordWrap/>
        <w:overflowPunct/>
        <w:topLinePunct w:val="0"/>
        <w:autoSpaceDE/>
        <w:autoSpaceDN/>
        <w:bidi w:val="0"/>
        <w:adjustRightInd/>
        <w:spacing w:line="288" w:lineRule="auto"/>
        <w:textAlignment w:val="auto"/>
        <w:rPr>
          <w:color w:val="auto"/>
          <w:highlight w:val="none"/>
        </w:rPr>
      </w:pPr>
      <w:r>
        <w:rPr>
          <w:rFonts w:eastAsiaTheme="majorEastAsia"/>
          <w:color w:val="auto"/>
          <w:highlight w:val="none"/>
        </w:rPr>
        <w:fldChar w:fldCharType="begin"/>
      </w:r>
      <w:r>
        <w:rPr>
          <w:rFonts w:eastAsiaTheme="majorEastAsia"/>
          <w:color w:val="auto"/>
          <w:highlight w:val="none"/>
        </w:rPr>
        <w:instrText xml:space="preserve"> HYPERLINK \l _Toc13059 </w:instrText>
      </w:r>
      <w:r>
        <w:rPr>
          <w:rFonts w:eastAsiaTheme="majorEastAsia"/>
          <w:color w:val="auto"/>
          <w:highlight w:val="none"/>
        </w:rPr>
        <w:fldChar w:fldCharType="separate"/>
      </w:r>
      <w:r>
        <w:rPr>
          <w:rFonts w:ascii="Times New Roman"/>
          <w:bCs/>
          <w:color w:val="auto"/>
          <w:highlight w:val="none"/>
        </w:rPr>
        <w:t>五、其他</w:t>
      </w:r>
      <w:r>
        <w:rPr>
          <w:color w:val="auto"/>
          <w:highlight w:val="none"/>
        </w:rPr>
        <w:tab/>
      </w:r>
      <w:r>
        <w:rPr>
          <w:color w:val="auto"/>
          <w:highlight w:val="none"/>
        </w:rPr>
        <w:fldChar w:fldCharType="begin"/>
      </w:r>
      <w:r>
        <w:rPr>
          <w:color w:val="auto"/>
          <w:highlight w:val="none"/>
        </w:rPr>
        <w:instrText xml:space="preserve"> PAGEREF _Toc13059 </w:instrText>
      </w:r>
      <w:r>
        <w:rPr>
          <w:color w:val="auto"/>
          <w:highlight w:val="none"/>
        </w:rPr>
        <w:fldChar w:fldCharType="separate"/>
      </w:r>
      <w:r>
        <w:rPr>
          <w:color w:val="auto"/>
          <w:highlight w:val="none"/>
        </w:rPr>
        <w:t>50</w:t>
      </w:r>
      <w:r>
        <w:rPr>
          <w:color w:val="auto"/>
          <w:highlight w:val="none"/>
        </w:rPr>
        <w:fldChar w:fldCharType="end"/>
      </w:r>
      <w:r>
        <w:rPr>
          <w:rFonts w:eastAsiaTheme="majorEastAsia"/>
          <w:color w:val="auto"/>
          <w:highlight w:val="none"/>
        </w:rPr>
        <w:fldChar w:fldCharType="end"/>
      </w:r>
    </w:p>
    <w:p>
      <w:pPr>
        <w:pStyle w:val="37"/>
        <w:keepNext w:val="0"/>
        <w:keepLines w:val="0"/>
        <w:pageBreakBefore w:val="0"/>
        <w:widowControl w:val="0"/>
        <w:kinsoku/>
        <w:wordWrap/>
        <w:overflowPunct/>
        <w:topLinePunct w:val="0"/>
        <w:autoSpaceDE/>
        <w:autoSpaceDN/>
        <w:bidi w:val="0"/>
        <w:adjustRightInd/>
        <w:spacing w:line="288" w:lineRule="auto"/>
        <w:ind w:firstLine="0" w:firstLineChars="0"/>
        <w:textAlignment w:val="auto"/>
        <w:rPr>
          <w:color w:val="auto"/>
          <w:sz w:val="32"/>
          <w:szCs w:val="32"/>
          <w:highlight w:val="none"/>
        </w:rPr>
        <w:sectPr>
          <w:headerReference r:id="rId3" w:type="default"/>
          <w:footerReference r:id="rId4" w:type="default"/>
          <w:pgSz w:w="11907" w:h="16840"/>
          <w:pgMar w:top="1134" w:right="1191" w:bottom="1134" w:left="1304" w:header="964" w:footer="992" w:gutter="0"/>
          <w:pgNumType w:start="1"/>
          <w:cols w:space="720" w:num="1"/>
          <w:docGrid w:linePitch="312" w:charSpace="0"/>
        </w:sectPr>
      </w:pPr>
      <w:r>
        <w:rPr>
          <w:rFonts w:eastAsiaTheme="majorEastAsia"/>
          <w:color w:val="auto"/>
          <w:highlight w:val="none"/>
        </w:rPr>
        <w:fldChar w:fldCharType="end"/>
      </w:r>
    </w:p>
    <w:p>
      <w:pPr>
        <w:pStyle w:val="3"/>
        <w:numPr>
          <w:ilvl w:val="0"/>
          <w:numId w:val="1"/>
        </w:numPr>
        <w:tabs>
          <w:tab w:val="left" w:pos="1530"/>
        </w:tabs>
        <w:spacing w:beforeLines="0" w:afterLines="0" w:line="360" w:lineRule="auto"/>
        <w:ind w:left="1531" w:hanging="1531"/>
        <w:rPr>
          <w:color w:val="auto"/>
          <w:highlight w:val="none"/>
        </w:rPr>
      </w:pPr>
      <w:bookmarkStart w:id="0" w:name="_Toc18862"/>
      <w:bookmarkStart w:id="1" w:name="_Toc22963"/>
      <w:bookmarkStart w:id="2" w:name="_Toc530573486"/>
      <w:bookmarkStart w:id="3" w:name="_Toc12655"/>
      <w:r>
        <w:rPr>
          <w:color w:val="auto"/>
          <w:highlight w:val="none"/>
        </w:rPr>
        <w:t>投标邀请书</w:t>
      </w:r>
      <w:bookmarkEnd w:id="0"/>
      <w:bookmarkEnd w:id="1"/>
      <w:bookmarkEnd w:id="2"/>
      <w:bookmarkEnd w:id="3"/>
    </w:p>
    <w:p>
      <w:pPr>
        <w:snapToGrid w:val="0"/>
        <w:spacing w:line="360" w:lineRule="auto"/>
        <w:ind w:firstLine="480" w:firstLineChars="200"/>
        <w:rPr>
          <w:color w:val="auto"/>
          <w:sz w:val="24"/>
          <w:szCs w:val="24"/>
          <w:highlight w:val="none"/>
        </w:rPr>
      </w:pPr>
      <w:r>
        <w:rPr>
          <w:color w:val="auto"/>
          <w:sz w:val="24"/>
          <w:szCs w:val="24"/>
          <w:highlight w:val="none"/>
        </w:rPr>
        <w:t>受</w:t>
      </w:r>
      <w:r>
        <w:rPr>
          <w:color w:val="auto"/>
          <w:sz w:val="24"/>
          <w:szCs w:val="24"/>
          <w:highlight w:val="none"/>
          <w:u w:val="single"/>
        </w:rPr>
        <w:t>重庆市城市管线综合管理事务中心</w:t>
      </w:r>
      <w:r>
        <w:rPr>
          <w:color w:val="auto"/>
          <w:sz w:val="24"/>
          <w:szCs w:val="24"/>
          <w:highlight w:val="none"/>
        </w:rPr>
        <w:t>的委托，对</w:t>
      </w:r>
      <w:r>
        <w:rPr>
          <w:color w:val="auto"/>
          <w:sz w:val="24"/>
          <w:szCs w:val="24"/>
          <w:highlight w:val="none"/>
          <w:u w:val="single"/>
        </w:rPr>
        <w:t>2021年全市48段黑臭水体和主城区56个湖库以及</w:t>
      </w:r>
      <w:r>
        <w:rPr>
          <w:rFonts w:hint="eastAsia"/>
          <w:color w:val="auto"/>
          <w:sz w:val="24"/>
          <w:szCs w:val="24"/>
          <w:highlight w:val="none"/>
          <w:u w:val="single"/>
        </w:rPr>
        <w:t>“</w:t>
      </w:r>
      <w:r>
        <w:rPr>
          <w:color w:val="auto"/>
          <w:sz w:val="24"/>
          <w:szCs w:val="24"/>
          <w:highlight w:val="none"/>
          <w:u w:val="single"/>
        </w:rPr>
        <w:t>清水绿岸</w:t>
      </w:r>
      <w:r>
        <w:rPr>
          <w:rFonts w:hint="eastAsia"/>
          <w:color w:val="auto"/>
          <w:sz w:val="24"/>
          <w:szCs w:val="24"/>
          <w:highlight w:val="none"/>
          <w:u w:val="single"/>
        </w:rPr>
        <w:t>”</w:t>
      </w:r>
      <w:r>
        <w:rPr>
          <w:color w:val="auto"/>
          <w:sz w:val="24"/>
          <w:szCs w:val="24"/>
          <w:highlight w:val="none"/>
          <w:u w:val="single"/>
        </w:rPr>
        <w:t>20条河流水质监督性监测</w:t>
      </w:r>
      <w:r>
        <w:rPr>
          <w:color w:val="auto"/>
          <w:sz w:val="24"/>
          <w:szCs w:val="24"/>
          <w:highlight w:val="none"/>
        </w:rPr>
        <w:t>服务采购项目进行公开招标，欢迎有资格的供应商参加投标。</w:t>
      </w:r>
    </w:p>
    <w:p>
      <w:pPr>
        <w:pStyle w:val="4"/>
        <w:ind w:firstLine="482" w:firstLineChars="200"/>
        <w:rPr>
          <w:rFonts w:ascii="Times New Roman"/>
          <w:b/>
          <w:bCs/>
          <w:color w:val="auto"/>
          <w:sz w:val="24"/>
          <w:szCs w:val="24"/>
          <w:highlight w:val="none"/>
        </w:rPr>
      </w:pPr>
      <w:bookmarkStart w:id="4" w:name="_Toc28394"/>
      <w:bookmarkStart w:id="5" w:name="_Toc16738"/>
      <w:bookmarkStart w:id="6" w:name="_Toc530573487"/>
      <w:bookmarkStart w:id="7" w:name="_Toc14878"/>
      <w:r>
        <w:rPr>
          <w:rFonts w:ascii="Times New Roman"/>
          <w:b/>
          <w:bCs/>
          <w:color w:val="auto"/>
          <w:sz w:val="24"/>
          <w:szCs w:val="24"/>
          <w:highlight w:val="none"/>
        </w:rPr>
        <w:t>一、招标项目内容</w:t>
      </w:r>
      <w:bookmarkEnd w:id="4"/>
      <w:bookmarkEnd w:id="5"/>
      <w:bookmarkEnd w:id="6"/>
      <w:bookmarkEnd w:id="7"/>
    </w:p>
    <w:tbl>
      <w:tblPr>
        <w:tblStyle w:val="5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117"/>
        <w:gridCol w:w="1276"/>
        <w:gridCol w:w="1559"/>
        <w:gridCol w:w="1276"/>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9" w:type="dxa"/>
            <w:vAlign w:val="center"/>
          </w:tcPr>
          <w:p>
            <w:pPr>
              <w:pStyle w:val="23"/>
              <w:spacing w:line="360" w:lineRule="auto"/>
              <w:ind w:left="0" w:firstLine="241" w:firstLineChars="100"/>
              <w:outlineLvl w:val="0"/>
              <w:rPr>
                <w:b/>
                <w:bCs/>
                <w:color w:val="auto"/>
                <w:sz w:val="24"/>
                <w:szCs w:val="24"/>
                <w:highlight w:val="none"/>
              </w:rPr>
            </w:pPr>
            <w:r>
              <w:rPr>
                <w:b/>
                <w:bCs/>
                <w:color w:val="auto"/>
                <w:sz w:val="24"/>
                <w:szCs w:val="24"/>
                <w:highlight w:val="none"/>
              </w:rPr>
              <w:t>序号</w:t>
            </w:r>
          </w:p>
        </w:tc>
        <w:tc>
          <w:tcPr>
            <w:tcW w:w="3117" w:type="dxa"/>
            <w:vAlign w:val="center"/>
          </w:tcPr>
          <w:p>
            <w:pPr>
              <w:pStyle w:val="23"/>
              <w:spacing w:line="360" w:lineRule="auto"/>
              <w:ind w:left="0"/>
              <w:jc w:val="center"/>
              <w:outlineLvl w:val="0"/>
              <w:rPr>
                <w:b/>
                <w:bCs/>
                <w:color w:val="auto"/>
                <w:sz w:val="24"/>
                <w:szCs w:val="24"/>
                <w:highlight w:val="none"/>
              </w:rPr>
            </w:pPr>
            <w:r>
              <w:rPr>
                <w:b/>
                <w:bCs/>
                <w:color w:val="auto"/>
                <w:sz w:val="24"/>
                <w:szCs w:val="24"/>
                <w:highlight w:val="none"/>
              </w:rPr>
              <w:t>项目名称</w:t>
            </w:r>
          </w:p>
        </w:tc>
        <w:tc>
          <w:tcPr>
            <w:tcW w:w="1276" w:type="dxa"/>
            <w:vAlign w:val="center"/>
          </w:tcPr>
          <w:p>
            <w:pPr>
              <w:pStyle w:val="23"/>
              <w:spacing w:line="360" w:lineRule="auto"/>
              <w:ind w:left="0"/>
              <w:jc w:val="center"/>
              <w:outlineLvl w:val="0"/>
              <w:rPr>
                <w:b/>
                <w:bCs/>
                <w:color w:val="auto"/>
                <w:sz w:val="24"/>
                <w:szCs w:val="24"/>
                <w:highlight w:val="none"/>
              </w:rPr>
            </w:pPr>
            <w:r>
              <w:rPr>
                <w:b/>
                <w:bCs/>
                <w:color w:val="auto"/>
                <w:sz w:val="24"/>
                <w:szCs w:val="24"/>
                <w:highlight w:val="none"/>
              </w:rPr>
              <w:t>采购预算</w:t>
            </w:r>
          </w:p>
          <w:p>
            <w:pPr>
              <w:pStyle w:val="23"/>
              <w:spacing w:line="360" w:lineRule="auto"/>
              <w:ind w:left="0"/>
              <w:jc w:val="center"/>
              <w:outlineLvl w:val="0"/>
              <w:rPr>
                <w:b/>
                <w:bCs/>
                <w:color w:val="auto"/>
                <w:sz w:val="24"/>
                <w:szCs w:val="24"/>
                <w:highlight w:val="none"/>
              </w:rPr>
            </w:pPr>
            <w:r>
              <w:rPr>
                <w:b/>
                <w:bCs/>
                <w:color w:val="auto"/>
                <w:sz w:val="24"/>
                <w:szCs w:val="24"/>
                <w:highlight w:val="none"/>
              </w:rPr>
              <w:t>（万元）</w:t>
            </w:r>
          </w:p>
        </w:tc>
        <w:tc>
          <w:tcPr>
            <w:tcW w:w="1559" w:type="dxa"/>
            <w:vAlign w:val="center"/>
          </w:tcPr>
          <w:p>
            <w:pPr>
              <w:pStyle w:val="23"/>
              <w:spacing w:line="360" w:lineRule="auto"/>
              <w:ind w:left="0"/>
              <w:jc w:val="center"/>
              <w:outlineLvl w:val="0"/>
              <w:rPr>
                <w:b/>
                <w:bCs/>
                <w:color w:val="auto"/>
                <w:sz w:val="24"/>
                <w:szCs w:val="24"/>
                <w:highlight w:val="none"/>
              </w:rPr>
            </w:pPr>
            <w:r>
              <w:rPr>
                <w:b/>
                <w:bCs/>
                <w:color w:val="auto"/>
                <w:sz w:val="24"/>
                <w:szCs w:val="24"/>
                <w:highlight w:val="none"/>
              </w:rPr>
              <w:t>投标保证金</w:t>
            </w:r>
          </w:p>
          <w:p>
            <w:pPr>
              <w:pStyle w:val="23"/>
              <w:spacing w:line="360" w:lineRule="auto"/>
              <w:ind w:left="0"/>
              <w:jc w:val="center"/>
              <w:outlineLvl w:val="0"/>
              <w:rPr>
                <w:b/>
                <w:bCs/>
                <w:color w:val="auto"/>
                <w:sz w:val="24"/>
                <w:szCs w:val="24"/>
                <w:highlight w:val="none"/>
              </w:rPr>
            </w:pPr>
            <w:r>
              <w:rPr>
                <w:b/>
                <w:bCs/>
                <w:color w:val="auto"/>
                <w:sz w:val="24"/>
                <w:szCs w:val="24"/>
                <w:highlight w:val="none"/>
              </w:rPr>
              <w:t>（万元）</w:t>
            </w:r>
          </w:p>
        </w:tc>
        <w:tc>
          <w:tcPr>
            <w:tcW w:w="1276" w:type="dxa"/>
            <w:vAlign w:val="center"/>
          </w:tcPr>
          <w:p>
            <w:pPr>
              <w:pStyle w:val="23"/>
              <w:spacing w:line="360" w:lineRule="auto"/>
              <w:ind w:left="0"/>
              <w:jc w:val="center"/>
              <w:outlineLvl w:val="0"/>
              <w:rPr>
                <w:b/>
                <w:bCs/>
                <w:color w:val="auto"/>
                <w:sz w:val="24"/>
                <w:szCs w:val="24"/>
                <w:highlight w:val="none"/>
              </w:rPr>
            </w:pPr>
            <w:r>
              <w:rPr>
                <w:b/>
                <w:bCs/>
                <w:color w:val="auto"/>
                <w:sz w:val="24"/>
                <w:szCs w:val="24"/>
                <w:highlight w:val="none"/>
              </w:rPr>
              <w:t>中标数量</w:t>
            </w:r>
          </w:p>
        </w:tc>
        <w:tc>
          <w:tcPr>
            <w:tcW w:w="994" w:type="dxa"/>
            <w:vAlign w:val="center"/>
          </w:tcPr>
          <w:p>
            <w:pPr>
              <w:pStyle w:val="23"/>
              <w:spacing w:line="360" w:lineRule="auto"/>
              <w:ind w:left="0"/>
              <w:jc w:val="center"/>
              <w:outlineLvl w:val="0"/>
              <w:rPr>
                <w:b/>
                <w:bCs/>
                <w:color w:val="auto"/>
                <w:sz w:val="24"/>
                <w:szCs w:val="24"/>
                <w:highlight w:val="none"/>
              </w:rPr>
            </w:pPr>
            <w:r>
              <w:rPr>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049" w:type="dxa"/>
            <w:vAlign w:val="center"/>
          </w:tcPr>
          <w:p>
            <w:pPr>
              <w:pStyle w:val="15"/>
              <w:spacing w:line="240" w:lineRule="auto"/>
              <w:ind w:firstLine="0"/>
              <w:jc w:val="center"/>
              <w:outlineLvl w:val="0"/>
              <w:rPr>
                <w:color w:val="auto"/>
                <w:highlight w:val="none"/>
              </w:rPr>
            </w:pPr>
            <w:r>
              <w:rPr>
                <w:color w:val="auto"/>
                <w:highlight w:val="none"/>
              </w:rPr>
              <w:t>1</w:t>
            </w:r>
          </w:p>
        </w:tc>
        <w:tc>
          <w:tcPr>
            <w:tcW w:w="3117" w:type="dxa"/>
            <w:vAlign w:val="center"/>
          </w:tcPr>
          <w:p>
            <w:pPr>
              <w:pStyle w:val="23"/>
              <w:spacing w:line="240" w:lineRule="auto"/>
              <w:ind w:left="0"/>
              <w:jc w:val="center"/>
              <w:outlineLvl w:val="0"/>
              <w:rPr>
                <w:color w:val="auto"/>
                <w:sz w:val="24"/>
                <w:szCs w:val="24"/>
                <w:highlight w:val="none"/>
              </w:rPr>
            </w:pPr>
            <w:r>
              <w:rPr>
                <w:color w:val="auto"/>
                <w:sz w:val="24"/>
                <w:szCs w:val="24"/>
                <w:highlight w:val="none"/>
              </w:rPr>
              <w:t>2021年全市48段黑臭水体和主城区56个湖库以及</w:t>
            </w:r>
            <w:r>
              <w:rPr>
                <w:rFonts w:hint="eastAsia"/>
                <w:color w:val="auto"/>
                <w:sz w:val="24"/>
                <w:szCs w:val="24"/>
                <w:highlight w:val="none"/>
              </w:rPr>
              <w:t>“</w:t>
            </w:r>
            <w:r>
              <w:rPr>
                <w:color w:val="auto"/>
                <w:sz w:val="24"/>
                <w:szCs w:val="24"/>
                <w:highlight w:val="none"/>
              </w:rPr>
              <w:t>清水绿岸</w:t>
            </w:r>
            <w:r>
              <w:rPr>
                <w:rFonts w:hint="eastAsia"/>
                <w:color w:val="auto"/>
                <w:sz w:val="24"/>
                <w:szCs w:val="24"/>
                <w:highlight w:val="none"/>
              </w:rPr>
              <w:t>”</w:t>
            </w:r>
            <w:r>
              <w:rPr>
                <w:color w:val="auto"/>
                <w:sz w:val="24"/>
                <w:szCs w:val="24"/>
                <w:highlight w:val="none"/>
              </w:rPr>
              <w:t>20条河流水质监督性监测</w:t>
            </w:r>
          </w:p>
        </w:tc>
        <w:tc>
          <w:tcPr>
            <w:tcW w:w="1276" w:type="dxa"/>
            <w:vAlign w:val="center"/>
          </w:tcPr>
          <w:p>
            <w:pPr>
              <w:pStyle w:val="23"/>
              <w:spacing w:line="240" w:lineRule="auto"/>
              <w:ind w:left="0"/>
              <w:jc w:val="center"/>
              <w:outlineLvl w:val="0"/>
              <w:rPr>
                <w:color w:val="auto"/>
                <w:sz w:val="24"/>
                <w:szCs w:val="24"/>
                <w:highlight w:val="none"/>
              </w:rPr>
            </w:pPr>
            <w:r>
              <w:rPr>
                <w:rFonts w:hint="eastAsia"/>
                <w:color w:val="auto"/>
                <w:sz w:val="24"/>
                <w:szCs w:val="24"/>
                <w:highlight w:val="none"/>
              </w:rPr>
              <w:t>800</w:t>
            </w:r>
          </w:p>
        </w:tc>
        <w:tc>
          <w:tcPr>
            <w:tcW w:w="1559" w:type="dxa"/>
            <w:vAlign w:val="center"/>
          </w:tcPr>
          <w:p>
            <w:pPr>
              <w:pStyle w:val="23"/>
              <w:spacing w:line="240" w:lineRule="auto"/>
              <w:ind w:left="0"/>
              <w:jc w:val="center"/>
              <w:outlineLvl w:val="0"/>
              <w:rPr>
                <w:color w:val="auto"/>
                <w:sz w:val="24"/>
                <w:szCs w:val="24"/>
                <w:highlight w:val="none"/>
              </w:rPr>
            </w:pPr>
            <w:r>
              <w:rPr>
                <w:rFonts w:hint="eastAsia"/>
                <w:color w:val="auto"/>
                <w:sz w:val="24"/>
                <w:szCs w:val="24"/>
                <w:highlight w:val="none"/>
              </w:rPr>
              <w:t>10</w:t>
            </w:r>
          </w:p>
        </w:tc>
        <w:tc>
          <w:tcPr>
            <w:tcW w:w="1276" w:type="dxa"/>
            <w:vAlign w:val="center"/>
          </w:tcPr>
          <w:p>
            <w:pPr>
              <w:pStyle w:val="23"/>
              <w:spacing w:line="240" w:lineRule="auto"/>
              <w:ind w:left="0"/>
              <w:jc w:val="center"/>
              <w:outlineLvl w:val="0"/>
              <w:rPr>
                <w:color w:val="auto"/>
                <w:sz w:val="24"/>
                <w:szCs w:val="24"/>
                <w:highlight w:val="none"/>
              </w:rPr>
            </w:pPr>
            <w:r>
              <w:rPr>
                <w:color w:val="auto"/>
                <w:sz w:val="24"/>
                <w:szCs w:val="24"/>
                <w:highlight w:val="none"/>
              </w:rPr>
              <w:t>1</w:t>
            </w:r>
          </w:p>
        </w:tc>
        <w:tc>
          <w:tcPr>
            <w:tcW w:w="994" w:type="dxa"/>
            <w:vAlign w:val="center"/>
          </w:tcPr>
          <w:p>
            <w:pPr>
              <w:pStyle w:val="15"/>
              <w:spacing w:before="381" w:after="190" w:line="240" w:lineRule="auto"/>
              <w:ind w:firstLine="480" w:firstLineChars="200"/>
              <w:outlineLvl w:val="0"/>
              <w:rPr>
                <w:rFonts w:eastAsia="黑体"/>
                <w:color w:val="auto"/>
                <w:highlight w:val="none"/>
              </w:rPr>
            </w:pPr>
          </w:p>
        </w:tc>
      </w:tr>
    </w:tbl>
    <w:p>
      <w:pPr>
        <w:pStyle w:val="4"/>
        <w:ind w:firstLine="482" w:firstLineChars="200"/>
        <w:rPr>
          <w:rFonts w:ascii="Times New Roman"/>
          <w:b/>
          <w:bCs/>
          <w:color w:val="auto"/>
          <w:sz w:val="24"/>
          <w:szCs w:val="24"/>
          <w:highlight w:val="none"/>
        </w:rPr>
      </w:pPr>
      <w:bookmarkStart w:id="8" w:name="_Toc20688"/>
      <w:bookmarkStart w:id="9" w:name="_Toc28341"/>
      <w:bookmarkStart w:id="10" w:name="_Toc29665"/>
      <w:bookmarkStart w:id="11" w:name="_Toc530573488"/>
      <w:r>
        <w:rPr>
          <w:rFonts w:ascii="Times New Roman"/>
          <w:b/>
          <w:bCs/>
          <w:color w:val="auto"/>
          <w:sz w:val="24"/>
          <w:szCs w:val="24"/>
          <w:highlight w:val="none"/>
        </w:rPr>
        <w:t>二、资金来源</w:t>
      </w:r>
      <w:bookmarkEnd w:id="8"/>
      <w:bookmarkEnd w:id="9"/>
      <w:bookmarkEnd w:id="10"/>
      <w:bookmarkEnd w:id="11"/>
    </w:p>
    <w:p>
      <w:pPr>
        <w:spacing w:line="360" w:lineRule="auto"/>
        <w:ind w:firstLine="480" w:firstLineChars="200"/>
        <w:rPr>
          <w:color w:val="auto"/>
          <w:sz w:val="24"/>
          <w:szCs w:val="24"/>
          <w:highlight w:val="none"/>
        </w:rPr>
      </w:pPr>
      <w:r>
        <w:rPr>
          <w:color w:val="auto"/>
          <w:sz w:val="24"/>
          <w:szCs w:val="24"/>
          <w:highlight w:val="none"/>
        </w:rPr>
        <w:t>财政资金。</w:t>
      </w:r>
    </w:p>
    <w:p>
      <w:pPr>
        <w:pStyle w:val="4"/>
        <w:ind w:firstLine="482" w:firstLineChars="200"/>
        <w:rPr>
          <w:rFonts w:ascii="Times New Roman"/>
          <w:b/>
          <w:bCs/>
          <w:color w:val="auto"/>
          <w:sz w:val="24"/>
          <w:szCs w:val="24"/>
          <w:highlight w:val="none"/>
        </w:rPr>
      </w:pPr>
      <w:bookmarkStart w:id="12" w:name="_Toc22673"/>
      <w:bookmarkStart w:id="13" w:name="_Toc19544"/>
      <w:bookmarkStart w:id="14" w:name="_Toc14386"/>
      <w:bookmarkStart w:id="15" w:name="_Toc530573489"/>
      <w:r>
        <w:rPr>
          <w:rFonts w:ascii="Times New Roman"/>
          <w:b/>
          <w:bCs/>
          <w:color w:val="auto"/>
          <w:sz w:val="24"/>
          <w:szCs w:val="24"/>
          <w:highlight w:val="none"/>
        </w:rPr>
        <w:t>三、投标人资格要求</w:t>
      </w:r>
      <w:bookmarkEnd w:id="12"/>
      <w:bookmarkEnd w:id="13"/>
      <w:bookmarkEnd w:id="14"/>
      <w:bookmarkEnd w:id="15"/>
    </w:p>
    <w:p>
      <w:pPr>
        <w:spacing w:before="1" w:line="360" w:lineRule="auto"/>
        <w:ind w:left="113" w:firstLine="480" w:firstLineChars="200"/>
        <w:rPr>
          <w:color w:val="auto"/>
          <w:kern w:val="0"/>
          <w:sz w:val="24"/>
          <w:szCs w:val="24"/>
          <w:highlight w:val="none"/>
        </w:rPr>
      </w:pPr>
      <w:r>
        <w:rPr>
          <w:color w:val="auto"/>
          <w:kern w:val="0"/>
          <w:sz w:val="24"/>
          <w:szCs w:val="24"/>
          <w:highlight w:val="none"/>
        </w:rPr>
        <w:t>合格投标人应首先符合政府采购法第二十二条规定的基本条件，同时符合根据该项目特点设置的特定资格条件。</w:t>
      </w:r>
    </w:p>
    <w:p>
      <w:pPr>
        <w:spacing w:line="360" w:lineRule="auto"/>
        <w:ind w:firstLine="560" w:firstLineChars="200"/>
        <w:rPr>
          <w:color w:val="auto"/>
          <w:highlight w:val="none"/>
        </w:rPr>
      </w:pPr>
      <w:r>
        <w:rPr>
          <w:color w:val="auto"/>
          <w:highlight w:val="none"/>
        </w:rPr>
        <w:t>（一）基本资格条件</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1、具有独立承担民事责任的能力；</w:t>
      </w:r>
    </w:p>
    <w:p>
      <w:pPr>
        <w:spacing w:before="1" w:line="360" w:lineRule="auto"/>
        <w:ind w:left="113" w:firstLine="480" w:firstLineChars="200"/>
        <w:rPr>
          <w:color w:val="auto"/>
          <w:kern w:val="0"/>
          <w:sz w:val="24"/>
          <w:szCs w:val="24"/>
          <w:highlight w:val="none"/>
        </w:rPr>
      </w:pPr>
      <w:r>
        <w:rPr>
          <w:color w:val="auto"/>
          <w:kern w:val="0"/>
          <w:sz w:val="24"/>
          <w:szCs w:val="24"/>
          <w:highlight w:val="none"/>
        </w:rPr>
        <w:t>2、具有良好的商业信誉和健全的财务会计制度；</w:t>
      </w:r>
    </w:p>
    <w:p>
      <w:pPr>
        <w:spacing w:before="1" w:line="360" w:lineRule="auto"/>
        <w:ind w:left="113" w:firstLine="480" w:firstLineChars="200"/>
        <w:rPr>
          <w:color w:val="auto"/>
          <w:kern w:val="0"/>
          <w:sz w:val="24"/>
          <w:szCs w:val="24"/>
          <w:highlight w:val="none"/>
        </w:rPr>
      </w:pPr>
      <w:r>
        <w:rPr>
          <w:color w:val="auto"/>
          <w:kern w:val="0"/>
          <w:sz w:val="24"/>
          <w:szCs w:val="24"/>
          <w:highlight w:val="none"/>
        </w:rPr>
        <w:t>3、具有履行合同所必需的设备和专业技术能力；</w:t>
      </w:r>
    </w:p>
    <w:p>
      <w:pPr>
        <w:spacing w:before="1" w:line="360" w:lineRule="auto"/>
        <w:ind w:left="113" w:firstLine="480" w:firstLineChars="200"/>
        <w:rPr>
          <w:color w:val="auto"/>
          <w:kern w:val="0"/>
          <w:sz w:val="24"/>
          <w:szCs w:val="24"/>
          <w:highlight w:val="none"/>
        </w:rPr>
      </w:pPr>
      <w:r>
        <w:rPr>
          <w:color w:val="auto"/>
          <w:kern w:val="0"/>
          <w:sz w:val="24"/>
          <w:szCs w:val="24"/>
          <w:highlight w:val="none"/>
        </w:rPr>
        <w:t>4、有依法缴纳税收和社会保障资金的良好记录；</w:t>
      </w:r>
    </w:p>
    <w:p>
      <w:pPr>
        <w:spacing w:before="1" w:line="360" w:lineRule="auto"/>
        <w:ind w:left="113" w:firstLine="480" w:firstLineChars="200"/>
        <w:rPr>
          <w:color w:val="auto"/>
          <w:kern w:val="0"/>
          <w:sz w:val="24"/>
          <w:szCs w:val="24"/>
          <w:highlight w:val="none"/>
        </w:rPr>
      </w:pPr>
      <w:r>
        <w:rPr>
          <w:color w:val="auto"/>
          <w:kern w:val="0"/>
          <w:sz w:val="24"/>
          <w:szCs w:val="24"/>
          <w:highlight w:val="none"/>
        </w:rPr>
        <w:t>5、参加政府采购活动前三年内，在经营活动中没有重大违法记录；</w:t>
      </w:r>
    </w:p>
    <w:p>
      <w:pPr>
        <w:spacing w:before="1" w:line="360" w:lineRule="auto"/>
        <w:ind w:left="113" w:firstLine="480" w:firstLineChars="200"/>
        <w:rPr>
          <w:color w:val="auto"/>
          <w:kern w:val="0"/>
          <w:sz w:val="24"/>
          <w:szCs w:val="24"/>
          <w:highlight w:val="none"/>
        </w:rPr>
      </w:pPr>
      <w:r>
        <w:rPr>
          <w:color w:val="auto"/>
          <w:kern w:val="0"/>
          <w:sz w:val="24"/>
          <w:szCs w:val="24"/>
          <w:highlight w:val="none"/>
        </w:rPr>
        <w:t>6、法律、行政法规规定的其他条件；</w:t>
      </w:r>
    </w:p>
    <w:p>
      <w:pPr>
        <w:spacing w:line="360" w:lineRule="auto"/>
        <w:ind w:firstLine="560" w:firstLineChars="200"/>
        <w:rPr>
          <w:color w:val="auto"/>
          <w:highlight w:val="none"/>
        </w:rPr>
      </w:pPr>
      <w:r>
        <w:rPr>
          <w:color w:val="auto"/>
          <w:highlight w:val="none"/>
        </w:rPr>
        <w:t>（二）特定资质</w:t>
      </w:r>
    </w:p>
    <w:p>
      <w:pPr>
        <w:spacing w:line="360" w:lineRule="auto"/>
        <w:ind w:firstLine="480" w:firstLineChars="200"/>
        <w:rPr>
          <w:color w:val="auto"/>
          <w:sz w:val="24"/>
          <w:szCs w:val="24"/>
          <w:highlight w:val="none"/>
        </w:rPr>
      </w:pPr>
      <w:r>
        <w:rPr>
          <w:color w:val="auto"/>
          <w:sz w:val="24"/>
          <w:szCs w:val="24"/>
          <w:highlight w:val="none"/>
        </w:rPr>
        <w:t>本次招标允许联合体投标，</w:t>
      </w:r>
      <w:r>
        <w:rPr>
          <w:rFonts w:hint="eastAsia" w:cs="宋体"/>
          <w:color w:val="auto"/>
          <w:sz w:val="24"/>
          <w:szCs w:val="24"/>
          <w:highlight w:val="none"/>
        </w:rPr>
        <w:t>投标单位组成不超过两家，</w:t>
      </w:r>
      <w:r>
        <w:rPr>
          <w:color w:val="auto"/>
          <w:sz w:val="24"/>
          <w:szCs w:val="24"/>
          <w:highlight w:val="none"/>
        </w:rPr>
        <w:t>投标人需具备以下资质：</w:t>
      </w:r>
    </w:p>
    <w:p>
      <w:pPr>
        <w:spacing w:line="360" w:lineRule="auto"/>
        <w:ind w:firstLine="480" w:firstLineChars="200"/>
        <w:rPr>
          <w:color w:val="auto"/>
          <w:sz w:val="24"/>
          <w:szCs w:val="24"/>
          <w:highlight w:val="none"/>
        </w:rPr>
      </w:pPr>
      <w:r>
        <w:rPr>
          <w:color w:val="auto"/>
          <w:sz w:val="24"/>
          <w:szCs w:val="24"/>
          <w:highlight w:val="none"/>
        </w:rPr>
        <w:t>1、具备建设行政主管部门颁发的工程设计综合甲级资质</w:t>
      </w:r>
      <w:r>
        <w:rPr>
          <w:rFonts w:hint="eastAsia"/>
          <w:color w:val="auto"/>
          <w:sz w:val="24"/>
          <w:szCs w:val="24"/>
          <w:highlight w:val="none"/>
          <w:lang w:eastAsia="zh-CN"/>
        </w:rPr>
        <w:t>或建筑行业甲级或水利行业甲级或市政行业甲级或市政行业（燃气工程、轨道交通工程除外）甲级</w:t>
      </w:r>
      <w:r>
        <w:rPr>
          <w:color w:val="auto"/>
          <w:sz w:val="24"/>
          <w:szCs w:val="24"/>
          <w:highlight w:val="none"/>
        </w:rPr>
        <w:t>，并在人员、设备、资金等方面具有相应的设计、研究能力。</w:t>
      </w:r>
    </w:p>
    <w:p>
      <w:pPr>
        <w:spacing w:line="360" w:lineRule="auto"/>
        <w:ind w:firstLine="480" w:firstLineChars="200"/>
        <w:rPr>
          <w:color w:val="auto"/>
          <w:sz w:val="24"/>
          <w:szCs w:val="24"/>
          <w:highlight w:val="none"/>
        </w:rPr>
      </w:pPr>
      <w:r>
        <w:rPr>
          <w:color w:val="auto"/>
          <w:sz w:val="24"/>
          <w:szCs w:val="24"/>
          <w:highlight w:val="none"/>
        </w:rPr>
        <w:t>2、投标人须为依法设立的检验检测机构，且获得国家或省级质监部门颁发的实验室资质认定CMA资格，并具有CMA认证的《城市黑臭水体整治工作指南》要求的4项检测指标（透明度、溶解氧、氧化还原电位和氨氮）及具有CMA认证的《地表水环境质量标准（GB3838-2002）》、《地表水环境质量评价办法》（环办[2011]22号文附件）中用于评价地表水环境质量的21项指标的检验检测能力。</w:t>
      </w:r>
    </w:p>
    <w:p>
      <w:pPr>
        <w:spacing w:line="360" w:lineRule="auto"/>
        <w:ind w:firstLine="480" w:firstLineChars="200"/>
        <w:rPr>
          <w:color w:val="auto"/>
          <w:sz w:val="24"/>
          <w:szCs w:val="24"/>
          <w:highlight w:val="none"/>
        </w:rPr>
      </w:pPr>
      <w:r>
        <w:rPr>
          <w:color w:val="auto"/>
          <w:sz w:val="24"/>
          <w:szCs w:val="24"/>
          <w:highlight w:val="none"/>
        </w:rPr>
        <w:t>注：投标人需提供特定资格条件要求的相关证明资料复印件，原件备查。</w:t>
      </w:r>
    </w:p>
    <w:p>
      <w:pPr>
        <w:pStyle w:val="4"/>
        <w:ind w:firstLine="482" w:firstLineChars="200"/>
        <w:rPr>
          <w:rFonts w:ascii="Times New Roman"/>
          <w:b/>
          <w:bCs/>
          <w:color w:val="auto"/>
          <w:sz w:val="24"/>
          <w:szCs w:val="24"/>
          <w:highlight w:val="none"/>
        </w:rPr>
      </w:pPr>
      <w:bookmarkStart w:id="16" w:name="_Toc4125"/>
      <w:bookmarkStart w:id="17" w:name="_Toc20100"/>
      <w:bookmarkStart w:id="18" w:name="_Toc26997"/>
      <w:bookmarkStart w:id="19" w:name="_Toc530573490"/>
      <w:r>
        <w:rPr>
          <w:rFonts w:ascii="Times New Roman"/>
          <w:b/>
          <w:bCs/>
          <w:color w:val="auto"/>
          <w:sz w:val="24"/>
          <w:szCs w:val="24"/>
          <w:highlight w:val="none"/>
        </w:rPr>
        <w:t>四、投标、开标有关说明</w:t>
      </w:r>
      <w:bookmarkEnd w:id="16"/>
      <w:bookmarkEnd w:id="17"/>
      <w:bookmarkEnd w:id="18"/>
      <w:bookmarkEnd w:id="19"/>
    </w:p>
    <w:p>
      <w:pPr>
        <w:spacing w:line="360" w:lineRule="auto"/>
        <w:ind w:firstLine="480" w:firstLineChars="200"/>
        <w:rPr>
          <w:color w:val="auto"/>
          <w:sz w:val="24"/>
          <w:szCs w:val="24"/>
          <w:highlight w:val="none"/>
        </w:rPr>
      </w:pPr>
      <w:bookmarkStart w:id="20" w:name="_Toc530573491"/>
      <w:bookmarkStart w:id="21" w:name="_Toc15786"/>
      <w:bookmarkStart w:id="22" w:name="_Toc548"/>
      <w:r>
        <w:rPr>
          <w:rFonts w:hint="eastAsia"/>
          <w:color w:val="auto"/>
          <w:sz w:val="24"/>
          <w:szCs w:val="24"/>
          <w:highlight w:val="none"/>
        </w:rPr>
        <w:t>（一）根据《重庆市财政局关于印发〈重庆市政府采购供应商注册及诚信管理暂行办法〉的通知》（渝财采购〔2015〕45号）规定，投标人应按要求进行注册，通过重庆市政府采购网（https://www.ccgp-chongqing.gov.cn），登记加入“重庆市政府采购供应商库”。</w:t>
      </w:r>
    </w:p>
    <w:p>
      <w:pPr>
        <w:spacing w:line="360" w:lineRule="auto"/>
        <w:ind w:firstLine="480" w:firstLineChars="200"/>
        <w:rPr>
          <w:color w:val="auto"/>
          <w:sz w:val="24"/>
          <w:szCs w:val="24"/>
          <w:highlight w:val="none"/>
        </w:rPr>
      </w:pPr>
      <w:r>
        <w:rPr>
          <w:rFonts w:hint="eastAsia"/>
          <w:color w:val="auto"/>
          <w:sz w:val="24"/>
          <w:szCs w:val="24"/>
          <w:highlight w:val="none"/>
        </w:rPr>
        <w:t>（二）凡有意参加投标的投标人，请到采购代理机构领取或《重庆市政府采购网》网上下载本项目招标文件以及图纸、补遗文件等开标前公布的所有项目资料，无论投标人下载与否，均视为已知晓所有招标内容。</w:t>
      </w:r>
    </w:p>
    <w:p>
      <w:pPr>
        <w:spacing w:line="360" w:lineRule="auto"/>
        <w:ind w:firstLine="480" w:firstLineChars="200"/>
        <w:rPr>
          <w:color w:val="auto"/>
          <w:sz w:val="24"/>
          <w:szCs w:val="24"/>
          <w:highlight w:val="none"/>
        </w:rPr>
      </w:pPr>
      <w:r>
        <w:rPr>
          <w:rFonts w:hint="eastAsia"/>
          <w:color w:val="auto"/>
          <w:sz w:val="24"/>
          <w:szCs w:val="24"/>
          <w:highlight w:val="none"/>
        </w:rPr>
        <w:t>（三）招标文件公告期限：自招标公告发布之日（2021年</w:t>
      </w:r>
      <w:r>
        <w:rPr>
          <w:rFonts w:hint="eastAsia"/>
          <w:color w:val="auto"/>
          <w:sz w:val="24"/>
          <w:szCs w:val="24"/>
          <w:highlight w:val="none"/>
          <w:lang w:val="en-US" w:eastAsia="zh-CN"/>
        </w:rPr>
        <w:t>1</w:t>
      </w:r>
      <w:r>
        <w:rPr>
          <w:rFonts w:hint="eastAsia"/>
          <w:color w:val="auto"/>
          <w:sz w:val="24"/>
          <w:szCs w:val="24"/>
          <w:highlight w:val="none"/>
        </w:rPr>
        <w:t xml:space="preserve"> 月</w:t>
      </w:r>
      <w:r>
        <w:rPr>
          <w:rFonts w:hint="eastAsia"/>
          <w:color w:val="auto"/>
          <w:sz w:val="24"/>
          <w:szCs w:val="24"/>
          <w:highlight w:val="none"/>
          <w:lang w:val="en-US" w:eastAsia="zh-CN"/>
        </w:rPr>
        <w:t>20</w:t>
      </w:r>
      <w:r>
        <w:rPr>
          <w:rFonts w:hint="eastAsia"/>
          <w:color w:val="auto"/>
          <w:sz w:val="24"/>
          <w:szCs w:val="24"/>
          <w:highlight w:val="none"/>
        </w:rPr>
        <w:t xml:space="preserve"> 日）起五个工作日。</w:t>
      </w:r>
    </w:p>
    <w:p>
      <w:pPr>
        <w:spacing w:line="360" w:lineRule="auto"/>
        <w:ind w:firstLine="480" w:firstLineChars="200"/>
        <w:rPr>
          <w:color w:val="auto"/>
          <w:sz w:val="24"/>
          <w:szCs w:val="24"/>
          <w:highlight w:val="none"/>
        </w:rPr>
      </w:pPr>
      <w:r>
        <w:rPr>
          <w:rFonts w:hint="eastAsia"/>
          <w:color w:val="auto"/>
          <w:sz w:val="24"/>
          <w:szCs w:val="24"/>
          <w:highlight w:val="none"/>
        </w:rPr>
        <w:t>（四）报名及招标文件发售</w:t>
      </w:r>
    </w:p>
    <w:p>
      <w:pPr>
        <w:spacing w:line="360" w:lineRule="auto"/>
        <w:ind w:firstLine="480" w:firstLineChars="200"/>
        <w:rPr>
          <w:color w:val="auto"/>
          <w:sz w:val="24"/>
          <w:szCs w:val="24"/>
          <w:highlight w:val="none"/>
        </w:rPr>
      </w:pPr>
      <w:r>
        <w:rPr>
          <w:rFonts w:hint="eastAsia"/>
          <w:color w:val="auto"/>
          <w:sz w:val="24"/>
          <w:szCs w:val="24"/>
          <w:highlight w:val="none"/>
        </w:rPr>
        <w:t>1.报名和招标文件发售期：2021年</w:t>
      </w:r>
      <w:r>
        <w:rPr>
          <w:rFonts w:hint="eastAsia"/>
          <w:color w:val="auto"/>
          <w:sz w:val="24"/>
          <w:szCs w:val="24"/>
          <w:highlight w:val="none"/>
          <w:lang w:val="en-US" w:eastAsia="zh-CN"/>
        </w:rPr>
        <w:t>1</w:t>
      </w:r>
      <w:r>
        <w:rPr>
          <w:rFonts w:hint="eastAsia"/>
          <w:color w:val="auto"/>
          <w:sz w:val="24"/>
          <w:szCs w:val="24"/>
          <w:highlight w:val="none"/>
        </w:rPr>
        <w:t xml:space="preserve"> 月</w:t>
      </w:r>
      <w:r>
        <w:rPr>
          <w:rFonts w:hint="eastAsia"/>
          <w:color w:val="auto"/>
          <w:sz w:val="24"/>
          <w:szCs w:val="24"/>
          <w:highlight w:val="none"/>
          <w:lang w:val="en-US" w:eastAsia="zh-CN"/>
        </w:rPr>
        <w:t>20</w:t>
      </w:r>
      <w:r>
        <w:rPr>
          <w:rFonts w:hint="eastAsia"/>
          <w:color w:val="auto"/>
          <w:sz w:val="24"/>
          <w:szCs w:val="24"/>
          <w:highlight w:val="none"/>
        </w:rPr>
        <w:t>日-2021年</w:t>
      </w:r>
      <w:r>
        <w:rPr>
          <w:rFonts w:hint="eastAsia"/>
          <w:color w:val="auto"/>
          <w:sz w:val="24"/>
          <w:szCs w:val="24"/>
          <w:highlight w:val="none"/>
          <w:lang w:val="en-US" w:eastAsia="zh-CN"/>
        </w:rPr>
        <w:t>1</w:t>
      </w:r>
      <w:r>
        <w:rPr>
          <w:rFonts w:hint="eastAsia"/>
          <w:color w:val="auto"/>
          <w:sz w:val="24"/>
          <w:szCs w:val="24"/>
          <w:highlight w:val="none"/>
        </w:rPr>
        <w:t xml:space="preserve">  月 </w:t>
      </w:r>
      <w:r>
        <w:rPr>
          <w:rFonts w:hint="eastAsia"/>
          <w:color w:val="auto"/>
          <w:sz w:val="24"/>
          <w:szCs w:val="24"/>
          <w:highlight w:val="none"/>
          <w:lang w:val="en-US" w:eastAsia="zh-CN"/>
        </w:rPr>
        <w:t>27</w:t>
      </w:r>
      <w:r>
        <w:rPr>
          <w:rFonts w:hint="eastAsia"/>
          <w:color w:val="auto"/>
          <w:sz w:val="24"/>
          <w:szCs w:val="24"/>
          <w:highlight w:val="none"/>
        </w:rPr>
        <w:t>日17:00（工作时间）</w:t>
      </w:r>
    </w:p>
    <w:p>
      <w:pPr>
        <w:spacing w:line="360" w:lineRule="auto"/>
        <w:ind w:firstLine="480" w:firstLineChars="200"/>
        <w:rPr>
          <w:color w:val="auto"/>
          <w:sz w:val="24"/>
          <w:szCs w:val="24"/>
          <w:highlight w:val="none"/>
        </w:rPr>
      </w:pPr>
      <w:r>
        <w:rPr>
          <w:rFonts w:hint="eastAsia"/>
          <w:color w:val="auto"/>
          <w:sz w:val="24"/>
          <w:szCs w:val="24"/>
          <w:highlight w:val="none"/>
        </w:rPr>
        <w:t>2.招标文件售价：人民币</w:t>
      </w:r>
      <w:r>
        <w:rPr>
          <w:color w:val="auto"/>
          <w:sz w:val="24"/>
          <w:szCs w:val="24"/>
          <w:highlight w:val="none"/>
        </w:rPr>
        <w:t>300</w:t>
      </w:r>
      <w:r>
        <w:rPr>
          <w:rFonts w:hint="eastAsia"/>
          <w:color w:val="auto"/>
          <w:sz w:val="24"/>
          <w:szCs w:val="24"/>
          <w:highlight w:val="none"/>
        </w:rPr>
        <w:t>元/份（售后不退）</w:t>
      </w:r>
    </w:p>
    <w:p>
      <w:pPr>
        <w:spacing w:line="360" w:lineRule="auto"/>
        <w:ind w:firstLine="480" w:firstLineChars="200"/>
        <w:rPr>
          <w:color w:val="auto"/>
          <w:sz w:val="24"/>
          <w:szCs w:val="24"/>
          <w:highlight w:val="none"/>
        </w:rPr>
      </w:pPr>
      <w:r>
        <w:rPr>
          <w:rFonts w:hint="eastAsia"/>
          <w:color w:val="auto"/>
          <w:sz w:val="24"/>
          <w:szCs w:val="24"/>
          <w:highlight w:val="none"/>
        </w:rPr>
        <w:t>2.1招标文件购买方式</w:t>
      </w:r>
    </w:p>
    <w:p>
      <w:pPr>
        <w:spacing w:line="360" w:lineRule="auto"/>
        <w:ind w:firstLine="480" w:firstLineChars="200"/>
        <w:rPr>
          <w:color w:val="auto"/>
          <w:sz w:val="24"/>
          <w:szCs w:val="24"/>
          <w:highlight w:val="none"/>
        </w:rPr>
      </w:pPr>
      <w:r>
        <w:rPr>
          <w:rFonts w:hint="eastAsia"/>
          <w:color w:val="auto"/>
          <w:sz w:val="24"/>
          <w:szCs w:val="24"/>
          <w:highlight w:val="none"/>
        </w:rPr>
        <w:t>2.1.1现金购买</w:t>
      </w:r>
    </w:p>
    <w:p>
      <w:pPr>
        <w:snapToGrid w:val="0"/>
        <w:spacing w:line="360" w:lineRule="auto"/>
        <w:ind w:firstLine="480" w:firstLineChars="200"/>
        <w:rPr>
          <w:color w:val="auto"/>
          <w:sz w:val="24"/>
          <w:szCs w:val="24"/>
          <w:highlight w:val="none"/>
        </w:rPr>
      </w:pPr>
      <w:r>
        <w:rPr>
          <w:rFonts w:hint="eastAsia"/>
          <w:color w:val="auto"/>
          <w:sz w:val="24"/>
          <w:szCs w:val="24"/>
          <w:highlight w:val="none"/>
        </w:rPr>
        <w:t>在招标文件发售期内，投标人到重庆市渝北黄山大道中段70号两江星界2幢5楼，递交《采购文件发售登记表》（加盖投标人公章）并购买招标文件。</w:t>
      </w:r>
    </w:p>
    <w:p>
      <w:pPr>
        <w:spacing w:line="360" w:lineRule="auto"/>
        <w:ind w:firstLine="480" w:firstLineChars="200"/>
        <w:rPr>
          <w:color w:val="auto"/>
          <w:sz w:val="24"/>
          <w:szCs w:val="24"/>
          <w:highlight w:val="none"/>
        </w:rPr>
      </w:pPr>
      <w:r>
        <w:rPr>
          <w:rFonts w:hint="eastAsia"/>
          <w:color w:val="auto"/>
          <w:sz w:val="24"/>
          <w:szCs w:val="24"/>
          <w:highlight w:val="none"/>
        </w:rPr>
        <w:t>2.1.2汇款购买</w:t>
      </w:r>
    </w:p>
    <w:p>
      <w:pPr>
        <w:spacing w:line="360" w:lineRule="auto"/>
        <w:ind w:firstLine="480" w:firstLineChars="200"/>
        <w:rPr>
          <w:color w:val="auto"/>
          <w:sz w:val="24"/>
          <w:szCs w:val="24"/>
          <w:highlight w:val="none"/>
        </w:rPr>
      </w:pPr>
      <w:r>
        <w:rPr>
          <w:rFonts w:hint="eastAsia"/>
          <w:color w:val="auto"/>
          <w:sz w:val="24"/>
          <w:szCs w:val="24"/>
          <w:highlight w:val="none"/>
        </w:rPr>
        <w:t>在招标文件发售期内，投标人将招标文件购买费用汇至以下账户内进行购买。通过汇款方式购买招标文件的，将招标文件汇款凭证（注明采购计划编号）、《采购文件发售登记表》（加盖投标人公章）扫描后发送至31562265</w:t>
      </w:r>
      <w:r>
        <w:rPr>
          <w:color w:val="auto"/>
          <w:sz w:val="24"/>
          <w:szCs w:val="24"/>
          <w:highlight w:val="none"/>
        </w:rPr>
        <w:t>@</w:t>
      </w:r>
      <w:r>
        <w:rPr>
          <w:rFonts w:hint="eastAsia"/>
          <w:color w:val="auto"/>
          <w:sz w:val="24"/>
          <w:szCs w:val="24"/>
          <w:highlight w:val="none"/>
        </w:rPr>
        <w:t>qq</w:t>
      </w:r>
      <w:r>
        <w:rPr>
          <w:color w:val="auto"/>
          <w:sz w:val="24"/>
          <w:szCs w:val="24"/>
          <w:highlight w:val="none"/>
        </w:rPr>
        <w:t>.com</w:t>
      </w:r>
      <w:r>
        <w:rPr>
          <w:rFonts w:hint="eastAsia"/>
          <w:color w:val="auto"/>
          <w:sz w:val="24"/>
          <w:szCs w:val="24"/>
          <w:highlight w:val="none"/>
        </w:rPr>
        <w:t>（邮箱）。</w:t>
      </w:r>
    </w:p>
    <w:p>
      <w:pPr>
        <w:spacing w:line="360" w:lineRule="auto"/>
        <w:ind w:firstLine="480" w:firstLineChars="200"/>
        <w:rPr>
          <w:color w:val="auto"/>
          <w:sz w:val="24"/>
          <w:szCs w:val="24"/>
          <w:highlight w:val="none"/>
        </w:rPr>
      </w:pPr>
      <w:r>
        <w:rPr>
          <w:rFonts w:hint="eastAsia"/>
          <w:color w:val="auto"/>
          <w:sz w:val="24"/>
          <w:szCs w:val="24"/>
          <w:highlight w:val="none"/>
        </w:rPr>
        <w:t>户  名：重庆精聚达建筑工程咨询有限公司</w:t>
      </w:r>
    </w:p>
    <w:p>
      <w:pPr>
        <w:spacing w:line="360" w:lineRule="auto"/>
        <w:ind w:firstLine="480" w:firstLineChars="200"/>
        <w:rPr>
          <w:color w:val="auto"/>
          <w:sz w:val="24"/>
          <w:szCs w:val="24"/>
          <w:highlight w:val="none"/>
        </w:rPr>
      </w:pPr>
      <w:r>
        <w:rPr>
          <w:rFonts w:hint="eastAsia"/>
          <w:color w:val="auto"/>
          <w:sz w:val="24"/>
          <w:szCs w:val="24"/>
          <w:highlight w:val="none"/>
        </w:rPr>
        <w:t>开户行：建行重庆观音桥支行新牌坊分理处</w:t>
      </w:r>
    </w:p>
    <w:p>
      <w:pPr>
        <w:spacing w:line="360" w:lineRule="auto"/>
        <w:ind w:firstLine="480" w:firstLineChars="200"/>
        <w:rPr>
          <w:color w:val="auto"/>
          <w:sz w:val="24"/>
          <w:szCs w:val="24"/>
          <w:highlight w:val="none"/>
        </w:rPr>
      </w:pPr>
      <w:r>
        <w:rPr>
          <w:rFonts w:hint="eastAsia"/>
          <w:color w:val="auto"/>
          <w:sz w:val="24"/>
          <w:szCs w:val="24"/>
          <w:highlight w:val="none"/>
        </w:rPr>
        <w:t>账  号：5000 1060  0450 5250 07143</w:t>
      </w:r>
      <w:r>
        <w:rPr>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t>3.在报名和招标文件发售期内购买了招标文件的投标人，其报名才被接收。</w:t>
      </w:r>
    </w:p>
    <w:p>
      <w:pPr>
        <w:spacing w:line="360" w:lineRule="auto"/>
        <w:ind w:firstLine="480" w:firstLineChars="200"/>
        <w:rPr>
          <w:color w:val="auto"/>
          <w:sz w:val="24"/>
          <w:szCs w:val="24"/>
          <w:highlight w:val="none"/>
        </w:rPr>
      </w:pPr>
      <w:r>
        <w:rPr>
          <w:rFonts w:hint="eastAsia"/>
          <w:color w:val="auto"/>
          <w:sz w:val="24"/>
          <w:szCs w:val="24"/>
          <w:highlight w:val="none"/>
        </w:rPr>
        <w:t>4.对微型企业的优惠</w:t>
      </w:r>
    </w:p>
    <w:p>
      <w:pPr>
        <w:spacing w:line="360" w:lineRule="auto"/>
        <w:ind w:firstLine="480" w:firstLineChars="200"/>
        <w:rPr>
          <w:color w:val="auto"/>
          <w:sz w:val="24"/>
          <w:szCs w:val="24"/>
          <w:highlight w:val="none"/>
        </w:rPr>
      </w:pPr>
      <w:r>
        <w:rPr>
          <w:rFonts w:hint="eastAsia"/>
          <w:color w:val="auto"/>
          <w:sz w:val="24"/>
          <w:szCs w:val="24"/>
          <w:highlight w:val="none"/>
        </w:rPr>
        <w:t>4.1投标人为微型企业且所投标产品为微型企业生产的免收招标文件购买费。</w:t>
      </w:r>
    </w:p>
    <w:p>
      <w:pPr>
        <w:spacing w:line="360" w:lineRule="auto"/>
        <w:ind w:firstLine="480" w:firstLineChars="200"/>
        <w:rPr>
          <w:color w:val="auto"/>
          <w:sz w:val="24"/>
          <w:szCs w:val="24"/>
          <w:highlight w:val="none"/>
        </w:rPr>
      </w:pPr>
      <w:r>
        <w:rPr>
          <w:rFonts w:hint="eastAsia"/>
          <w:color w:val="auto"/>
          <w:sz w:val="24"/>
          <w:szCs w:val="24"/>
          <w:highlight w:val="none"/>
        </w:rPr>
        <w:t>4.2微型企业须在报名时提供中小微企业声明函（详见第七篇 四、其他“中小微企业声明函”）（微型企业的认定标准详见工信部联企业〔2011〕300号）。</w:t>
      </w:r>
    </w:p>
    <w:p>
      <w:pPr>
        <w:spacing w:line="360" w:lineRule="auto"/>
        <w:ind w:firstLine="480" w:firstLineChars="200"/>
        <w:rPr>
          <w:color w:val="auto"/>
          <w:sz w:val="24"/>
          <w:szCs w:val="24"/>
          <w:highlight w:val="none"/>
        </w:rPr>
      </w:pPr>
      <w:r>
        <w:rPr>
          <w:rFonts w:hint="eastAsia"/>
          <w:color w:val="auto"/>
          <w:sz w:val="24"/>
          <w:szCs w:val="24"/>
          <w:highlight w:val="none"/>
        </w:rPr>
        <w:t>4.3若微型企业所投产品不是微型企业生产，又未按照本招标文件规定进行报名和购买招标文件的，其报名和投标无效。</w:t>
      </w:r>
    </w:p>
    <w:p>
      <w:pPr>
        <w:spacing w:line="360" w:lineRule="auto"/>
        <w:ind w:firstLine="480" w:firstLineChars="200"/>
        <w:rPr>
          <w:color w:val="auto"/>
          <w:sz w:val="24"/>
          <w:szCs w:val="24"/>
          <w:highlight w:val="none"/>
        </w:rPr>
      </w:pPr>
      <w:r>
        <w:rPr>
          <w:rFonts w:hint="eastAsia"/>
          <w:color w:val="auto"/>
          <w:sz w:val="24"/>
          <w:szCs w:val="24"/>
          <w:highlight w:val="none"/>
        </w:rPr>
        <w:t>（五）投标地点：重庆市公共资源交易中心（重庆市渝北区青枫北路6号，见当日大厅指示牌）</w:t>
      </w:r>
    </w:p>
    <w:p>
      <w:pPr>
        <w:spacing w:line="360" w:lineRule="auto"/>
        <w:ind w:firstLine="480" w:firstLineChars="200"/>
        <w:rPr>
          <w:color w:val="auto"/>
          <w:sz w:val="24"/>
          <w:szCs w:val="24"/>
          <w:highlight w:val="none"/>
        </w:rPr>
      </w:pPr>
      <w:r>
        <w:rPr>
          <w:rFonts w:hint="eastAsia"/>
          <w:color w:val="auto"/>
          <w:sz w:val="24"/>
          <w:szCs w:val="24"/>
          <w:highlight w:val="none"/>
        </w:rPr>
        <w:t>（六）投标文件递交时间：2021年</w:t>
      </w:r>
      <w:r>
        <w:rPr>
          <w:rFonts w:hint="eastAsia"/>
          <w:color w:val="auto"/>
          <w:sz w:val="24"/>
          <w:szCs w:val="24"/>
          <w:highlight w:val="none"/>
          <w:lang w:val="en-US" w:eastAsia="zh-CN"/>
        </w:rPr>
        <w:t>2</w:t>
      </w:r>
      <w:r>
        <w:rPr>
          <w:rFonts w:hint="eastAsia"/>
          <w:color w:val="auto"/>
          <w:sz w:val="24"/>
          <w:szCs w:val="24"/>
          <w:highlight w:val="none"/>
        </w:rPr>
        <w:t xml:space="preserve"> 月</w:t>
      </w:r>
      <w:r>
        <w:rPr>
          <w:rFonts w:hint="eastAsia"/>
          <w:color w:val="auto"/>
          <w:sz w:val="24"/>
          <w:szCs w:val="24"/>
          <w:highlight w:val="none"/>
          <w:lang w:val="en-US" w:eastAsia="zh-CN"/>
        </w:rPr>
        <w:t>9</w:t>
      </w:r>
      <w:r>
        <w:rPr>
          <w:rFonts w:hint="eastAsia"/>
          <w:color w:val="auto"/>
          <w:sz w:val="24"/>
          <w:szCs w:val="24"/>
          <w:highlight w:val="none"/>
        </w:rPr>
        <w:t xml:space="preserve"> 日北京时间 </w:t>
      </w:r>
      <w:r>
        <w:rPr>
          <w:rFonts w:hint="eastAsia"/>
          <w:color w:val="auto"/>
          <w:sz w:val="24"/>
          <w:szCs w:val="24"/>
          <w:highlight w:val="none"/>
          <w:lang w:val="en-US" w:eastAsia="zh-CN"/>
        </w:rPr>
        <w:t>13:30</w:t>
      </w:r>
      <w:r>
        <w:rPr>
          <w:rFonts w:hint="eastAsia"/>
          <w:color w:val="auto"/>
          <w:sz w:val="24"/>
          <w:szCs w:val="24"/>
          <w:highlight w:val="none"/>
        </w:rPr>
        <w:t xml:space="preserve"> 时至 </w:t>
      </w:r>
      <w:r>
        <w:rPr>
          <w:rFonts w:hint="eastAsia"/>
          <w:color w:val="auto"/>
          <w:sz w:val="24"/>
          <w:szCs w:val="24"/>
          <w:highlight w:val="none"/>
          <w:lang w:val="en-US" w:eastAsia="zh-CN"/>
        </w:rPr>
        <w:t>14:00</w:t>
      </w:r>
      <w:r>
        <w:rPr>
          <w:rFonts w:hint="eastAsia"/>
          <w:color w:val="auto"/>
          <w:sz w:val="24"/>
          <w:szCs w:val="24"/>
          <w:highlight w:val="none"/>
        </w:rPr>
        <w:t xml:space="preserve">   时  </w:t>
      </w:r>
    </w:p>
    <w:p>
      <w:pPr>
        <w:spacing w:line="360" w:lineRule="auto"/>
        <w:ind w:firstLine="480" w:firstLineChars="200"/>
        <w:rPr>
          <w:color w:val="auto"/>
          <w:sz w:val="24"/>
          <w:szCs w:val="24"/>
          <w:highlight w:val="none"/>
        </w:rPr>
      </w:pPr>
      <w:r>
        <w:rPr>
          <w:rFonts w:hint="eastAsia"/>
          <w:color w:val="auto"/>
          <w:sz w:val="24"/>
          <w:szCs w:val="24"/>
          <w:highlight w:val="none"/>
        </w:rPr>
        <w:t xml:space="preserve">（七）开标时间：2021年  </w:t>
      </w:r>
      <w:r>
        <w:rPr>
          <w:rFonts w:hint="eastAsia"/>
          <w:color w:val="auto"/>
          <w:sz w:val="24"/>
          <w:szCs w:val="24"/>
          <w:highlight w:val="none"/>
          <w:lang w:val="en-US" w:eastAsia="zh-CN"/>
        </w:rPr>
        <w:t>2</w:t>
      </w:r>
      <w:r>
        <w:rPr>
          <w:rFonts w:hint="eastAsia"/>
          <w:color w:val="auto"/>
          <w:sz w:val="24"/>
          <w:szCs w:val="24"/>
          <w:highlight w:val="none"/>
        </w:rPr>
        <w:t xml:space="preserve">月 </w:t>
      </w:r>
      <w:r>
        <w:rPr>
          <w:rFonts w:hint="eastAsia"/>
          <w:color w:val="auto"/>
          <w:sz w:val="24"/>
          <w:szCs w:val="24"/>
          <w:highlight w:val="none"/>
          <w:lang w:val="en-US" w:eastAsia="zh-CN"/>
        </w:rPr>
        <w:t>9</w:t>
      </w:r>
      <w:r>
        <w:rPr>
          <w:rFonts w:hint="eastAsia"/>
          <w:color w:val="auto"/>
          <w:sz w:val="24"/>
          <w:szCs w:val="24"/>
          <w:highlight w:val="none"/>
        </w:rPr>
        <w:t xml:space="preserve"> 日北京时间 </w:t>
      </w:r>
      <w:r>
        <w:rPr>
          <w:rFonts w:hint="eastAsia"/>
          <w:color w:val="auto"/>
          <w:sz w:val="24"/>
          <w:szCs w:val="24"/>
          <w:highlight w:val="none"/>
          <w:lang w:val="en-US" w:eastAsia="zh-CN"/>
        </w:rPr>
        <w:t>14:00</w:t>
      </w:r>
      <w:r>
        <w:rPr>
          <w:rFonts w:hint="eastAsia"/>
          <w:color w:val="auto"/>
          <w:sz w:val="24"/>
          <w:szCs w:val="24"/>
          <w:highlight w:val="none"/>
        </w:rPr>
        <w:t xml:space="preserve"> 时</w:t>
      </w:r>
    </w:p>
    <w:p>
      <w:pPr>
        <w:spacing w:line="360" w:lineRule="auto"/>
        <w:ind w:firstLine="480" w:firstLineChars="200"/>
        <w:rPr>
          <w:color w:val="auto"/>
          <w:sz w:val="24"/>
          <w:szCs w:val="24"/>
          <w:highlight w:val="none"/>
        </w:rPr>
      </w:pPr>
      <w:r>
        <w:rPr>
          <w:rFonts w:hint="eastAsia"/>
          <w:color w:val="auto"/>
          <w:sz w:val="24"/>
          <w:szCs w:val="24"/>
          <w:highlight w:val="none"/>
        </w:rPr>
        <w:t>（八）开标地点：同投标地点</w:t>
      </w:r>
    </w:p>
    <w:p>
      <w:pPr>
        <w:pStyle w:val="4"/>
        <w:ind w:firstLine="482" w:firstLineChars="200"/>
        <w:rPr>
          <w:rFonts w:ascii="Times New Roman"/>
          <w:b/>
          <w:bCs/>
          <w:color w:val="auto"/>
          <w:sz w:val="24"/>
          <w:szCs w:val="24"/>
          <w:highlight w:val="none"/>
        </w:rPr>
      </w:pPr>
      <w:bookmarkStart w:id="23" w:name="_Toc27854"/>
      <w:r>
        <w:rPr>
          <w:rFonts w:ascii="Times New Roman"/>
          <w:b/>
          <w:bCs/>
          <w:color w:val="auto"/>
          <w:sz w:val="24"/>
          <w:szCs w:val="24"/>
          <w:highlight w:val="none"/>
        </w:rPr>
        <w:t>五、投标保证金</w:t>
      </w:r>
      <w:bookmarkEnd w:id="20"/>
      <w:bookmarkEnd w:id="21"/>
      <w:bookmarkEnd w:id="22"/>
      <w:bookmarkEnd w:id="23"/>
    </w:p>
    <w:p>
      <w:pPr>
        <w:spacing w:line="360" w:lineRule="auto"/>
        <w:ind w:firstLine="480" w:firstLineChars="200"/>
        <w:rPr>
          <w:color w:val="auto"/>
          <w:sz w:val="24"/>
          <w:szCs w:val="24"/>
          <w:highlight w:val="none"/>
        </w:rPr>
      </w:pPr>
      <w:r>
        <w:rPr>
          <w:rFonts w:hint="eastAsia"/>
          <w:color w:val="auto"/>
          <w:sz w:val="24"/>
          <w:szCs w:val="24"/>
          <w:highlight w:val="none"/>
        </w:rPr>
        <w:t>1.投标人应当按照《重庆市政府采购集中交易监督管理暂行规定》、重庆市公共资源交易中心《关于投标单位银行基本账户登记的说明》和《重庆市公共资源交易中心关于开展公共资源交易市场主体信息登记工作的公告》的要求进行基本账户登记工作。</w:t>
      </w:r>
    </w:p>
    <w:p>
      <w:pPr>
        <w:spacing w:line="360" w:lineRule="auto"/>
        <w:ind w:firstLine="480" w:firstLineChars="200"/>
        <w:rPr>
          <w:color w:val="auto"/>
          <w:sz w:val="24"/>
          <w:szCs w:val="24"/>
          <w:highlight w:val="none"/>
        </w:rPr>
      </w:pPr>
      <w:r>
        <w:rPr>
          <w:rFonts w:hint="eastAsia"/>
          <w:color w:val="auto"/>
          <w:sz w:val="24"/>
          <w:szCs w:val="24"/>
          <w:highlight w:val="none"/>
        </w:rPr>
        <w:t>重庆市公共资源交易中心基本账户登记工作咨询电话：023-63625633。</w:t>
      </w:r>
    </w:p>
    <w:p>
      <w:pPr>
        <w:spacing w:line="360" w:lineRule="auto"/>
        <w:ind w:firstLine="480" w:firstLineChars="200"/>
        <w:rPr>
          <w:color w:val="auto"/>
          <w:sz w:val="24"/>
          <w:szCs w:val="24"/>
          <w:highlight w:val="none"/>
        </w:rPr>
      </w:pPr>
      <w:r>
        <w:rPr>
          <w:rFonts w:hint="eastAsia"/>
          <w:color w:val="auto"/>
          <w:sz w:val="24"/>
          <w:szCs w:val="24"/>
          <w:highlight w:val="none"/>
        </w:rPr>
        <w:t>查询网站：重庆市公共资源交易网（https://www.cqggzy.com/）</w:t>
      </w:r>
    </w:p>
    <w:p>
      <w:pPr>
        <w:spacing w:line="360" w:lineRule="auto"/>
        <w:ind w:firstLine="480" w:firstLineChars="200"/>
        <w:rPr>
          <w:color w:val="auto"/>
          <w:sz w:val="24"/>
          <w:szCs w:val="24"/>
          <w:highlight w:val="none"/>
        </w:rPr>
      </w:pPr>
      <w:r>
        <w:rPr>
          <w:rFonts w:hint="eastAsia"/>
          <w:color w:val="auto"/>
          <w:sz w:val="24"/>
          <w:szCs w:val="24"/>
          <w:highlight w:val="none"/>
        </w:rPr>
        <w:t>2.投标人应足额缴纳投标保证金（保证金金额详见本篇，一、招标项目内容），并汇至以下任一账户，投标保证金的到账截止时间同投标截止时间。</w:t>
      </w:r>
    </w:p>
    <w:p>
      <w:pPr>
        <w:spacing w:line="360" w:lineRule="auto"/>
        <w:ind w:firstLine="482" w:firstLineChars="200"/>
        <w:rPr>
          <w:b/>
          <w:bCs/>
          <w:color w:val="auto"/>
          <w:sz w:val="24"/>
          <w:szCs w:val="24"/>
          <w:highlight w:val="none"/>
        </w:rPr>
      </w:pPr>
      <w:r>
        <w:rPr>
          <w:b/>
          <w:bCs/>
          <w:color w:val="auto"/>
          <w:sz w:val="24"/>
          <w:szCs w:val="24"/>
          <w:highlight w:val="none"/>
        </w:rPr>
        <w:t>投标保证金账户：</w:t>
      </w:r>
    </w:p>
    <w:p>
      <w:pPr>
        <w:snapToGrid w:val="0"/>
        <w:spacing w:line="360" w:lineRule="auto"/>
        <w:ind w:firstLine="480" w:firstLineChars="200"/>
        <w:rPr>
          <w:color w:val="auto"/>
          <w:sz w:val="24"/>
          <w:szCs w:val="24"/>
          <w:highlight w:val="none"/>
        </w:rPr>
      </w:pPr>
      <w:r>
        <w:rPr>
          <w:color w:val="auto"/>
          <w:sz w:val="24"/>
          <w:szCs w:val="24"/>
          <w:highlight w:val="none"/>
        </w:rPr>
        <w:t>户名：</w:t>
      </w:r>
      <w:r>
        <w:rPr>
          <w:rFonts w:hint="eastAsia" w:ascii="宋体" w:hAnsi="宋体" w:cs="宋体"/>
          <w:color w:val="auto"/>
          <w:spacing w:val="-2"/>
          <w:sz w:val="24"/>
          <w:highlight w:val="none"/>
        </w:rPr>
        <w:t>重庆联合产权交易所集团股份有限公司</w:t>
      </w:r>
    </w:p>
    <w:p>
      <w:pPr>
        <w:snapToGrid w:val="0"/>
        <w:spacing w:line="360" w:lineRule="auto"/>
        <w:ind w:firstLine="480" w:firstLineChars="200"/>
        <w:rPr>
          <w:color w:val="auto"/>
          <w:sz w:val="24"/>
          <w:szCs w:val="24"/>
          <w:highlight w:val="none"/>
        </w:rPr>
      </w:pPr>
      <w:r>
        <w:rPr>
          <w:color w:val="auto"/>
          <w:sz w:val="24"/>
          <w:szCs w:val="24"/>
          <w:highlight w:val="none"/>
        </w:rPr>
        <w:t>开户行及账号：</w:t>
      </w:r>
    </w:p>
    <w:tbl>
      <w:tblPr>
        <w:tblStyle w:val="57"/>
        <w:tblW w:w="8302" w:type="dxa"/>
        <w:tblInd w:w="0" w:type="dxa"/>
        <w:tblLayout w:type="fixed"/>
        <w:tblCellMar>
          <w:top w:w="0" w:type="dxa"/>
          <w:left w:w="0" w:type="dxa"/>
          <w:bottom w:w="0" w:type="dxa"/>
          <w:right w:w="0" w:type="dxa"/>
        </w:tblCellMar>
      </w:tblPr>
      <w:tblGrid>
        <w:gridCol w:w="1347"/>
        <w:gridCol w:w="1828"/>
        <w:gridCol w:w="5127"/>
      </w:tblGrid>
      <w:tr>
        <w:tblPrEx>
          <w:tblCellMar>
            <w:top w:w="0" w:type="dxa"/>
            <w:left w:w="0" w:type="dxa"/>
            <w:bottom w:w="0" w:type="dxa"/>
            <w:right w:w="0" w:type="dxa"/>
          </w:tblCellMar>
        </w:tblPrEx>
        <w:trPr>
          <w:trHeight w:val="556" w:hRule="exact"/>
        </w:trPr>
        <w:tc>
          <w:tcPr>
            <w:tcW w:w="13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 1</w:t>
            </w: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开户行</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招商银行上清寺支行（行号：308653018067）</w:t>
            </w:r>
          </w:p>
        </w:tc>
      </w:tr>
      <w:tr>
        <w:tblPrEx>
          <w:tblCellMar>
            <w:top w:w="0" w:type="dxa"/>
            <w:left w:w="0" w:type="dxa"/>
            <w:bottom w:w="0" w:type="dxa"/>
            <w:right w:w="0" w:type="dxa"/>
          </w:tblCellMar>
        </w:tblPrEx>
        <w:trPr>
          <w:trHeight w:val="380" w:hRule="exact"/>
        </w:trPr>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123904808710306057219</w:t>
            </w:r>
          </w:p>
        </w:tc>
      </w:tr>
      <w:tr>
        <w:tblPrEx>
          <w:tblCellMar>
            <w:top w:w="0" w:type="dxa"/>
            <w:left w:w="0" w:type="dxa"/>
            <w:bottom w:w="0" w:type="dxa"/>
            <w:right w:w="0" w:type="dxa"/>
          </w:tblCellMar>
        </w:tblPrEx>
        <w:trPr>
          <w:trHeight w:val="911" w:hRule="exact"/>
        </w:trPr>
        <w:tc>
          <w:tcPr>
            <w:tcW w:w="13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 2</w:t>
            </w: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开户行</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中国农业银行重庆自由贸易试验区分行（行号：103653026011</w:t>
            </w:r>
          </w:p>
        </w:tc>
      </w:tr>
      <w:tr>
        <w:tblPrEx>
          <w:tblCellMar>
            <w:top w:w="0" w:type="dxa"/>
            <w:left w:w="0" w:type="dxa"/>
            <w:bottom w:w="0" w:type="dxa"/>
            <w:right w:w="0" w:type="dxa"/>
          </w:tblCellMar>
        </w:tblPrEx>
        <w:trPr>
          <w:trHeight w:val="369" w:hRule="exact"/>
        </w:trPr>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6228400477034114964</w:t>
            </w:r>
          </w:p>
        </w:tc>
      </w:tr>
      <w:tr>
        <w:tblPrEx>
          <w:tblCellMar>
            <w:top w:w="0" w:type="dxa"/>
            <w:left w:w="0" w:type="dxa"/>
            <w:bottom w:w="0" w:type="dxa"/>
            <w:right w:w="0" w:type="dxa"/>
          </w:tblCellMar>
        </w:tblPrEx>
        <w:trPr>
          <w:trHeight w:val="570" w:hRule="exact"/>
        </w:trPr>
        <w:tc>
          <w:tcPr>
            <w:tcW w:w="13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 3</w:t>
            </w: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开户行</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重庆银行七星岗支行（行号：313653000329）</w:t>
            </w:r>
          </w:p>
        </w:tc>
      </w:tr>
      <w:tr>
        <w:tblPrEx>
          <w:tblCellMar>
            <w:top w:w="0" w:type="dxa"/>
            <w:left w:w="0" w:type="dxa"/>
            <w:bottom w:w="0" w:type="dxa"/>
            <w:right w:w="0" w:type="dxa"/>
          </w:tblCellMar>
        </w:tblPrEx>
        <w:trPr>
          <w:trHeight w:val="369" w:hRule="exact"/>
        </w:trPr>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150101040015061145649</w:t>
            </w:r>
          </w:p>
        </w:tc>
      </w:tr>
      <w:tr>
        <w:tblPrEx>
          <w:tblCellMar>
            <w:top w:w="0" w:type="dxa"/>
            <w:left w:w="0" w:type="dxa"/>
            <w:bottom w:w="0" w:type="dxa"/>
            <w:right w:w="0" w:type="dxa"/>
          </w:tblCellMar>
        </w:tblPrEx>
        <w:trPr>
          <w:trHeight w:val="791" w:hRule="exact"/>
        </w:trPr>
        <w:tc>
          <w:tcPr>
            <w:tcW w:w="134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 4</w:t>
            </w: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开户行</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上海浦东发展银行股份有限公司重庆分行营业部（行号:310653000017）</w:t>
            </w:r>
          </w:p>
        </w:tc>
      </w:tr>
      <w:tr>
        <w:tblPrEx>
          <w:tblCellMar>
            <w:top w:w="0" w:type="dxa"/>
            <w:left w:w="0" w:type="dxa"/>
            <w:bottom w:w="0" w:type="dxa"/>
            <w:right w:w="0" w:type="dxa"/>
          </w:tblCellMar>
        </w:tblPrEx>
        <w:trPr>
          <w:trHeight w:val="1330" w:hRule="exact"/>
        </w:trPr>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p>
        </w:tc>
        <w:tc>
          <w:tcPr>
            <w:tcW w:w="18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账号</w:t>
            </w:r>
          </w:p>
        </w:tc>
        <w:tc>
          <w:tcPr>
            <w:tcW w:w="51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472" w:firstLineChars="200"/>
              <w:rPr>
                <w:rFonts w:hint="eastAsia" w:ascii="宋体" w:hAnsi="宋体" w:cs="宋体"/>
                <w:color w:val="auto"/>
                <w:spacing w:val="-2"/>
                <w:sz w:val="24"/>
                <w:highlight w:val="none"/>
              </w:rPr>
            </w:pPr>
            <w:r>
              <w:rPr>
                <w:rFonts w:hint="eastAsia" w:ascii="宋体" w:hAnsi="宋体" w:cs="宋体"/>
                <w:color w:val="auto"/>
                <w:spacing w:val="-2"/>
                <w:sz w:val="24"/>
                <w:highlight w:val="none"/>
              </w:rPr>
              <w:t>8301098918649</w:t>
            </w:r>
          </w:p>
        </w:tc>
      </w:tr>
    </w:tbl>
    <w:p>
      <w:pPr>
        <w:snapToGrid w:val="0"/>
        <w:spacing w:line="360" w:lineRule="auto"/>
        <w:ind w:firstLine="480" w:firstLineChars="200"/>
        <w:rPr>
          <w:color w:val="auto"/>
          <w:sz w:val="24"/>
          <w:szCs w:val="24"/>
          <w:highlight w:val="none"/>
        </w:rPr>
      </w:pPr>
      <w:r>
        <w:rPr>
          <w:rFonts w:hint="eastAsia"/>
          <w:color w:val="auto"/>
          <w:sz w:val="24"/>
          <w:szCs w:val="24"/>
          <w:highlight w:val="none"/>
        </w:rPr>
        <w:t>3、</w:t>
      </w:r>
      <w:r>
        <w:rPr>
          <w:color w:val="auto"/>
          <w:sz w:val="24"/>
          <w:szCs w:val="24"/>
          <w:highlight w:val="none"/>
        </w:rPr>
        <w:t>各投标人在银行转账（电汇）时，须充分考虑银行转账（电汇）的时间差风险，如同城转账、异地转账或汇款、跨行转账或电汇的时间要求。</w:t>
      </w:r>
    </w:p>
    <w:p>
      <w:pPr>
        <w:snapToGrid w:val="0"/>
        <w:spacing w:line="360" w:lineRule="auto"/>
        <w:ind w:firstLine="480" w:firstLineChars="200"/>
        <w:rPr>
          <w:color w:val="auto"/>
          <w:sz w:val="24"/>
          <w:szCs w:val="24"/>
          <w:highlight w:val="none"/>
        </w:rPr>
      </w:pPr>
      <w:bookmarkStart w:id="24" w:name="_Toc1553"/>
      <w:bookmarkStart w:id="25" w:name="_Toc530573492"/>
      <w:bookmarkStart w:id="26" w:name="_Toc4792"/>
      <w:r>
        <w:rPr>
          <w:rFonts w:hint="eastAsia"/>
          <w:color w:val="auto"/>
          <w:sz w:val="24"/>
          <w:szCs w:val="24"/>
          <w:highlight w:val="none"/>
        </w:rPr>
        <w:t>（二）保证金退还方式</w:t>
      </w:r>
    </w:p>
    <w:p>
      <w:pPr>
        <w:snapToGrid w:val="0"/>
        <w:spacing w:line="360" w:lineRule="auto"/>
        <w:ind w:firstLine="480" w:firstLineChars="200"/>
        <w:rPr>
          <w:color w:val="auto"/>
          <w:sz w:val="24"/>
          <w:szCs w:val="24"/>
          <w:highlight w:val="none"/>
        </w:rPr>
      </w:pPr>
      <w:r>
        <w:rPr>
          <w:rFonts w:hint="eastAsia"/>
          <w:color w:val="auto"/>
          <w:sz w:val="24"/>
          <w:szCs w:val="24"/>
          <w:highlight w:val="none"/>
        </w:rPr>
        <w:t>1.未中标投标人的保证金，在中标通知书发放后，重庆市公共资源交易中心在五个工作日内按来款渠道直接退还。</w:t>
      </w:r>
    </w:p>
    <w:p>
      <w:pPr>
        <w:snapToGrid w:val="0"/>
        <w:spacing w:line="360" w:lineRule="auto"/>
        <w:ind w:firstLine="480" w:firstLineChars="200"/>
        <w:rPr>
          <w:color w:val="auto"/>
          <w:sz w:val="24"/>
          <w:szCs w:val="24"/>
          <w:highlight w:val="none"/>
        </w:rPr>
      </w:pPr>
      <w:r>
        <w:rPr>
          <w:rFonts w:hint="eastAsia"/>
          <w:color w:val="auto"/>
          <w:sz w:val="24"/>
          <w:szCs w:val="24"/>
          <w:highlight w:val="none"/>
        </w:rPr>
        <w:t>2.中标人的投标保证金，在中标人与采购人签订合同后，重庆市公共资源交易中心在五个工作日内按资金来款渠道直接退还。</w:t>
      </w:r>
    </w:p>
    <w:p>
      <w:pPr>
        <w:snapToGrid w:val="0"/>
        <w:spacing w:line="360" w:lineRule="auto"/>
        <w:ind w:firstLine="480" w:firstLineChars="200"/>
        <w:rPr>
          <w:color w:val="auto"/>
          <w:sz w:val="24"/>
          <w:szCs w:val="24"/>
          <w:highlight w:val="none"/>
        </w:rPr>
      </w:pPr>
      <w:r>
        <w:rPr>
          <w:rFonts w:hint="eastAsia"/>
          <w:color w:val="auto"/>
          <w:sz w:val="24"/>
          <w:szCs w:val="24"/>
          <w:highlight w:val="none"/>
        </w:rPr>
        <w:t>重庆市公共资源交易中心咨询电话：023-63625633</w:t>
      </w:r>
    </w:p>
    <w:p>
      <w:pPr>
        <w:snapToGrid w:val="0"/>
        <w:spacing w:line="360" w:lineRule="auto"/>
        <w:ind w:firstLine="480" w:firstLineChars="200"/>
        <w:rPr>
          <w:color w:val="auto"/>
          <w:sz w:val="24"/>
          <w:szCs w:val="24"/>
          <w:highlight w:val="none"/>
        </w:rPr>
      </w:pPr>
      <w:r>
        <w:rPr>
          <w:rFonts w:hint="eastAsia"/>
          <w:color w:val="auto"/>
          <w:sz w:val="24"/>
          <w:szCs w:val="24"/>
          <w:highlight w:val="none"/>
        </w:rPr>
        <w:t>六、采购项目需落实的政府采购政策</w:t>
      </w:r>
      <w:bookmarkEnd w:id="24"/>
      <w:bookmarkEnd w:id="25"/>
      <w:bookmarkEnd w:id="26"/>
    </w:p>
    <w:p>
      <w:pPr>
        <w:snapToGrid w:val="0"/>
        <w:spacing w:line="360" w:lineRule="auto"/>
        <w:ind w:firstLine="480" w:firstLineChars="200"/>
        <w:rPr>
          <w:color w:val="auto"/>
          <w:sz w:val="24"/>
          <w:szCs w:val="24"/>
          <w:highlight w:val="none"/>
        </w:rPr>
      </w:pPr>
      <w:bookmarkStart w:id="27" w:name="_Toc9926"/>
      <w:bookmarkStart w:id="28" w:name="_Toc530573493"/>
      <w:bookmarkStart w:id="29" w:name="_Toc4339"/>
      <w:r>
        <w:rPr>
          <w:rFonts w:hint="eastAsia"/>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     （二）按照《财政部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color w:val="auto"/>
          <w:sz w:val="24"/>
          <w:szCs w:val="24"/>
          <w:highlight w:val="none"/>
        </w:rPr>
      </w:pPr>
      <w:r>
        <w:rPr>
          <w:rFonts w:hint="eastAsia"/>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color w:val="auto"/>
          <w:sz w:val="24"/>
          <w:szCs w:val="24"/>
          <w:highlight w:val="none"/>
        </w:rPr>
      </w:pPr>
      <w:r>
        <w:rPr>
          <w:rFonts w:hint="eastAsia"/>
          <w:color w:val="auto"/>
          <w:sz w:val="24"/>
          <w:szCs w:val="24"/>
          <w:highlight w:val="none"/>
        </w:rPr>
        <w:t>（四）按照《三部门联合发布关于促进残疾人就业政府采购政策的通知》（财库〔2017〕 141号）的规定，落实支持残疾人福利性单位发展政策。</w:t>
      </w:r>
    </w:p>
    <w:p>
      <w:pPr>
        <w:snapToGrid w:val="0"/>
        <w:spacing w:line="360" w:lineRule="auto"/>
        <w:ind w:firstLine="480" w:firstLineChars="200"/>
        <w:rPr>
          <w:color w:val="auto"/>
          <w:sz w:val="24"/>
          <w:szCs w:val="24"/>
          <w:highlight w:val="none"/>
        </w:rPr>
      </w:pPr>
      <w:r>
        <w:rPr>
          <w:rFonts w:hint="eastAsia"/>
          <w:color w:val="auto"/>
          <w:sz w:val="24"/>
          <w:szCs w:val="24"/>
          <w:highlight w:val="none"/>
        </w:rPr>
        <w:t>七、投标有关规定</w:t>
      </w:r>
      <w:bookmarkEnd w:id="27"/>
      <w:bookmarkEnd w:id="28"/>
      <w:bookmarkEnd w:id="29"/>
    </w:p>
    <w:p>
      <w:pPr>
        <w:snapToGrid w:val="0"/>
        <w:spacing w:line="360" w:lineRule="auto"/>
        <w:ind w:firstLine="480" w:firstLineChars="200"/>
        <w:rPr>
          <w:color w:val="auto"/>
          <w:sz w:val="24"/>
          <w:szCs w:val="24"/>
          <w:highlight w:val="none"/>
        </w:rPr>
      </w:pPr>
      <w:bookmarkStart w:id="30" w:name="_Toc6796"/>
      <w:bookmarkStart w:id="31" w:name="_Toc530573494"/>
      <w:bookmarkStart w:id="32" w:name="_Toc25759"/>
      <w:r>
        <w:rPr>
          <w:rFonts w:hint="eastAsia"/>
          <w:color w:val="auto"/>
          <w:sz w:val="24"/>
          <w:szCs w:val="24"/>
          <w:highlight w:val="none"/>
        </w:rPr>
        <w:t>（一）单位负责人为同一人或者存在直接控股、管理关系的不同投标人，不得参加同一合同项（分包）下的政府采购活动。</w:t>
      </w:r>
    </w:p>
    <w:p>
      <w:pPr>
        <w:snapToGrid w:val="0"/>
        <w:spacing w:line="360" w:lineRule="auto"/>
        <w:ind w:firstLine="480" w:firstLineChars="200"/>
        <w:rPr>
          <w:color w:val="auto"/>
          <w:sz w:val="24"/>
          <w:szCs w:val="24"/>
          <w:highlight w:val="none"/>
        </w:rPr>
      </w:pPr>
      <w:r>
        <w:rPr>
          <w:rFonts w:hint="eastAsia"/>
          <w:color w:val="auto"/>
          <w:sz w:val="24"/>
          <w:szCs w:val="24"/>
          <w:highlight w:val="none"/>
        </w:rPr>
        <w:t>（二）为采购项目提供整体设计、规范编制或者项目管理、监理等服务的投标人，不得再参加该采购项目的其他采购活动。</w:t>
      </w:r>
    </w:p>
    <w:p>
      <w:pPr>
        <w:snapToGrid w:val="0"/>
        <w:spacing w:line="360" w:lineRule="auto"/>
        <w:ind w:firstLine="480" w:firstLineChars="200"/>
        <w:rPr>
          <w:color w:val="auto"/>
          <w:sz w:val="24"/>
          <w:szCs w:val="24"/>
          <w:highlight w:val="none"/>
        </w:rPr>
      </w:pPr>
      <w:r>
        <w:rPr>
          <w:rFonts w:hint="eastAsia"/>
          <w:color w:val="auto"/>
          <w:sz w:val="24"/>
          <w:szCs w:val="24"/>
          <w:highlight w:val="none"/>
        </w:rPr>
        <w:t>（三）本项目若有补遗文件一律在重庆市政府采购网（https://www.ccgp-chongqing.gov.cn）上发布，请各投标人注意下载或到采购代理机构领取；无论投标人下载或领取与否，均视同投标人已知晓本项目补遗文件的内容。</w:t>
      </w:r>
    </w:p>
    <w:p>
      <w:pPr>
        <w:snapToGrid w:val="0"/>
        <w:spacing w:line="360" w:lineRule="auto"/>
        <w:ind w:firstLine="480" w:firstLineChars="200"/>
        <w:rPr>
          <w:color w:val="auto"/>
          <w:sz w:val="24"/>
          <w:szCs w:val="24"/>
          <w:highlight w:val="none"/>
        </w:rPr>
      </w:pPr>
      <w:r>
        <w:rPr>
          <w:rFonts w:hint="eastAsia"/>
          <w:color w:val="auto"/>
          <w:sz w:val="24"/>
          <w:szCs w:val="24"/>
          <w:highlight w:val="none"/>
        </w:rPr>
        <w:t>（四）超过投标截止时间递交的投标文件，恕不接收。</w:t>
      </w:r>
    </w:p>
    <w:p>
      <w:pPr>
        <w:snapToGrid w:val="0"/>
        <w:spacing w:line="360" w:lineRule="auto"/>
        <w:ind w:firstLine="480" w:firstLineChars="200"/>
        <w:rPr>
          <w:color w:val="auto"/>
          <w:sz w:val="24"/>
          <w:szCs w:val="24"/>
          <w:highlight w:val="none"/>
        </w:rPr>
      </w:pPr>
      <w:r>
        <w:rPr>
          <w:rFonts w:hint="eastAsia"/>
          <w:color w:val="auto"/>
          <w:sz w:val="24"/>
          <w:szCs w:val="24"/>
          <w:highlight w:val="none"/>
        </w:rPr>
        <w:t>（五）投标费用：无论投标结果如何，投标人参与本项目投标的所有费用均应由投标人自行承担。</w:t>
      </w:r>
    </w:p>
    <w:p>
      <w:pPr>
        <w:snapToGrid w:val="0"/>
        <w:spacing w:line="360" w:lineRule="auto"/>
        <w:ind w:firstLine="480" w:firstLineChars="200"/>
        <w:rPr>
          <w:color w:val="auto"/>
          <w:sz w:val="24"/>
          <w:szCs w:val="24"/>
          <w:highlight w:val="none"/>
        </w:rPr>
      </w:pPr>
      <w:r>
        <w:rPr>
          <w:rFonts w:hint="eastAsia"/>
          <w:color w:val="auto"/>
          <w:sz w:val="24"/>
          <w:szCs w:val="24"/>
          <w:highlight w:val="none"/>
        </w:rPr>
        <w:t>（六）本项目接受联合体参与投标。</w:t>
      </w:r>
    </w:p>
    <w:p>
      <w:pPr>
        <w:snapToGrid w:val="0"/>
        <w:spacing w:line="360" w:lineRule="auto"/>
        <w:ind w:firstLine="480" w:firstLineChars="200"/>
        <w:rPr>
          <w:color w:val="auto"/>
          <w:sz w:val="24"/>
          <w:szCs w:val="24"/>
          <w:highlight w:val="none"/>
        </w:rPr>
      </w:pPr>
      <w:r>
        <w:rPr>
          <w:rFonts w:hint="eastAsia"/>
          <w:color w:val="auto"/>
          <w:sz w:val="24"/>
          <w:szCs w:val="24"/>
          <w:highlight w:val="none"/>
        </w:rPr>
        <w:t>（七）</w:t>
      </w:r>
      <w:bookmarkStart w:id="33" w:name="OLE_LINK2"/>
      <w:bookmarkStart w:id="34" w:name="OLE_LINK1"/>
      <w:r>
        <w:rPr>
          <w:rFonts w:hint="eastAsia"/>
          <w:color w:val="auto"/>
          <w:sz w:val="24"/>
          <w:szCs w:val="24"/>
          <w:highlight w:val="none"/>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33"/>
      <w:bookmarkEnd w:id="34"/>
      <w:r>
        <w:rPr>
          <w:rFonts w:hint="eastAsia"/>
          <w:color w:val="auto"/>
          <w:sz w:val="24"/>
          <w:szCs w:val="24"/>
          <w:highlight w:val="none"/>
        </w:rPr>
        <w:t>投标人，将拒绝其参与政府采购活动。</w:t>
      </w:r>
    </w:p>
    <w:p>
      <w:pPr>
        <w:snapToGrid w:val="0"/>
        <w:spacing w:line="360" w:lineRule="auto"/>
        <w:ind w:firstLine="480" w:firstLineChars="200"/>
        <w:rPr>
          <w:color w:val="auto"/>
          <w:sz w:val="24"/>
          <w:szCs w:val="24"/>
          <w:highlight w:val="none"/>
        </w:rPr>
      </w:pPr>
      <w:r>
        <w:rPr>
          <w:rFonts w:hint="eastAsia"/>
          <w:color w:val="auto"/>
          <w:sz w:val="24"/>
          <w:szCs w:val="24"/>
          <w:highlight w:val="none"/>
        </w:rPr>
        <w:t>八、联系方式</w:t>
      </w:r>
      <w:bookmarkEnd w:id="30"/>
      <w:bookmarkEnd w:id="31"/>
      <w:bookmarkEnd w:id="32"/>
    </w:p>
    <w:p>
      <w:pPr>
        <w:snapToGrid w:val="0"/>
        <w:spacing w:line="360" w:lineRule="auto"/>
        <w:ind w:firstLine="480" w:firstLineChars="200"/>
        <w:rPr>
          <w:color w:val="auto"/>
          <w:sz w:val="24"/>
          <w:szCs w:val="24"/>
          <w:highlight w:val="none"/>
        </w:rPr>
      </w:pPr>
      <w:r>
        <w:rPr>
          <w:rFonts w:hint="eastAsia"/>
          <w:color w:val="auto"/>
          <w:sz w:val="24"/>
          <w:szCs w:val="24"/>
          <w:highlight w:val="none"/>
        </w:rPr>
        <w:t>（一）采购代理机构：重庆精聚达建筑工程咨询有限公司</w:t>
      </w:r>
    </w:p>
    <w:p>
      <w:pPr>
        <w:snapToGrid w:val="0"/>
        <w:spacing w:line="360" w:lineRule="auto"/>
        <w:ind w:firstLine="480" w:firstLineChars="200"/>
        <w:rPr>
          <w:color w:val="auto"/>
          <w:sz w:val="24"/>
          <w:szCs w:val="24"/>
          <w:highlight w:val="none"/>
        </w:rPr>
      </w:pPr>
      <w:r>
        <w:rPr>
          <w:rFonts w:hint="eastAsia"/>
          <w:color w:val="auto"/>
          <w:sz w:val="24"/>
          <w:szCs w:val="24"/>
          <w:highlight w:val="none"/>
        </w:rPr>
        <w:t>联系人：李老师</w:t>
      </w:r>
    </w:p>
    <w:p>
      <w:pPr>
        <w:snapToGrid w:val="0"/>
        <w:spacing w:line="360" w:lineRule="auto"/>
        <w:ind w:firstLine="480" w:firstLineChars="200"/>
        <w:rPr>
          <w:color w:val="auto"/>
          <w:sz w:val="24"/>
          <w:szCs w:val="24"/>
          <w:highlight w:val="none"/>
        </w:rPr>
      </w:pPr>
      <w:r>
        <w:rPr>
          <w:rFonts w:hint="eastAsia"/>
          <w:color w:val="auto"/>
          <w:sz w:val="24"/>
          <w:szCs w:val="24"/>
          <w:highlight w:val="none"/>
        </w:rPr>
        <w:t>电话：023-67396293</w:t>
      </w:r>
    </w:p>
    <w:p>
      <w:pPr>
        <w:snapToGrid w:val="0"/>
        <w:spacing w:line="360" w:lineRule="auto"/>
        <w:ind w:firstLine="480" w:firstLineChars="200"/>
        <w:rPr>
          <w:color w:val="auto"/>
          <w:sz w:val="24"/>
          <w:szCs w:val="24"/>
          <w:highlight w:val="none"/>
        </w:rPr>
      </w:pPr>
      <w:r>
        <w:rPr>
          <w:rFonts w:hint="eastAsia"/>
          <w:color w:val="auto"/>
          <w:sz w:val="24"/>
          <w:szCs w:val="24"/>
          <w:highlight w:val="none"/>
        </w:rPr>
        <w:t>传真：023-67729225</w:t>
      </w:r>
    </w:p>
    <w:p>
      <w:pPr>
        <w:snapToGrid w:val="0"/>
        <w:spacing w:line="360" w:lineRule="auto"/>
        <w:ind w:firstLine="480" w:firstLineChars="200"/>
        <w:rPr>
          <w:color w:val="auto"/>
          <w:sz w:val="24"/>
          <w:szCs w:val="24"/>
          <w:highlight w:val="none"/>
        </w:rPr>
      </w:pPr>
      <w:r>
        <w:rPr>
          <w:rFonts w:hint="eastAsia"/>
          <w:color w:val="auto"/>
          <w:sz w:val="24"/>
          <w:szCs w:val="24"/>
          <w:highlight w:val="none"/>
        </w:rPr>
        <w:t>地址：重庆市渝北黄山大道中段70号两江星界2幢5楼</w:t>
      </w:r>
    </w:p>
    <w:p>
      <w:pPr>
        <w:snapToGrid w:val="0"/>
        <w:spacing w:line="360" w:lineRule="auto"/>
        <w:ind w:firstLine="480" w:firstLineChars="200"/>
        <w:rPr>
          <w:color w:val="auto"/>
          <w:sz w:val="24"/>
          <w:szCs w:val="24"/>
          <w:highlight w:val="none"/>
        </w:rPr>
      </w:pPr>
      <w:r>
        <w:rPr>
          <w:rFonts w:hint="eastAsia"/>
          <w:color w:val="auto"/>
          <w:sz w:val="24"/>
          <w:szCs w:val="24"/>
          <w:highlight w:val="none"/>
        </w:rPr>
        <w:t>（二）采购人：重庆市城市管线综合管理事务中心</w:t>
      </w:r>
    </w:p>
    <w:p>
      <w:pPr>
        <w:snapToGrid w:val="0"/>
        <w:spacing w:line="360" w:lineRule="auto"/>
        <w:ind w:firstLine="480" w:firstLineChars="200"/>
        <w:rPr>
          <w:color w:val="auto"/>
          <w:sz w:val="24"/>
          <w:szCs w:val="24"/>
          <w:highlight w:val="none"/>
        </w:rPr>
      </w:pPr>
      <w:bookmarkStart w:id="35" w:name="OLE_LINK7"/>
      <w:r>
        <w:rPr>
          <w:color w:val="auto"/>
          <w:sz w:val="24"/>
          <w:szCs w:val="24"/>
          <w:highlight w:val="none"/>
        </w:rPr>
        <w:t>联系人：</w:t>
      </w:r>
      <w:r>
        <w:rPr>
          <w:rFonts w:hint="eastAsia"/>
          <w:color w:val="auto"/>
          <w:sz w:val="24"/>
          <w:szCs w:val="24"/>
          <w:highlight w:val="none"/>
        </w:rPr>
        <w:t>李老师</w:t>
      </w:r>
    </w:p>
    <w:p>
      <w:pPr>
        <w:snapToGrid w:val="0"/>
        <w:spacing w:line="360" w:lineRule="auto"/>
        <w:ind w:firstLine="480" w:firstLineChars="200"/>
        <w:rPr>
          <w:color w:val="auto"/>
          <w:sz w:val="24"/>
          <w:szCs w:val="24"/>
          <w:highlight w:val="none"/>
        </w:rPr>
      </w:pPr>
      <w:r>
        <w:rPr>
          <w:color w:val="auto"/>
          <w:sz w:val="24"/>
          <w:szCs w:val="24"/>
          <w:highlight w:val="none"/>
        </w:rPr>
        <w:t>电话：</w:t>
      </w:r>
      <w:bookmarkEnd w:id="35"/>
      <w:r>
        <w:rPr>
          <w:rFonts w:hint="eastAsia"/>
          <w:color w:val="auto"/>
          <w:sz w:val="24"/>
          <w:szCs w:val="24"/>
          <w:highlight w:val="none"/>
        </w:rPr>
        <w:t>023-63670171</w:t>
      </w:r>
    </w:p>
    <w:p>
      <w:pPr>
        <w:snapToGrid w:val="0"/>
        <w:spacing w:line="360" w:lineRule="auto"/>
        <w:ind w:firstLine="480" w:firstLineChars="200"/>
        <w:rPr>
          <w:color w:val="auto"/>
          <w:sz w:val="36"/>
          <w:szCs w:val="36"/>
          <w:highlight w:val="none"/>
        </w:rPr>
      </w:pPr>
      <w:r>
        <w:rPr>
          <w:rFonts w:hint="eastAsia"/>
          <w:color w:val="auto"/>
          <w:sz w:val="24"/>
          <w:szCs w:val="24"/>
          <w:highlight w:val="none"/>
        </w:rPr>
        <w:t>地址：</w:t>
      </w:r>
      <w:bookmarkStart w:id="36" w:name="OLE_LINK9"/>
      <w:r>
        <w:rPr>
          <w:rFonts w:hint="eastAsia"/>
          <w:color w:val="auto"/>
          <w:sz w:val="24"/>
          <w:szCs w:val="24"/>
          <w:highlight w:val="none"/>
        </w:rPr>
        <w:t>渝中区长江一路58号5楼</w:t>
      </w:r>
      <w:bookmarkEnd w:id="36"/>
      <w:r>
        <w:rPr>
          <w:color w:val="auto"/>
          <w:highlight w:val="none"/>
        </w:rPr>
        <w:br w:type="page"/>
      </w:r>
      <w:bookmarkStart w:id="37" w:name="_Toc25113"/>
      <w:bookmarkStart w:id="38" w:name="_Toc530573495"/>
      <w:r>
        <w:rPr>
          <w:rFonts w:hint="eastAsia"/>
          <w:color w:val="auto"/>
          <w:sz w:val="36"/>
          <w:szCs w:val="36"/>
          <w:highlight w:val="none"/>
        </w:rPr>
        <w:t xml:space="preserve">   第二篇 </w:t>
      </w:r>
      <w:r>
        <w:rPr>
          <w:color w:val="auto"/>
          <w:sz w:val="36"/>
          <w:szCs w:val="36"/>
          <w:highlight w:val="none"/>
        </w:rPr>
        <w:t>项目技术规格、数量及质量要求</w:t>
      </w:r>
      <w:bookmarkEnd w:id="37"/>
      <w:bookmarkEnd w:id="38"/>
    </w:p>
    <w:p>
      <w:pPr>
        <w:pStyle w:val="4"/>
        <w:numPr>
          <w:ilvl w:val="0"/>
          <w:numId w:val="2"/>
        </w:numPr>
        <w:rPr>
          <w:rFonts w:ascii="Times New Roman"/>
          <w:b/>
          <w:bCs/>
          <w:color w:val="auto"/>
          <w:sz w:val="30"/>
          <w:szCs w:val="30"/>
          <w:highlight w:val="none"/>
        </w:rPr>
      </w:pPr>
      <w:bookmarkStart w:id="39" w:name="_Toc7274"/>
      <w:bookmarkStart w:id="40" w:name="_Toc14587"/>
      <w:bookmarkStart w:id="41" w:name="_Toc530573496"/>
      <w:bookmarkStart w:id="42" w:name="_Toc16332"/>
      <w:r>
        <w:rPr>
          <w:rFonts w:ascii="Times New Roman"/>
          <w:b/>
          <w:bCs/>
          <w:color w:val="auto"/>
          <w:sz w:val="30"/>
          <w:szCs w:val="30"/>
          <w:highlight w:val="none"/>
        </w:rPr>
        <w:t>招标项目一览表</w:t>
      </w:r>
      <w:bookmarkEnd w:id="39"/>
      <w:bookmarkEnd w:id="40"/>
      <w:bookmarkEnd w:id="41"/>
      <w:bookmarkEnd w:id="42"/>
    </w:p>
    <w:tbl>
      <w:tblPr>
        <w:tblStyle w:val="57"/>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126"/>
        <w:gridCol w:w="111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6" w:type="dxa"/>
            <w:vAlign w:val="center"/>
          </w:tcPr>
          <w:p>
            <w:pPr>
              <w:spacing w:line="360" w:lineRule="auto"/>
              <w:jc w:val="center"/>
              <w:rPr>
                <w:b/>
                <w:bCs/>
                <w:color w:val="auto"/>
                <w:sz w:val="21"/>
                <w:szCs w:val="21"/>
                <w:highlight w:val="none"/>
              </w:rPr>
            </w:pPr>
            <w:r>
              <w:rPr>
                <w:b/>
                <w:bCs/>
                <w:color w:val="auto"/>
                <w:sz w:val="21"/>
                <w:szCs w:val="21"/>
                <w:highlight w:val="none"/>
              </w:rPr>
              <w:t>序号</w:t>
            </w:r>
          </w:p>
        </w:tc>
        <w:tc>
          <w:tcPr>
            <w:tcW w:w="5126" w:type="dxa"/>
            <w:vAlign w:val="center"/>
          </w:tcPr>
          <w:p>
            <w:pPr>
              <w:spacing w:line="360" w:lineRule="auto"/>
              <w:jc w:val="center"/>
              <w:rPr>
                <w:b/>
                <w:bCs/>
                <w:color w:val="auto"/>
                <w:sz w:val="21"/>
                <w:szCs w:val="21"/>
                <w:highlight w:val="none"/>
              </w:rPr>
            </w:pPr>
            <w:r>
              <w:rPr>
                <w:b/>
                <w:bCs/>
                <w:color w:val="auto"/>
                <w:sz w:val="21"/>
                <w:szCs w:val="21"/>
                <w:highlight w:val="none"/>
              </w:rPr>
              <w:t>项目名称</w:t>
            </w:r>
          </w:p>
        </w:tc>
        <w:tc>
          <w:tcPr>
            <w:tcW w:w="1111" w:type="dxa"/>
            <w:vAlign w:val="center"/>
          </w:tcPr>
          <w:p>
            <w:pPr>
              <w:spacing w:line="360" w:lineRule="auto"/>
              <w:jc w:val="center"/>
              <w:rPr>
                <w:b/>
                <w:bCs/>
                <w:color w:val="auto"/>
                <w:sz w:val="21"/>
                <w:szCs w:val="21"/>
                <w:highlight w:val="none"/>
              </w:rPr>
            </w:pPr>
            <w:r>
              <w:rPr>
                <w:b/>
                <w:bCs/>
                <w:color w:val="auto"/>
                <w:sz w:val="21"/>
                <w:szCs w:val="21"/>
                <w:highlight w:val="none"/>
              </w:rPr>
              <w:t>中标数量</w:t>
            </w:r>
          </w:p>
        </w:tc>
        <w:tc>
          <w:tcPr>
            <w:tcW w:w="1767" w:type="dxa"/>
            <w:vAlign w:val="center"/>
          </w:tcPr>
          <w:p>
            <w:pPr>
              <w:spacing w:line="360" w:lineRule="auto"/>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26" w:type="dxa"/>
            <w:vAlign w:val="center"/>
          </w:tcPr>
          <w:p>
            <w:pPr>
              <w:pStyle w:val="15"/>
              <w:ind w:firstLine="0"/>
              <w:jc w:val="center"/>
              <w:outlineLvl w:val="0"/>
              <w:rPr>
                <w:color w:val="auto"/>
                <w:highlight w:val="none"/>
              </w:rPr>
            </w:pPr>
            <w:r>
              <w:rPr>
                <w:color w:val="auto"/>
                <w:highlight w:val="none"/>
              </w:rPr>
              <w:t>1</w:t>
            </w:r>
          </w:p>
        </w:tc>
        <w:tc>
          <w:tcPr>
            <w:tcW w:w="5126" w:type="dxa"/>
            <w:vAlign w:val="center"/>
          </w:tcPr>
          <w:p>
            <w:pPr>
              <w:pStyle w:val="23"/>
              <w:spacing w:line="360" w:lineRule="auto"/>
              <w:ind w:left="0"/>
              <w:jc w:val="center"/>
              <w:outlineLvl w:val="0"/>
              <w:rPr>
                <w:color w:val="auto"/>
                <w:sz w:val="24"/>
                <w:szCs w:val="24"/>
                <w:highlight w:val="none"/>
              </w:rPr>
            </w:pPr>
            <w:r>
              <w:rPr>
                <w:color w:val="auto"/>
                <w:sz w:val="24"/>
                <w:szCs w:val="24"/>
                <w:highlight w:val="none"/>
              </w:rPr>
              <w:t>202</w:t>
            </w:r>
            <w:r>
              <w:rPr>
                <w:rFonts w:hint="eastAsia"/>
                <w:color w:val="auto"/>
                <w:sz w:val="24"/>
                <w:szCs w:val="24"/>
                <w:highlight w:val="none"/>
              </w:rPr>
              <w:t>1</w:t>
            </w:r>
            <w:r>
              <w:rPr>
                <w:color w:val="auto"/>
                <w:sz w:val="24"/>
                <w:szCs w:val="24"/>
                <w:highlight w:val="none"/>
              </w:rPr>
              <w:t>年全市48段黑臭水体</w:t>
            </w:r>
            <w:r>
              <w:rPr>
                <w:rFonts w:hint="eastAsia"/>
                <w:color w:val="auto"/>
                <w:sz w:val="24"/>
                <w:szCs w:val="24"/>
                <w:highlight w:val="none"/>
              </w:rPr>
              <w:t>、小泉支流</w:t>
            </w:r>
            <w:r>
              <w:rPr>
                <w:color w:val="auto"/>
                <w:sz w:val="24"/>
                <w:szCs w:val="24"/>
                <w:highlight w:val="none"/>
              </w:rPr>
              <w:t>和主城区56个湖库以及</w:t>
            </w:r>
            <w:r>
              <w:rPr>
                <w:rFonts w:hint="eastAsia"/>
                <w:color w:val="auto"/>
                <w:sz w:val="24"/>
                <w:szCs w:val="24"/>
                <w:highlight w:val="none"/>
              </w:rPr>
              <w:t>“</w:t>
            </w:r>
            <w:r>
              <w:rPr>
                <w:color w:val="auto"/>
                <w:sz w:val="24"/>
                <w:szCs w:val="24"/>
                <w:highlight w:val="none"/>
              </w:rPr>
              <w:t>清水绿岸</w:t>
            </w:r>
            <w:r>
              <w:rPr>
                <w:rFonts w:hint="eastAsia"/>
                <w:color w:val="auto"/>
                <w:sz w:val="24"/>
                <w:szCs w:val="24"/>
                <w:highlight w:val="none"/>
              </w:rPr>
              <w:t>”</w:t>
            </w:r>
            <w:r>
              <w:rPr>
                <w:color w:val="auto"/>
                <w:sz w:val="24"/>
                <w:szCs w:val="24"/>
                <w:highlight w:val="none"/>
              </w:rPr>
              <w:t>20条河流水质监督性监测</w:t>
            </w:r>
          </w:p>
        </w:tc>
        <w:tc>
          <w:tcPr>
            <w:tcW w:w="1111" w:type="dxa"/>
            <w:vAlign w:val="center"/>
          </w:tcPr>
          <w:p>
            <w:pPr>
              <w:spacing w:line="360" w:lineRule="auto"/>
              <w:jc w:val="center"/>
              <w:rPr>
                <w:color w:val="auto"/>
                <w:sz w:val="21"/>
                <w:szCs w:val="21"/>
                <w:highlight w:val="none"/>
              </w:rPr>
            </w:pPr>
            <w:r>
              <w:rPr>
                <w:color w:val="auto"/>
                <w:sz w:val="21"/>
                <w:szCs w:val="21"/>
                <w:highlight w:val="none"/>
              </w:rPr>
              <w:t>1</w:t>
            </w:r>
          </w:p>
        </w:tc>
        <w:tc>
          <w:tcPr>
            <w:tcW w:w="1767" w:type="dxa"/>
            <w:vAlign w:val="center"/>
          </w:tcPr>
          <w:p>
            <w:pPr>
              <w:spacing w:line="360" w:lineRule="auto"/>
              <w:jc w:val="center"/>
              <w:rPr>
                <w:color w:val="auto"/>
                <w:sz w:val="21"/>
                <w:szCs w:val="21"/>
                <w:highlight w:val="none"/>
              </w:rPr>
            </w:pPr>
          </w:p>
        </w:tc>
      </w:tr>
    </w:tbl>
    <w:p>
      <w:pPr>
        <w:snapToGrid w:val="0"/>
        <w:spacing w:line="360" w:lineRule="auto"/>
        <w:rPr>
          <w:color w:val="auto"/>
          <w:sz w:val="24"/>
          <w:szCs w:val="24"/>
          <w:highlight w:val="none"/>
        </w:rPr>
      </w:pPr>
    </w:p>
    <w:p>
      <w:pPr>
        <w:pStyle w:val="4"/>
        <w:numPr>
          <w:ilvl w:val="0"/>
          <w:numId w:val="2"/>
        </w:numPr>
        <w:rPr>
          <w:rFonts w:ascii="Times New Roman"/>
          <w:b/>
          <w:bCs/>
          <w:color w:val="auto"/>
          <w:sz w:val="30"/>
          <w:szCs w:val="30"/>
          <w:highlight w:val="none"/>
        </w:rPr>
      </w:pPr>
      <w:bookmarkStart w:id="43" w:name="_Toc530573497"/>
      <w:bookmarkStart w:id="44" w:name="_Toc29376"/>
      <w:bookmarkStart w:id="45" w:name="_Toc5119"/>
      <w:bookmarkStart w:id="46" w:name="_Toc3475"/>
      <w:r>
        <w:rPr>
          <w:rFonts w:ascii="Times New Roman"/>
          <w:b/>
          <w:bCs/>
          <w:color w:val="auto"/>
          <w:sz w:val="30"/>
          <w:szCs w:val="30"/>
          <w:highlight w:val="none"/>
        </w:rPr>
        <w:t>项目</w:t>
      </w:r>
      <w:bookmarkEnd w:id="43"/>
      <w:r>
        <w:rPr>
          <w:rFonts w:ascii="Times New Roman"/>
          <w:b/>
          <w:bCs/>
          <w:color w:val="auto"/>
          <w:sz w:val="30"/>
          <w:szCs w:val="30"/>
          <w:highlight w:val="none"/>
        </w:rPr>
        <w:t>内容及要求</w:t>
      </w:r>
      <w:bookmarkEnd w:id="44"/>
      <w:bookmarkEnd w:id="45"/>
      <w:bookmarkEnd w:id="46"/>
    </w:p>
    <w:p>
      <w:pPr>
        <w:pStyle w:val="4"/>
        <w:spacing w:line="489" w:lineRule="exact"/>
        <w:ind w:left="111"/>
        <w:rPr>
          <w:rFonts w:ascii="Times New Roman"/>
          <w:color w:val="auto"/>
          <w:highlight w:val="none"/>
        </w:rPr>
      </w:pPr>
      <w:bookmarkStart w:id="47" w:name="_Toc530573498"/>
      <w:bookmarkStart w:id="48" w:name="_Toc29522"/>
      <w:bookmarkStart w:id="49" w:name="_Toc19050"/>
      <w:bookmarkStart w:id="50" w:name="_Toc27432"/>
      <w:r>
        <w:rPr>
          <w:rFonts w:ascii="Times New Roman"/>
          <w:color w:val="auto"/>
          <w:highlight w:val="none"/>
        </w:rPr>
        <w:t>（一）48段城市黑臭水体、小泉支流、56个湖库及“清水绿岸”20条河流名称</w:t>
      </w:r>
      <w:bookmarkEnd w:id="47"/>
      <w:bookmarkEnd w:id="48"/>
      <w:bookmarkEnd w:id="49"/>
      <w:bookmarkEnd w:id="50"/>
    </w:p>
    <w:tbl>
      <w:tblPr>
        <w:tblStyle w:val="57"/>
        <w:tblW w:w="8634" w:type="dxa"/>
        <w:tblInd w:w="-106" w:type="dxa"/>
        <w:tblLayout w:type="fixed"/>
        <w:tblCellMar>
          <w:top w:w="0" w:type="dxa"/>
          <w:left w:w="108" w:type="dxa"/>
          <w:bottom w:w="0" w:type="dxa"/>
          <w:right w:w="108" w:type="dxa"/>
        </w:tblCellMar>
      </w:tblPr>
      <w:tblGrid>
        <w:gridCol w:w="475"/>
        <w:gridCol w:w="456"/>
        <w:gridCol w:w="10"/>
        <w:gridCol w:w="570"/>
        <w:gridCol w:w="4799"/>
        <w:gridCol w:w="2324"/>
      </w:tblGrid>
      <w:tr>
        <w:tblPrEx>
          <w:tblCellMar>
            <w:top w:w="0" w:type="dxa"/>
            <w:left w:w="108" w:type="dxa"/>
            <w:bottom w:w="0" w:type="dxa"/>
            <w:right w:w="108" w:type="dxa"/>
          </w:tblCellMar>
        </w:tblPrEx>
        <w:trPr>
          <w:trHeight w:val="283" w:hRule="atLeast"/>
        </w:trPr>
        <w:tc>
          <w:tcPr>
            <w:tcW w:w="8634" w:type="dxa"/>
            <w:gridSpan w:val="6"/>
            <w:tcBorders>
              <w:top w:val="nil"/>
              <w:left w:val="nil"/>
              <w:bottom w:val="nil"/>
              <w:right w:val="nil"/>
            </w:tcBorders>
            <w:vAlign w:val="center"/>
          </w:tcPr>
          <w:p>
            <w:pPr>
              <w:widowControl/>
              <w:jc w:val="center"/>
              <w:rPr>
                <w:rFonts w:eastAsia="方正小标宋_GBK"/>
                <w:color w:val="auto"/>
                <w:kern w:val="0"/>
                <w:sz w:val="24"/>
                <w:szCs w:val="24"/>
                <w:highlight w:val="none"/>
              </w:rPr>
            </w:pPr>
            <w:r>
              <w:rPr>
                <w:rFonts w:eastAsia="方正小标宋_GBK"/>
                <w:color w:val="auto"/>
                <w:kern w:val="0"/>
                <w:sz w:val="24"/>
                <w:szCs w:val="24"/>
                <w:highlight w:val="none"/>
              </w:rPr>
              <w:t>表1 已发现的48段城市黑臭水体名称</w:t>
            </w:r>
          </w:p>
        </w:tc>
      </w:tr>
      <w:tr>
        <w:tblPrEx>
          <w:tblCellMar>
            <w:top w:w="0" w:type="dxa"/>
            <w:left w:w="108" w:type="dxa"/>
            <w:bottom w:w="0" w:type="dxa"/>
            <w:right w:w="108" w:type="dxa"/>
          </w:tblCellMar>
        </w:tblPrEx>
        <w:trPr>
          <w:trHeight w:val="283" w:hRule="atLeast"/>
        </w:trPr>
        <w:tc>
          <w:tcPr>
            <w:tcW w:w="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序号</w:t>
            </w:r>
          </w:p>
        </w:tc>
        <w:tc>
          <w:tcPr>
            <w:tcW w:w="1036" w:type="dxa"/>
            <w:gridSpan w:val="3"/>
            <w:tcBorders>
              <w:top w:val="single" w:color="auto" w:sz="4" w:space="0"/>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区位</w:t>
            </w:r>
          </w:p>
        </w:tc>
        <w:tc>
          <w:tcPr>
            <w:tcW w:w="4799" w:type="dxa"/>
            <w:tcBorders>
              <w:top w:val="single" w:color="auto" w:sz="4" w:space="0"/>
              <w:left w:val="nil"/>
              <w:bottom w:val="single" w:color="auto" w:sz="4" w:space="0"/>
              <w:right w:val="single" w:color="auto" w:sz="4" w:space="0"/>
            </w:tcBorders>
            <w:vAlign w:val="center"/>
          </w:tcPr>
          <w:p>
            <w:pPr>
              <w:widowControl/>
              <w:ind w:firstLine="720" w:firstLineChars="300"/>
              <w:jc w:val="left"/>
              <w:textAlignment w:val="center"/>
              <w:rPr>
                <w:color w:val="auto"/>
                <w:sz w:val="24"/>
                <w:szCs w:val="24"/>
                <w:highlight w:val="none"/>
              </w:rPr>
            </w:pPr>
            <w:r>
              <w:rPr>
                <w:rFonts w:hint="eastAsia"/>
                <w:color w:val="auto"/>
                <w:sz w:val="24"/>
                <w:szCs w:val="24"/>
                <w:highlight w:val="none"/>
              </w:rPr>
              <w:t>城市黑臭水体名称</w:t>
            </w:r>
          </w:p>
        </w:tc>
        <w:tc>
          <w:tcPr>
            <w:tcW w:w="2324" w:type="dxa"/>
            <w:tcBorders>
              <w:top w:val="single" w:color="auto" w:sz="4" w:space="0"/>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长度（公里）</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w:t>
            </w:r>
          </w:p>
        </w:tc>
        <w:tc>
          <w:tcPr>
            <w:tcW w:w="466" w:type="dxa"/>
            <w:gridSpan w:val="2"/>
            <w:vMerge w:val="restart"/>
            <w:tcBorders>
              <w:top w:val="nil"/>
              <w:left w:val="single" w:color="auto" w:sz="4" w:space="0"/>
              <w:bottom w:val="single" w:color="000000"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主</w:t>
            </w:r>
            <w:r>
              <w:rPr>
                <w:color w:val="auto"/>
                <w:sz w:val="24"/>
                <w:szCs w:val="24"/>
                <w:highlight w:val="none"/>
              </w:rPr>
              <w:br w:type="textWrapping"/>
            </w:r>
            <w:r>
              <w:rPr>
                <w:rFonts w:hint="eastAsia"/>
                <w:color w:val="auto"/>
                <w:sz w:val="24"/>
                <w:szCs w:val="24"/>
                <w:highlight w:val="none"/>
              </w:rPr>
              <w:t>城</w:t>
            </w:r>
            <w:r>
              <w:rPr>
                <w:color w:val="auto"/>
                <w:sz w:val="24"/>
                <w:szCs w:val="24"/>
                <w:highlight w:val="none"/>
              </w:rPr>
              <w:br w:type="textWrapping"/>
            </w:r>
            <w:r>
              <w:rPr>
                <w:rFonts w:hint="eastAsia"/>
                <w:color w:val="auto"/>
                <w:sz w:val="24"/>
                <w:szCs w:val="24"/>
                <w:highlight w:val="none"/>
              </w:rPr>
              <w:t>区</w:t>
            </w: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江北</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盘溪河（大庆村</w:t>
            </w:r>
            <w:r>
              <w:rPr>
                <w:color w:val="auto"/>
                <w:sz w:val="24"/>
                <w:szCs w:val="24"/>
                <w:highlight w:val="none"/>
              </w:rPr>
              <w:t>-</w:t>
            </w:r>
            <w:r>
              <w:rPr>
                <w:rFonts w:hint="eastAsia"/>
                <w:color w:val="auto"/>
                <w:sz w:val="24"/>
                <w:szCs w:val="24"/>
                <w:highlight w:val="none"/>
              </w:rPr>
              <w:t>盘溪河入口）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3.6</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肖家河（双龙桥</w:t>
            </w:r>
            <w:r>
              <w:rPr>
                <w:color w:val="auto"/>
                <w:sz w:val="24"/>
                <w:szCs w:val="24"/>
                <w:highlight w:val="none"/>
              </w:rPr>
              <w:t>-</w:t>
            </w:r>
            <w:r>
              <w:rPr>
                <w:rFonts w:hint="eastAsia"/>
                <w:color w:val="auto"/>
                <w:sz w:val="24"/>
                <w:szCs w:val="24"/>
                <w:highlight w:val="none"/>
              </w:rPr>
              <w:t>入长江口）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2.64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溉澜溪（鲁能星城九街区</w:t>
            </w:r>
            <w:r>
              <w:rPr>
                <w:color w:val="auto"/>
                <w:sz w:val="24"/>
                <w:szCs w:val="24"/>
                <w:highlight w:val="none"/>
              </w:rPr>
              <w:t>A</w:t>
            </w:r>
            <w:r>
              <w:rPr>
                <w:rFonts w:hint="eastAsia"/>
                <w:color w:val="auto"/>
                <w:sz w:val="24"/>
                <w:szCs w:val="24"/>
                <w:highlight w:val="none"/>
              </w:rPr>
              <w:t>区</w:t>
            </w:r>
            <w:r>
              <w:rPr>
                <w:color w:val="auto"/>
                <w:sz w:val="24"/>
                <w:szCs w:val="24"/>
                <w:highlight w:val="none"/>
              </w:rPr>
              <w:t>-</w:t>
            </w:r>
            <w:r>
              <w:rPr>
                <w:rFonts w:hint="eastAsia"/>
                <w:color w:val="auto"/>
                <w:sz w:val="24"/>
                <w:szCs w:val="24"/>
                <w:highlight w:val="none"/>
              </w:rPr>
              <w:t>江北嘴入长江口）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沙坪坝</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跳蹬河（杨梨沟污水处理站</w:t>
            </w:r>
            <w:r>
              <w:rPr>
                <w:color w:val="auto"/>
                <w:sz w:val="24"/>
                <w:szCs w:val="24"/>
                <w:highlight w:val="none"/>
              </w:rPr>
              <w:t>-</w:t>
            </w:r>
            <w:r>
              <w:rPr>
                <w:rFonts w:hint="eastAsia"/>
                <w:color w:val="auto"/>
                <w:sz w:val="24"/>
                <w:szCs w:val="24"/>
                <w:highlight w:val="none"/>
              </w:rPr>
              <w:t>沙坪坝区</w:t>
            </w:r>
            <w:r>
              <w:rPr>
                <w:color w:val="auto"/>
                <w:sz w:val="24"/>
                <w:szCs w:val="24"/>
                <w:highlight w:val="none"/>
              </w:rPr>
              <w:t>-</w:t>
            </w:r>
            <w:r>
              <w:rPr>
                <w:rFonts w:hint="eastAsia"/>
                <w:color w:val="auto"/>
                <w:sz w:val="24"/>
                <w:szCs w:val="24"/>
                <w:highlight w:val="none"/>
              </w:rPr>
              <w:t>九龙坡区交界处）</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5</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清水溪（重师后门</w:t>
            </w:r>
            <w:r>
              <w:rPr>
                <w:color w:val="auto"/>
                <w:sz w:val="24"/>
                <w:szCs w:val="24"/>
                <w:highlight w:val="none"/>
              </w:rPr>
              <w:t>-</w:t>
            </w:r>
            <w:r>
              <w:rPr>
                <w:rFonts w:hint="eastAsia"/>
                <w:color w:val="auto"/>
                <w:sz w:val="24"/>
                <w:szCs w:val="24"/>
                <w:highlight w:val="none"/>
              </w:rPr>
              <w:t>清水溪入江口）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6</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凤凰溪（</w:t>
            </w:r>
            <w:r>
              <w:rPr>
                <w:color w:val="auto"/>
                <w:sz w:val="24"/>
                <w:szCs w:val="24"/>
                <w:highlight w:val="none"/>
              </w:rPr>
              <w:t>69</w:t>
            </w:r>
            <w:r>
              <w:rPr>
                <w:rFonts w:hint="eastAsia"/>
                <w:color w:val="auto"/>
                <w:sz w:val="24"/>
                <w:szCs w:val="24"/>
                <w:highlight w:val="none"/>
              </w:rPr>
              <w:t>中</w:t>
            </w:r>
            <w:r>
              <w:rPr>
                <w:color w:val="auto"/>
                <w:sz w:val="24"/>
                <w:szCs w:val="24"/>
                <w:highlight w:val="none"/>
              </w:rPr>
              <w:t>-</w:t>
            </w:r>
            <w:r>
              <w:rPr>
                <w:rFonts w:hint="eastAsia"/>
                <w:color w:val="auto"/>
                <w:sz w:val="24"/>
                <w:szCs w:val="24"/>
                <w:highlight w:val="none"/>
              </w:rPr>
              <w:t>入嘉陵江口）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0.8</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7</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詹家溪（双碑</w:t>
            </w:r>
            <w:r>
              <w:rPr>
                <w:color w:val="auto"/>
                <w:sz w:val="24"/>
                <w:szCs w:val="24"/>
                <w:highlight w:val="none"/>
              </w:rPr>
              <w:t>-</w:t>
            </w:r>
            <w:r>
              <w:rPr>
                <w:rFonts w:hint="eastAsia"/>
                <w:color w:val="auto"/>
                <w:sz w:val="24"/>
                <w:szCs w:val="24"/>
                <w:highlight w:val="none"/>
              </w:rPr>
              <w:t>嘉陵江）</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8</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九龙坡</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桃花溪（彩云湖</w:t>
            </w:r>
            <w:r>
              <w:rPr>
                <w:color w:val="auto"/>
                <w:sz w:val="24"/>
                <w:szCs w:val="24"/>
                <w:highlight w:val="none"/>
              </w:rPr>
              <w:t>-</w:t>
            </w:r>
            <w:r>
              <w:rPr>
                <w:rFonts w:hint="eastAsia"/>
                <w:color w:val="auto"/>
                <w:sz w:val="24"/>
                <w:szCs w:val="24"/>
                <w:highlight w:val="none"/>
              </w:rPr>
              <w:t>动物园老大门段）</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4.79</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9</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跳蹬河（玉清寺派出所</w:t>
            </w:r>
            <w:r>
              <w:rPr>
                <w:color w:val="auto"/>
                <w:sz w:val="24"/>
                <w:szCs w:val="24"/>
                <w:highlight w:val="none"/>
              </w:rPr>
              <w:t>-</w:t>
            </w:r>
            <w:r>
              <w:rPr>
                <w:rFonts w:hint="eastAsia"/>
                <w:color w:val="auto"/>
                <w:sz w:val="24"/>
                <w:szCs w:val="24"/>
                <w:highlight w:val="none"/>
              </w:rPr>
              <w:t>石龙村）</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14.15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10</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南岸</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苦溪河（雷家桥水库</w:t>
            </w:r>
            <w:r>
              <w:rPr>
                <w:color w:val="auto"/>
                <w:sz w:val="24"/>
                <w:szCs w:val="24"/>
                <w:highlight w:val="none"/>
              </w:rPr>
              <w:t>-</w:t>
            </w:r>
            <w:r>
              <w:rPr>
                <w:rFonts w:hint="eastAsia"/>
                <w:color w:val="auto"/>
                <w:sz w:val="24"/>
                <w:szCs w:val="24"/>
                <w:highlight w:val="none"/>
              </w:rPr>
              <w:t>乐天大桥段）</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10.4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11</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白沙河（东西大道河段）</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3.82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12</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纳溪沟（黄山</w:t>
            </w:r>
            <w:r>
              <w:rPr>
                <w:color w:val="auto"/>
                <w:sz w:val="24"/>
                <w:szCs w:val="24"/>
                <w:highlight w:val="none"/>
              </w:rPr>
              <w:t>-</w:t>
            </w:r>
            <w:r>
              <w:rPr>
                <w:rFonts w:hint="eastAsia"/>
                <w:color w:val="auto"/>
                <w:sz w:val="24"/>
                <w:szCs w:val="24"/>
                <w:highlight w:val="none"/>
              </w:rPr>
              <w:t>长江）</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1.92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13</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北碚</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山王溪（庆铃铸造厂</w:t>
            </w:r>
            <w:r>
              <w:rPr>
                <w:color w:val="auto"/>
                <w:sz w:val="24"/>
                <w:szCs w:val="24"/>
                <w:highlight w:val="none"/>
              </w:rPr>
              <w:t>-</w:t>
            </w:r>
            <w:r>
              <w:rPr>
                <w:rFonts w:hint="eastAsia"/>
                <w:color w:val="auto"/>
                <w:sz w:val="24"/>
                <w:szCs w:val="24"/>
                <w:highlight w:val="none"/>
              </w:rPr>
              <w:t>入嘉陵江口）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8.2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14</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马鞍溪（红熙山寨</w:t>
            </w:r>
            <w:r>
              <w:rPr>
                <w:color w:val="auto"/>
                <w:sz w:val="24"/>
                <w:szCs w:val="24"/>
                <w:highlight w:val="none"/>
              </w:rPr>
              <w:t>-</w:t>
            </w:r>
            <w:r>
              <w:rPr>
                <w:rFonts w:hint="eastAsia"/>
                <w:color w:val="auto"/>
                <w:sz w:val="24"/>
                <w:szCs w:val="24"/>
                <w:highlight w:val="none"/>
              </w:rPr>
              <w:t>龙滩子水库入口）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15</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color w:val="auto"/>
                <w:sz w:val="24"/>
                <w:szCs w:val="24"/>
                <w:highlight w:val="none"/>
              </w:rPr>
              <w:t>双凤溪（48</w:t>
            </w:r>
            <w:r>
              <w:rPr>
                <w:rFonts w:hint="eastAsia"/>
                <w:color w:val="auto"/>
                <w:sz w:val="24"/>
                <w:szCs w:val="24"/>
                <w:highlight w:val="none"/>
              </w:rPr>
              <w:t>中</w:t>
            </w:r>
            <w:r>
              <w:rPr>
                <w:color w:val="auto"/>
                <w:sz w:val="24"/>
                <w:szCs w:val="24"/>
                <w:highlight w:val="none"/>
              </w:rPr>
              <w:t>-</w:t>
            </w:r>
            <w:r>
              <w:rPr>
                <w:rFonts w:hint="eastAsia"/>
                <w:color w:val="auto"/>
                <w:sz w:val="24"/>
                <w:szCs w:val="24"/>
                <w:highlight w:val="none"/>
              </w:rPr>
              <w:t>梁滩河入口）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16</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color w:val="auto"/>
                <w:sz w:val="24"/>
                <w:szCs w:val="24"/>
                <w:highlight w:val="none"/>
              </w:rPr>
              <w:t>马河溪（蔡家中央广场-</w:t>
            </w:r>
            <w:r>
              <w:rPr>
                <w:rFonts w:hint="eastAsia"/>
                <w:color w:val="auto"/>
                <w:sz w:val="24"/>
                <w:szCs w:val="24"/>
                <w:highlight w:val="none"/>
              </w:rPr>
              <w:t>嘉陵江入口）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4.7</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17</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渝北</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盘溪河（盘溪河公园箱涵处</w:t>
            </w:r>
            <w:r>
              <w:rPr>
                <w:color w:val="auto"/>
                <w:sz w:val="24"/>
                <w:szCs w:val="24"/>
                <w:highlight w:val="none"/>
              </w:rPr>
              <w:t>-</w:t>
            </w:r>
            <w:r>
              <w:rPr>
                <w:rFonts w:hint="eastAsia"/>
                <w:color w:val="auto"/>
                <w:sz w:val="24"/>
                <w:szCs w:val="24"/>
                <w:highlight w:val="none"/>
              </w:rPr>
              <w:t>盘溪河公园（红岩水库）大坝处）</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18</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盘溪河（红岩水库大坝处</w:t>
            </w:r>
            <w:r>
              <w:rPr>
                <w:color w:val="auto"/>
                <w:sz w:val="24"/>
                <w:szCs w:val="24"/>
                <w:highlight w:val="none"/>
              </w:rPr>
              <w:t>-</w:t>
            </w:r>
            <w:r>
              <w:rPr>
                <w:rFonts w:hint="eastAsia"/>
                <w:color w:val="auto"/>
                <w:sz w:val="24"/>
                <w:szCs w:val="24"/>
                <w:highlight w:val="none"/>
              </w:rPr>
              <w:t>大庆村）</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2.13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19</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肖家河（陡溪大桥</w:t>
            </w:r>
            <w:r>
              <w:rPr>
                <w:color w:val="auto"/>
                <w:sz w:val="24"/>
                <w:szCs w:val="24"/>
                <w:highlight w:val="none"/>
              </w:rPr>
              <w:t>-</w:t>
            </w:r>
            <w:r>
              <w:rPr>
                <w:rFonts w:hint="eastAsia"/>
                <w:color w:val="auto"/>
                <w:sz w:val="24"/>
                <w:szCs w:val="24"/>
                <w:highlight w:val="none"/>
              </w:rPr>
              <w:t>双龙桥）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20</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肖家河（回兴街道白鹤村</w:t>
            </w:r>
            <w:r>
              <w:rPr>
                <w:color w:val="auto"/>
                <w:sz w:val="24"/>
                <w:szCs w:val="24"/>
                <w:highlight w:val="none"/>
              </w:rPr>
              <w:t>1</w:t>
            </w:r>
            <w:r>
              <w:rPr>
                <w:rFonts w:hint="eastAsia"/>
                <w:color w:val="auto"/>
                <w:sz w:val="24"/>
                <w:szCs w:val="24"/>
                <w:highlight w:val="none"/>
              </w:rPr>
              <w:t>社村污水处理厂</w:t>
            </w:r>
            <w:r>
              <w:rPr>
                <w:color w:val="auto"/>
                <w:sz w:val="24"/>
                <w:szCs w:val="24"/>
                <w:highlight w:val="none"/>
              </w:rPr>
              <w:t>-</w:t>
            </w:r>
            <w:r>
              <w:rPr>
                <w:rFonts w:hint="eastAsia"/>
                <w:color w:val="auto"/>
                <w:sz w:val="24"/>
                <w:szCs w:val="24"/>
                <w:highlight w:val="none"/>
              </w:rPr>
              <w:t>创新经济走廊长河溪箱涵入口处）</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2.7</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21</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溉澜溪（新华水库箱涵处</w:t>
            </w:r>
            <w:r>
              <w:rPr>
                <w:color w:val="auto"/>
                <w:sz w:val="24"/>
                <w:szCs w:val="24"/>
                <w:highlight w:val="none"/>
              </w:rPr>
              <w:t>-</w:t>
            </w:r>
            <w:r>
              <w:rPr>
                <w:rFonts w:hint="eastAsia"/>
                <w:color w:val="auto"/>
                <w:sz w:val="24"/>
                <w:szCs w:val="24"/>
                <w:highlight w:val="none"/>
              </w:rPr>
              <w:t>鲁能星城九街区入江北断面处）</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1.5</w:t>
            </w:r>
          </w:p>
        </w:tc>
      </w:tr>
      <w:tr>
        <w:tblPrEx>
          <w:tblCellMar>
            <w:top w:w="0" w:type="dxa"/>
            <w:left w:w="108" w:type="dxa"/>
            <w:bottom w:w="0" w:type="dxa"/>
            <w:right w:w="108" w:type="dxa"/>
          </w:tblCellMar>
        </w:tblPrEx>
        <w:trPr>
          <w:trHeight w:val="341"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22</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中央公园镜湖</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23</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巴南</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花溪河（老龙洞</w:t>
            </w:r>
            <w:r>
              <w:rPr>
                <w:color w:val="auto"/>
                <w:sz w:val="24"/>
                <w:szCs w:val="24"/>
                <w:highlight w:val="none"/>
              </w:rPr>
              <w:t>-</w:t>
            </w:r>
            <w:r>
              <w:rPr>
                <w:rFonts w:hint="eastAsia"/>
                <w:color w:val="auto"/>
                <w:sz w:val="24"/>
                <w:szCs w:val="24"/>
                <w:highlight w:val="none"/>
              </w:rPr>
              <w:t>入长江口）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22.3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24</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一品河（职教城</w:t>
            </w:r>
            <w:r>
              <w:rPr>
                <w:color w:val="auto"/>
                <w:sz w:val="24"/>
                <w:szCs w:val="24"/>
                <w:highlight w:val="none"/>
              </w:rPr>
              <w:t>-</w:t>
            </w:r>
            <w:r>
              <w:rPr>
                <w:rFonts w:hint="eastAsia"/>
                <w:color w:val="auto"/>
                <w:sz w:val="24"/>
                <w:szCs w:val="24"/>
                <w:highlight w:val="none"/>
              </w:rPr>
              <w:t>鱼洞入江口）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5.1</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25</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黄溪河（凯川</w:t>
            </w:r>
            <w:r>
              <w:rPr>
                <w:color w:val="auto"/>
                <w:sz w:val="24"/>
                <w:szCs w:val="24"/>
                <w:highlight w:val="none"/>
              </w:rPr>
              <w:t>.</w:t>
            </w:r>
            <w:r>
              <w:rPr>
                <w:rFonts w:hint="eastAsia"/>
                <w:color w:val="auto"/>
                <w:sz w:val="24"/>
                <w:szCs w:val="24"/>
                <w:highlight w:val="none"/>
              </w:rPr>
              <w:t>大江东岸</w:t>
            </w:r>
            <w:r>
              <w:rPr>
                <w:color w:val="auto"/>
                <w:sz w:val="24"/>
                <w:szCs w:val="24"/>
                <w:highlight w:val="none"/>
              </w:rPr>
              <w:t>-</w:t>
            </w:r>
            <w:r>
              <w:rPr>
                <w:rFonts w:hint="eastAsia"/>
                <w:color w:val="auto"/>
                <w:sz w:val="24"/>
                <w:szCs w:val="24"/>
                <w:highlight w:val="none"/>
              </w:rPr>
              <w:t>黄溪口入长江口）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5.7</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26</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000000" w:sz="4" w:space="0"/>
              <w:right w:val="single" w:color="auto" w:sz="4" w:space="0"/>
            </w:tcBorders>
            <w:vAlign w:val="center"/>
          </w:tcPr>
          <w:p>
            <w:pPr>
              <w:widowControl/>
              <w:jc w:val="center"/>
              <w:textAlignment w:val="center"/>
              <w:rPr>
                <w:color w:val="auto"/>
                <w:sz w:val="24"/>
                <w:szCs w:val="24"/>
                <w:highlight w:val="none"/>
              </w:rPr>
            </w:pPr>
            <w:r>
              <w:rPr>
                <w:rFonts w:hint="eastAsia"/>
                <w:color w:val="auto"/>
                <w:sz w:val="24"/>
                <w:szCs w:val="24"/>
                <w:highlight w:val="none"/>
              </w:rPr>
              <w:t>两江新区</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盘溪河（茶坪水库出口</w:t>
            </w:r>
            <w:r>
              <w:rPr>
                <w:color w:val="auto"/>
                <w:sz w:val="24"/>
                <w:szCs w:val="24"/>
                <w:highlight w:val="none"/>
              </w:rPr>
              <w:t>-</w:t>
            </w:r>
            <w:r>
              <w:rPr>
                <w:rFonts w:hint="eastAsia"/>
                <w:color w:val="auto"/>
                <w:sz w:val="24"/>
                <w:szCs w:val="24"/>
                <w:highlight w:val="none"/>
              </w:rPr>
              <w:t>川剧院）</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27</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color w:val="auto"/>
                <w:sz w:val="24"/>
                <w:szCs w:val="24"/>
                <w:highlight w:val="none"/>
              </w:rPr>
              <w:t>盘溪河（五一水库出口-</w:t>
            </w:r>
            <w:r>
              <w:rPr>
                <w:rFonts w:hint="eastAsia"/>
                <w:color w:val="auto"/>
                <w:sz w:val="24"/>
                <w:szCs w:val="24"/>
                <w:highlight w:val="none"/>
              </w:rPr>
              <w:t>红岩水库入口）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28</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盘溪河（人和丽景小区（汪家桥）</w:t>
            </w:r>
            <w:r>
              <w:rPr>
                <w:color w:val="auto"/>
                <w:sz w:val="24"/>
                <w:szCs w:val="24"/>
                <w:highlight w:val="none"/>
              </w:rPr>
              <w:t>-</w:t>
            </w:r>
            <w:r>
              <w:rPr>
                <w:rFonts w:hint="eastAsia"/>
                <w:color w:val="auto"/>
                <w:sz w:val="24"/>
                <w:szCs w:val="24"/>
                <w:highlight w:val="none"/>
              </w:rPr>
              <w:t>五一水库）</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29</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color w:val="auto"/>
                <w:sz w:val="24"/>
                <w:szCs w:val="24"/>
                <w:highlight w:val="none"/>
              </w:rPr>
              <w:t>肖家河（高石水库-</w:t>
            </w:r>
            <w:r>
              <w:rPr>
                <w:rFonts w:hint="eastAsia"/>
                <w:color w:val="auto"/>
                <w:sz w:val="24"/>
                <w:szCs w:val="24"/>
                <w:highlight w:val="none"/>
              </w:rPr>
              <w:t>陡溪大桥）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2.41</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30</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跳墩河（康庄美地</w:t>
            </w:r>
            <w:r>
              <w:rPr>
                <w:color w:val="auto"/>
                <w:sz w:val="24"/>
                <w:szCs w:val="24"/>
                <w:highlight w:val="none"/>
              </w:rPr>
              <w:t>-</w:t>
            </w:r>
            <w:r>
              <w:rPr>
                <w:rFonts w:hint="eastAsia"/>
                <w:color w:val="auto"/>
                <w:sz w:val="24"/>
                <w:szCs w:val="24"/>
                <w:highlight w:val="none"/>
              </w:rPr>
              <w:t>入江口）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4.79</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31</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color w:val="auto"/>
                <w:sz w:val="24"/>
                <w:szCs w:val="24"/>
                <w:highlight w:val="none"/>
              </w:rPr>
              <w:t>肖家河（金鹏.</w:t>
            </w:r>
            <w:r>
              <w:rPr>
                <w:rFonts w:hint="eastAsia"/>
                <w:color w:val="auto"/>
                <w:sz w:val="24"/>
                <w:szCs w:val="24"/>
                <w:highlight w:val="none"/>
              </w:rPr>
              <w:t>两江时光附近</w:t>
            </w:r>
            <w:r>
              <w:rPr>
                <w:color w:val="auto"/>
                <w:sz w:val="24"/>
                <w:szCs w:val="24"/>
                <w:highlight w:val="none"/>
              </w:rPr>
              <w:t>-</w:t>
            </w:r>
            <w:r>
              <w:rPr>
                <w:rFonts w:hint="eastAsia"/>
                <w:color w:val="auto"/>
                <w:sz w:val="24"/>
                <w:szCs w:val="24"/>
                <w:highlight w:val="none"/>
              </w:rPr>
              <w:t>陡溪大桥）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32</w:t>
            </w:r>
          </w:p>
        </w:tc>
        <w:tc>
          <w:tcPr>
            <w:tcW w:w="466" w:type="dxa"/>
            <w:gridSpan w:val="2"/>
            <w:vMerge w:val="restart"/>
            <w:tcBorders>
              <w:top w:val="nil"/>
              <w:left w:val="single" w:color="auto" w:sz="4" w:space="0"/>
              <w:bottom w:val="single" w:color="000000"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远</w:t>
            </w:r>
            <w:r>
              <w:rPr>
                <w:color w:val="auto"/>
                <w:sz w:val="24"/>
                <w:szCs w:val="24"/>
                <w:highlight w:val="none"/>
              </w:rPr>
              <w:br w:type="textWrapping"/>
            </w:r>
            <w:r>
              <w:rPr>
                <w:rFonts w:hint="eastAsia"/>
                <w:color w:val="auto"/>
                <w:sz w:val="24"/>
                <w:szCs w:val="24"/>
                <w:highlight w:val="none"/>
              </w:rPr>
              <w:t>郊</w:t>
            </w:r>
            <w:r>
              <w:rPr>
                <w:color w:val="auto"/>
                <w:sz w:val="24"/>
                <w:szCs w:val="24"/>
                <w:highlight w:val="none"/>
              </w:rPr>
              <w:br w:type="textWrapping"/>
            </w:r>
            <w:r>
              <w:rPr>
                <w:rFonts w:hint="eastAsia"/>
                <w:color w:val="auto"/>
                <w:sz w:val="24"/>
                <w:szCs w:val="24"/>
                <w:highlight w:val="none"/>
              </w:rPr>
              <w:t>区</w:t>
            </w:r>
            <w:r>
              <w:rPr>
                <w:color w:val="auto"/>
                <w:sz w:val="24"/>
                <w:szCs w:val="24"/>
                <w:highlight w:val="none"/>
              </w:rPr>
              <w:br w:type="textWrapping"/>
            </w:r>
            <w:r>
              <w:rPr>
                <w:rFonts w:hint="eastAsia"/>
                <w:color w:val="auto"/>
                <w:sz w:val="24"/>
                <w:szCs w:val="24"/>
                <w:highlight w:val="none"/>
              </w:rPr>
              <w:t>县</w:t>
            </w:r>
          </w:p>
        </w:tc>
        <w:tc>
          <w:tcPr>
            <w:tcW w:w="570"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铜梁</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巴川河（明月寺</w:t>
            </w:r>
            <w:r>
              <w:rPr>
                <w:color w:val="auto"/>
                <w:sz w:val="24"/>
                <w:szCs w:val="24"/>
                <w:highlight w:val="none"/>
              </w:rPr>
              <w:t>-</w:t>
            </w:r>
            <w:r>
              <w:rPr>
                <w:rFonts w:hint="eastAsia"/>
                <w:color w:val="auto"/>
                <w:sz w:val="24"/>
                <w:szCs w:val="24"/>
                <w:highlight w:val="none"/>
              </w:rPr>
              <w:t>双河口）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6</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33</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长寿</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桃花溪（范家桥水库</w:t>
            </w:r>
            <w:r>
              <w:rPr>
                <w:color w:val="auto"/>
                <w:sz w:val="24"/>
                <w:szCs w:val="24"/>
                <w:highlight w:val="none"/>
              </w:rPr>
              <w:t>-</w:t>
            </w:r>
            <w:r>
              <w:rPr>
                <w:rFonts w:hint="eastAsia"/>
                <w:color w:val="auto"/>
                <w:sz w:val="24"/>
                <w:szCs w:val="24"/>
                <w:highlight w:val="none"/>
              </w:rPr>
              <w:t>河街新桥出口）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10.03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34</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綦江</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沙溪河（高速大桥下</w:t>
            </w:r>
            <w:r>
              <w:rPr>
                <w:color w:val="auto"/>
                <w:sz w:val="24"/>
                <w:szCs w:val="24"/>
                <w:highlight w:val="none"/>
              </w:rPr>
              <w:t>-</w:t>
            </w:r>
            <w:r>
              <w:rPr>
                <w:rFonts w:hint="eastAsia"/>
                <w:color w:val="auto"/>
                <w:sz w:val="24"/>
                <w:szCs w:val="24"/>
                <w:highlight w:val="none"/>
              </w:rPr>
              <w:t>入河口）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4.23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35</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nil"/>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通惠河（邓家河大桥</w:t>
            </w:r>
            <w:r>
              <w:rPr>
                <w:color w:val="auto"/>
                <w:sz w:val="24"/>
                <w:szCs w:val="24"/>
                <w:highlight w:val="none"/>
              </w:rPr>
              <w:t>-</w:t>
            </w:r>
            <w:r>
              <w:rPr>
                <w:rFonts w:hint="eastAsia"/>
                <w:color w:val="auto"/>
                <w:sz w:val="24"/>
                <w:szCs w:val="24"/>
                <w:highlight w:val="none"/>
              </w:rPr>
              <w:t>龙角桥）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36</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rFonts w:hint="eastAsia"/>
                <w:color w:val="auto"/>
                <w:sz w:val="24"/>
                <w:szCs w:val="24"/>
                <w:highlight w:val="none"/>
              </w:rPr>
              <w:t>荣昌</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池水河（万福寺水库泄洪闸</w:t>
            </w:r>
            <w:r>
              <w:rPr>
                <w:color w:val="auto"/>
                <w:sz w:val="24"/>
                <w:szCs w:val="24"/>
                <w:highlight w:val="none"/>
              </w:rPr>
              <w:t>-</w:t>
            </w:r>
            <w:r>
              <w:rPr>
                <w:rFonts w:hint="eastAsia"/>
                <w:color w:val="auto"/>
                <w:sz w:val="24"/>
                <w:szCs w:val="24"/>
                <w:highlight w:val="none"/>
              </w:rPr>
              <w:t>濑溪河入口）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6.96</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37</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荣峰河（东湖水库泄洪闸</w:t>
            </w:r>
            <w:r>
              <w:rPr>
                <w:color w:val="auto"/>
                <w:sz w:val="24"/>
                <w:szCs w:val="24"/>
                <w:highlight w:val="none"/>
              </w:rPr>
              <w:t>-</w:t>
            </w:r>
            <w:r>
              <w:rPr>
                <w:rFonts w:hint="eastAsia"/>
                <w:color w:val="auto"/>
                <w:sz w:val="24"/>
                <w:szCs w:val="24"/>
                <w:highlight w:val="none"/>
              </w:rPr>
              <w:t>濑溪河入口）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7.94</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38</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永川</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红旗河（文化艺术中心</w:t>
            </w:r>
            <w:r>
              <w:rPr>
                <w:color w:val="auto"/>
                <w:sz w:val="24"/>
                <w:szCs w:val="24"/>
                <w:highlight w:val="none"/>
              </w:rPr>
              <w:t>-</w:t>
            </w:r>
            <w:r>
              <w:rPr>
                <w:rFonts w:hint="eastAsia"/>
                <w:color w:val="auto"/>
                <w:sz w:val="24"/>
                <w:szCs w:val="24"/>
                <w:highlight w:val="none"/>
              </w:rPr>
              <w:t>双河</w:t>
            </w:r>
            <w:r>
              <w:rPr>
                <w:color w:val="auto"/>
                <w:sz w:val="24"/>
                <w:szCs w:val="24"/>
                <w:highlight w:val="none"/>
              </w:rPr>
              <w:t>2</w:t>
            </w:r>
            <w:r>
              <w:rPr>
                <w:rFonts w:hint="eastAsia"/>
                <w:color w:val="auto"/>
                <w:sz w:val="24"/>
                <w:szCs w:val="24"/>
                <w:highlight w:val="none"/>
              </w:rPr>
              <w:t>号桥）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3.496</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39</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nil"/>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胜利河（普渡桥</w:t>
            </w:r>
            <w:r>
              <w:rPr>
                <w:color w:val="auto"/>
                <w:sz w:val="24"/>
                <w:szCs w:val="24"/>
                <w:highlight w:val="none"/>
              </w:rPr>
              <w:t>-</w:t>
            </w:r>
            <w:r>
              <w:rPr>
                <w:rFonts w:hint="eastAsia"/>
                <w:color w:val="auto"/>
                <w:sz w:val="24"/>
                <w:szCs w:val="24"/>
                <w:highlight w:val="none"/>
              </w:rPr>
              <w:t>红旗小学桥）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1.2</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40</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nil"/>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萱花河（蚂蝗桥路口旁的涵洞</w:t>
            </w:r>
            <w:r>
              <w:rPr>
                <w:color w:val="auto"/>
                <w:sz w:val="24"/>
                <w:szCs w:val="24"/>
                <w:highlight w:val="none"/>
              </w:rPr>
              <w:t>-</w:t>
            </w:r>
            <w:r>
              <w:rPr>
                <w:rFonts w:hint="eastAsia"/>
                <w:color w:val="auto"/>
                <w:sz w:val="24"/>
                <w:szCs w:val="24"/>
                <w:highlight w:val="none"/>
              </w:rPr>
              <w:t>文曲桥）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1.28</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41</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玉屏河（辛河桥</w:t>
            </w:r>
            <w:r>
              <w:rPr>
                <w:color w:val="auto"/>
                <w:sz w:val="24"/>
                <w:szCs w:val="24"/>
                <w:highlight w:val="none"/>
              </w:rPr>
              <w:t>-</w:t>
            </w:r>
            <w:r>
              <w:rPr>
                <w:rFonts w:hint="eastAsia"/>
                <w:color w:val="auto"/>
                <w:sz w:val="24"/>
                <w:szCs w:val="24"/>
                <w:highlight w:val="none"/>
              </w:rPr>
              <w:t>三岔河）</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2.8</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42</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auto"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跳蹬河（东南桥上游</w:t>
            </w:r>
            <w:r>
              <w:rPr>
                <w:color w:val="auto"/>
                <w:sz w:val="24"/>
                <w:szCs w:val="24"/>
                <w:highlight w:val="none"/>
              </w:rPr>
              <w:t>200</w:t>
            </w:r>
            <w:r>
              <w:rPr>
                <w:rFonts w:hint="eastAsia"/>
                <w:color w:val="auto"/>
                <w:sz w:val="24"/>
                <w:szCs w:val="24"/>
                <w:highlight w:val="none"/>
              </w:rPr>
              <w:t>米闸坝</w:t>
            </w:r>
            <w:r>
              <w:rPr>
                <w:color w:val="auto"/>
                <w:sz w:val="24"/>
                <w:szCs w:val="24"/>
                <w:highlight w:val="none"/>
              </w:rPr>
              <w:t>-</w:t>
            </w:r>
            <w:r>
              <w:rPr>
                <w:rFonts w:hint="eastAsia"/>
                <w:color w:val="auto"/>
                <w:sz w:val="24"/>
                <w:szCs w:val="24"/>
                <w:highlight w:val="none"/>
              </w:rPr>
              <w:t>三岔河）</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2.859</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43</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潼南</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潼南新城鹿鼎湖（鹿鼎湖进水口</w:t>
            </w:r>
            <w:r>
              <w:rPr>
                <w:color w:val="auto"/>
                <w:sz w:val="24"/>
                <w:szCs w:val="24"/>
                <w:highlight w:val="none"/>
              </w:rPr>
              <w:t>-</w:t>
            </w:r>
            <w:r>
              <w:rPr>
                <w:rFonts w:hint="eastAsia"/>
                <w:color w:val="auto"/>
                <w:sz w:val="24"/>
                <w:szCs w:val="24"/>
                <w:highlight w:val="none"/>
              </w:rPr>
              <w:t>鹿鼎湖出水口）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0.</w:t>
            </w:r>
            <w:bookmarkStart w:id="223" w:name="_GoBack"/>
            <w:r>
              <w:rPr>
                <w:color w:val="auto"/>
                <w:sz w:val="24"/>
                <w:szCs w:val="24"/>
                <w:highlight w:val="none"/>
              </w:rPr>
              <w:t>26</w:t>
            </w:r>
            <w:bookmarkEnd w:id="223"/>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44</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黔江</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黔江河（金港桥</w:t>
            </w:r>
            <w:r>
              <w:rPr>
                <w:color w:val="auto"/>
                <w:sz w:val="24"/>
                <w:szCs w:val="24"/>
                <w:highlight w:val="none"/>
              </w:rPr>
              <w:t>-</w:t>
            </w:r>
            <w:r>
              <w:rPr>
                <w:rFonts w:hint="eastAsia"/>
                <w:color w:val="auto"/>
                <w:sz w:val="24"/>
                <w:szCs w:val="24"/>
                <w:highlight w:val="none"/>
              </w:rPr>
              <w:t>盛黔污水处理厂排水口）</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1.6</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45</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梁平</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喜雀河（城区段）</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2.5</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46</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垫江</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桂溪河（牡丹湖</w:t>
            </w:r>
            <w:r>
              <w:rPr>
                <w:color w:val="auto"/>
                <w:sz w:val="24"/>
                <w:szCs w:val="24"/>
                <w:highlight w:val="none"/>
              </w:rPr>
              <w:t>-</w:t>
            </w:r>
            <w:r>
              <w:rPr>
                <w:rFonts w:hint="eastAsia"/>
                <w:color w:val="auto"/>
                <w:sz w:val="24"/>
                <w:szCs w:val="24"/>
                <w:highlight w:val="none"/>
              </w:rPr>
              <w:t>塔坝桥）</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6.3</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47</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restart"/>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万州</w:t>
            </w: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龙宝河（河口</w:t>
            </w:r>
            <w:r>
              <w:rPr>
                <w:color w:val="auto"/>
                <w:sz w:val="24"/>
                <w:szCs w:val="24"/>
                <w:highlight w:val="none"/>
              </w:rPr>
              <w:t>-</w:t>
            </w:r>
            <w:r>
              <w:rPr>
                <w:rFonts w:hint="eastAsia"/>
                <w:color w:val="auto"/>
                <w:sz w:val="24"/>
                <w:szCs w:val="24"/>
                <w:highlight w:val="none"/>
              </w:rPr>
              <w:t>水产所）</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6.7</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48</w:t>
            </w:r>
          </w:p>
        </w:tc>
        <w:tc>
          <w:tcPr>
            <w:tcW w:w="466" w:type="dxa"/>
            <w:gridSpan w:val="2"/>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570" w:type="dxa"/>
            <w:vMerge w:val="continue"/>
            <w:tcBorders>
              <w:top w:val="nil"/>
              <w:left w:val="single" w:color="auto" w:sz="4" w:space="0"/>
              <w:bottom w:val="single" w:color="000000" w:sz="4" w:space="0"/>
              <w:right w:val="single" w:color="auto" w:sz="4" w:space="0"/>
            </w:tcBorders>
            <w:vAlign w:val="center"/>
          </w:tcPr>
          <w:p>
            <w:pPr>
              <w:jc w:val="center"/>
              <w:rPr>
                <w:color w:val="auto"/>
                <w:sz w:val="24"/>
                <w:szCs w:val="24"/>
                <w:highlight w:val="none"/>
              </w:rPr>
            </w:pPr>
          </w:p>
        </w:tc>
        <w:tc>
          <w:tcPr>
            <w:tcW w:w="4799" w:type="dxa"/>
            <w:tcBorders>
              <w:top w:val="nil"/>
              <w:left w:val="nil"/>
              <w:bottom w:val="single" w:color="auto" w:sz="4" w:space="0"/>
              <w:right w:val="single" w:color="auto" w:sz="4" w:space="0"/>
            </w:tcBorders>
            <w:vAlign w:val="center"/>
          </w:tcPr>
          <w:p>
            <w:pPr>
              <w:widowControl/>
              <w:jc w:val="left"/>
              <w:textAlignment w:val="center"/>
              <w:rPr>
                <w:color w:val="auto"/>
                <w:sz w:val="24"/>
                <w:szCs w:val="24"/>
                <w:highlight w:val="none"/>
              </w:rPr>
            </w:pPr>
            <w:r>
              <w:rPr>
                <w:rFonts w:hint="eastAsia"/>
                <w:color w:val="auto"/>
                <w:sz w:val="24"/>
                <w:szCs w:val="24"/>
                <w:highlight w:val="none"/>
              </w:rPr>
              <w:t>五桥河（沱口养老院</w:t>
            </w:r>
            <w:r>
              <w:rPr>
                <w:color w:val="auto"/>
                <w:sz w:val="24"/>
                <w:szCs w:val="24"/>
                <w:highlight w:val="none"/>
              </w:rPr>
              <w:t>-</w:t>
            </w:r>
            <w:r>
              <w:rPr>
                <w:rFonts w:hint="eastAsia"/>
                <w:color w:val="auto"/>
                <w:sz w:val="24"/>
                <w:szCs w:val="24"/>
                <w:highlight w:val="none"/>
              </w:rPr>
              <w:t>庙坝）</w:t>
            </w:r>
          </w:p>
        </w:tc>
        <w:tc>
          <w:tcPr>
            <w:tcW w:w="2324" w:type="dxa"/>
            <w:tcBorders>
              <w:top w:val="nil"/>
              <w:left w:val="nil"/>
              <w:bottom w:val="single" w:color="auto" w:sz="4" w:space="0"/>
              <w:right w:val="single" w:color="auto" w:sz="4" w:space="0"/>
            </w:tcBorders>
            <w:vAlign w:val="center"/>
          </w:tcPr>
          <w:p>
            <w:pPr>
              <w:widowControl/>
              <w:jc w:val="center"/>
              <w:textAlignment w:val="center"/>
              <w:rPr>
                <w:color w:val="auto"/>
                <w:sz w:val="24"/>
                <w:szCs w:val="24"/>
                <w:highlight w:val="none"/>
              </w:rPr>
            </w:pPr>
            <w:r>
              <w:rPr>
                <w:color w:val="auto"/>
                <w:sz w:val="24"/>
                <w:szCs w:val="24"/>
                <w:highlight w:val="none"/>
              </w:rPr>
              <w:t>7.7</w:t>
            </w:r>
          </w:p>
        </w:tc>
      </w:tr>
      <w:tr>
        <w:tblPrEx>
          <w:tblCellMar>
            <w:top w:w="0" w:type="dxa"/>
            <w:left w:w="108" w:type="dxa"/>
            <w:bottom w:w="0" w:type="dxa"/>
            <w:right w:w="108" w:type="dxa"/>
          </w:tblCellMar>
        </w:tblPrEx>
        <w:trPr>
          <w:trHeight w:val="283" w:hRule="atLeast"/>
        </w:trPr>
        <w:tc>
          <w:tcPr>
            <w:tcW w:w="475" w:type="dxa"/>
            <w:tcBorders>
              <w:top w:val="nil"/>
              <w:left w:val="single" w:color="auto" w:sz="4" w:space="0"/>
              <w:bottom w:val="single" w:color="auto" w:sz="4" w:space="0"/>
              <w:right w:val="single" w:color="auto" w:sz="4" w:space="0"/>
            </w:tcBorders>
            <w:vAlign w:val="center"/>
          </w:tcPr>
          <w:p>
            <w:pPr>
              <w:widowControl/>
              <w:jc w:val="center"/>
              <w:rPr>
                <w:color w:val="auto"/>
                <w:sz w:val="24"/>
                <w:szCs w:val="24"/>
                <w:highlight w:val="none"/>
              </w:rPr>
            </w:pPr>
            <w:r>
              <w:rPr>
                <w:color w:val="auto"/>
                <w:sz w:val="24"/>
                <w:szCs w:val="24"/>
                <w:highlight w:val="none"/>
              </w:rPr>
              <w:t>　</w:t>
            </w:r>
          </w:p>
        </w:tc>
        <w:tc>
          <w:tcPr>
            <w:tcW w:w="456" w:type="dxa"/>
            <w:tcBorders>
              <w:top w:val="nil"/>
              <w:left w:val="single" w:color="auto" w:sz="4" w:space="0"/>
              <w:bottom w:val="single" w:color="000000" w:sz="4" w:space="0"/>
              <w:right w:val="single" w:color="auto" w:sz="4" w:space="0"/>
            </w:tcBorders>
            <w:vAlign w:val="center"/>
          </w:tcPr>
          <w:p>
            <w:pPr>
              <w:widowControl/>
              <w:jc w:val="left"/>
              <w:rPr>
                <w:color w:val="auto"/>
                <w:sz w:val="24"/>
                <w:szCs w:val="24"/>
                <w:highlight w:val="none"/>
              </w:rPr>
            </w:pPr>
          </w:p>
        </w:tc>
        <w:tc>
          <w:tcPr>
            <w:tcW w:w="580" w:type="dxa"/>
            <w:gridSpan w:val="2"/>
            <w:tcBorders>
              <w:top w:val="nil"/>
              <w:left w:val="nil"/>
              <w:bottom w:val="single" w:color="auto" w:sz="4" w:space="0"/>
              <w:right w:val="single" w:color="auto" w:sz="4" w:space="0"/>
            </w:tcBorders>
            <w:vAlign w:val="center"/>
          </w:tcPr>
          <w:p>
            <w:pPr>
              <w:widowControl/>
              <w:jc w:val="center"/>
              <w:rPr>
                <w:color w:val="auto"/>
                <w:sz w:val="24"/>
                <w:szCs w:val="24"/>
                <w:highlight w:val="none"/>
              </w:rPr>
            </w:pPr>
            <w:r>
              <w:rPr>
                <w:color w:val="auto"/>
                <w:sz w:val="24"/>
                <w:szCs w:val="24"/>
                <w:highlight w:val="none"/>
              </w:rPr>
              <w:t>合计</w:t>
            </w:r>
          </w:p>
        </w:tc>
        <w:tc>
          <w:tcPr>
            <w:tcW w:w="4799" w:type="dxa"/>
            <w:tcBorders>
              <w:top w:val="nil"/>
              <w:left w:val="nil"/>
              <w:bottom w:val="single" w:color="auto" w:sz="4" w:space="0"/>
              <w:right w:val="single" w:color="auto" w:sz="4" w:space="0"/>
            </w:tcBorders>
            <w:vAlign w:val="center"/>
          </w:tcPr>
          <w:p>
            <w:pPr>
              <w:keepNext/>
              <w:widowControl/>
              <w:ind w:firstLine="720" w:firstLineChars="300"/>
              <w:jc w:val="left"/>
              <w:rPr>
                <w:color w:val="auto"/>
                <w:sz w:val="24"/>
                <w:szCs w:val="24"/>
                <w:highlight w:val="none"/>
              </w:rPr>
            </w:pPr>
            <w:r>
              <w:rPr>
                <w:rFonts w:hint="eastAsia"/>
                <w:color w:val="auto"/>
                <w:sz w:val="24"/>
                <w:szCs w:val="24"/>
                <w:highlight w:val="none"/>
              </w:rPr>
              <w:t>48</w:t>
            </w:r>
          </w:p>
        </w:tc>
        <w:tc>
          <w:tcPr>
            <w:tcW w:w="2324" w:type="dxa"/>
            <w:tcBorders>
              <w:top w:val="nil"/>
              <w:left w:val="nil"/>
              <w:bottom w:val="single" w:color="auto" w:sz="4" w:space="0"/>
              <w:right w:val="single" w:color="auto" w:sz="4" w:space="0"/>
            </w:tcBorders>
          </w:tcPr>
          <w:p>
            <w:pPr>
              <w:keepNext/>
              <w:widowControl/>
              <w:jc w:val="left"/>
              <w:rPr>
                <w:color w:val="auto"/>
                <w:sz w:val="24"/>
                <w:szCs w:val="24"/>
                <w:highlight w:val="none"/>
              </w:rPr>
            </w:pPr>
          </w:p>
        </w:tc>
      </w:tr>
    </w:tbl>
    <w:p>
      <w:pPr>
        <w:pStyle w:val="259"/>
        <w:spacing w:before="5" w:beforeAutospacing="0"/>
        <w:ind w:left="0" w:firstLine="0"/>
        <w:jc w:val="center"/>
        <w:rPr>
          <w:rFonts w:ascii="Times New Roman" w:hAnsi="Times New Roman" w:eastAsia="方正小标宋_GBK" w:cs="Times New Roman"/>
          <w:color w:val="auto"/>
          <w:sz w:val="24"/>
          <w:szCs w:val="24"/>
          <w:highlight w:val="none"/>
        </w:rPr>
      </w:pPr>
    </w:p>
    <w:p>
      <w:pPr>
        <w:pStyle w:val="259"/>
        <w:spacing w:before="5" w:beforeAutospacing="0"/>
        <w:ind w:left="0" w:firstLine="0"/>
        <w:jc w:val="center"/>
        <w:rPr>
          <w:rFonts w:ascii="Times New Roman" w:hAnsi="Times New Roman" w:eastAsia="方正小标宋_GBK" w:cs="Times New Roman"/>
          <w:color w:val="auto"/>
          <w:sz w:val="24"/>
          <w:szCs w:val="24"/>
          <w:highlight w:val="none"/>
        </w:rPr>
      </w:pPr>
    </w:p>
    <w:p>
      <w:pPr>
        <w:pStyle w:val="259"/>
        <w:spacing w:before="5" w:beforeAutospacing="0"/>
        <w:ind w:left="0" w:firstLine="0"/>
        <w:rPr>
          <w:rFonts w:ascii="Times New Roman" w:hAnsi="Times New Roman" w:eastAsia="方正小标宋_GBK" w:cs="Times New Roman"/>
          <w:color w:val="auto"/>
          <w:sz w:val="24"/>
          <w:szCs w:val="24"/>
          <w:highlight w:val="none"/>
        </w:rPr>
      </w:pPr>
    </w:p>
    <w:p>
      <w:pPr>
        <w:pStyle w:val="259"/>
        <w:spacing w:before="5" w:beforeAutospacing="0"/>
        <w:ind w:left="0" w:firstLine="0"/>
        <w:jc w:val="center"/>
        <w:rPr>
          <w:rFonts w:ascii="Times New Roman" w:hAnsi="Times New Roman" w:eastAsia="方正小标宋_GBK" w:cs="Times New Roman"/>
          <w:color w:val="auto"/>
          <w:sz w:val="24"/>
          <w:szCs w:val="24"/>
          <w:highlight w:val="none"/>
        </w:rPr>
      </w:pPr>
      <w:r>
        <w:rPr>
          <w:rFonts w:ascii="Times New Roman" w:hAnsi="Times New Roman" w:eastAsia="方正小标宋_GBK" w:cs="Times New Roman"/>
          <w:color w:val="auto"/>
          <w:sz w:val="24"/>
          <w:szCs w:val="24"/>
          <w:highlight w:val="none"/>
        </w:rPr>
        <w:t>表2 小泉支流名称</w:t>
      </w:r>
    </w:p>
    <w:tbl>
      <w:tblPr>
        <w:tblStyle w:val="57"/>
        <w:tblW w:w="86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526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95" w:type="dxa"/>
            <w:shd w:val="clear" w:color="auto" w:fill="auto"/>
          </w:tcPr>
          <w:p>
            <w:pPr>
              <w:widowControl/>
              <w:jc w:val="center"/>
              <w:rPr>
                <w:color w:val="auto"/>
                <w:kern w:val="0"/>
                <w:sz w:val="24"/>
                <w:szCs w:val="24"/>
                <w:highlight w:val="none"/>
              </w:rPr>
            </w:pPr>
            <w:r>
              <w:rPr>
                <w:color w:val="auto"/>
                <w:kern w:val="0"/>
                <w:sz w:val="24"/>
                <w:szCs w:val="24"/>
                <w:highlight w:val="none"/>
              </w:rPr>
              <w:t>序号</w:t>
            </w:r>
          </w:p>
        </w:tc>
        <w:tc>
          <w:tcPr>
            <w:tcW w:w="5265" w:type="dxa"/>
            <w:shd w:val="clear" w:color="auto" w:fill="auto"/>
          </w:tcPr>
          <w:p>
            <w:pPr>
              <w:widowControl/>
              <w:jc w:val="center"/>
              <w:rPr>
                <w:color w:val="auto"/>
                <w:kern w:val="0"/>
                <w:sz w:val="24"/>
                <w:szCs w:val="24"/>
                <w:highlight w:val="none"/>
              </w:rPr>
            </w:pPr>
            <w:r>
              <w:rPr>
                <w:color w:val="auto"/>
                <w:kern w:val="0"/>
                <w:sz w:val="24"/>
                <w:szCs w:val="24"/>
                <w:highlight w:val="none"/>
              </w:rPr>
              <w:t>水体名称</w:t>
            </w:r>
          </w:p>
        </w:tc>
        <w:tc>
          <w:tcPr>
            <w:tcW w:w="2276" w:type="dxa"/>
            <w:shd w:val="clear" w:color="auto" w:fill="auto"/>
          </w:tcPr>
          <w:p>
            <w:pPr>
              <w:widowControl/>
              <w:jc w:val="center"/>
              <w:rPr>
                <w:color w:val="auto"/>
                <w:kern w:val="0"/>
                <w:sz w:val="24"/>
                <w:szCs w:val="24"/>
                <w:highlight w:val="none"/>
              </w:rPr>
            </w:pPr>
            <w:r>
              <w:rPr>
                <w:color w:val="auto"/>
                <w:kern w:val="0"/>
                <w:sz w:val="24"/>
                <w:szCs w:val="24"/>
                <w:highlight w:val="none"/>
              </w:rPr>
              <w:t>长度（km）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095" w:type="dxa"/>
            <w:shd w:val="clear" w:color="auto" w:fill="auto"/>
          </w:tcPr>
          <w:p>
            <w:pPr>
              <w:widowControl/>
              <w:jc w:val="center"/>
              <w:rPr>
                <w:color w:val="auto"/>
                <w:kern w:val="0"/>
                <w:sz w:val="24"/>
                <w:szCs w:val="24"/>
                <w:highlight w:val="none"/>
              </w:rPr>
            </w:pPr>
            <w:r>
              <w:rPr>
                <w:color w:val="auto"/>
                <w:kern w:val="0"/>
                <w:sz w:val="24"/>
                <w:szCs w:val="24"/>
                <w:highlight w:val="none"/>
              </w:rPr>
              <w:t>1</w:t>
            </w:r>
          </w:p>
        </w:tc>
        <w:tc>
          <w:tcPr>
            <w:tcW w:w="5265" w:type="dxa"/>
            <w:shd w:val="clear" w:color="auto" w:fill="auto"/>
          </w:tcPr>
          <w:p>
            <w:pPr>
              <w:widowControl/>
              <w:jc w:val="center"/>
              <w:rPr>
                <w:color w:val="auto"/>
                <w:kern w:val="0"/>
                <w:sz w:val="24"/>
                <w:szCs w:val="24"/>
                <w:highlight w:val="none"/>
              </w:rPr>
            </w:pPr>
            <w:r>
              <w:rPr>
                <w:color w:val="auto"/>
                <w:kern w:val="0"/>
                <w:sz w:val="24"/>
                <w:szCs w:val="24"/>
                <w:highlight w:val="none"/>
              </w:rPr>
              <w:t>小泉支流</w:t>
            </w:r>
          </w:p>
        </w:tc>
        <w:tc>
          <w:tcPr>
            <w:tcW w:w="2276" w:type="dxa"/>
            <w:shd w:val="clear" w:color="auto" w:fill="auto"/>
          </w:tcPr>
          <w:p>
            <w:pPr>
              <w:widowControl/>
              <w:jc w:val="center"/>
              <w:rPr>
                <w:color w:val="auto"/>
                <w:kern w:val="0"/>
                <w:sz w:val="24"/>
                <w:szCs w:val="24"/>
                <w:highlight w:val="none"/>
              </w:rPr>
            </w:pPr>
            <w:r>
              <w:rPr>
                <w:color w:val="auto"/>
                <w:kern w:val="0"/>
                <w:sz w:val="24"/>
                <w:szCs w:val="24"/>
                <w:highlight w:val="none"/>
              </w:rPr>
              <w:t>1</w:t>
            </w:r>
          </w:p>
        </w:tc>
      </w:tr>
    </w:tbl>
    <w:p>
      <w:pPr>
        <w:pStyle w:val="259"/>
        <w:spacing w:before="5" w:beforeAutospacing="0"/>
        <w:ind w:left="111" w:firstLine="0"/>
        <w:jc w:val="center"/>
        <w:rPr>
          <w:rFonts w:ascii="Times New Roman" w:hAnsi="Times New Roman" w:eastAsia="方正小标宋_GBK" w:cs="Times New Roman"/>
          <w:color w:val="auto"/>
          <w:sz w:val="24"/>
          <w:szCs w:val="24"/>
          <w:highlight w:val="none"/>
        </w:rPr>
      </w:pPr>
    </w:p>
    <w:p>
      <w:pPr>
        <w:pStyle w:val="259"/>
        <w:adjustRightInd w:val="0"/>
        <w:snapToGrid w:val="0"/>
        <w:spacing w:before="0" w:beforeAutospacing="0"/>
        <w:ind w:left="113" w:firstLine="0"/>
        <w:jc w:val="center"/>
        <w:rPr>
          <w:rFonts w:ascii="Times New Roman" w:hAnsi="Times New Roman" w:eastAsia="黑体" w:cs="Times New Roman"/>
          <w:color w:val="auto"/>
          <w:spacing w:val="-4"/>
          <w:sz w:val="28"/>
          <w:szCs w:val="28"/>
          <w:highlight w:val="none"/>
        </w:rPr>
      </w:pPr>
      <w:r>
        <w:rPr>
          <w:rFonts w:ascii="Times New Roman" w:hAnsi="Times New Roman" w:eastAsia="方正小标宋_GBK" w:cs="Times New Roman"/>
          <w:color w:val="auto"/>
          <w:sz w:val="24"/>
          <w:szCs w:val="24"/>
          <w:highlight w:val="none"/>
        </w:rPr>
        <w:t>表3 主城区56个湖库名称</w:t>
      </w:r>
    </w:p>
    <w:tbl>
      <w:tblPr>
        <w:tblStyle w:val="57"/>
        <w:tblW w:w="8528" w:type="dxa"/>
        <w:jc w:val="center"/>
        <w:tblLayout w:type="fixed"/>
        <w:tblCellMar>
          <w:top w:w="0" w:type="dxa"/>
          <w:left w:w="108" w:type="dxa"/>
          <w:bottom w:w="0" w:type="dxa"/>
          <w:right w:w="108" w:type="dxa"/>
        </w:tblCellMar>
      </w:tblPr>
      <w:tblGrid>
        <w:gridCol w:w="1375"/>
        <w:gridCol w:w="3462"/>
        <w:gridCol w:w="3691"/>
      </w:tblGrid>
      <w:tr>
        <w:tblPrEx>
          <w:tblCellMar>
            <w:top w:w="0" w:type="dxa"/>
            <w:left w:w="108" w:type="dxa"/>
            <w:bottom w:w="0" w:type="dxa"/>
            <w:right w:w="108" w:type="dxa"/>
          </w:tblCellMar>
        </w:tblPrEx>
        <w:trPr>
          <w:trHeight w:val="585"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序号</w:t>
            </w:r>
          </w:p>
        </w:tc>
        <w:tc>
          <w:tcPr>
            <w:tcW w:w="3462" w:type="dxa"/>
            <w:tcBorders>
              <w:top w:val="single" w:color="auto" w:sz="4" w:space="0"/>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行政区</w:t>
            </w:r>
          </w:p>
        </w:tc>
        <w:tc>
          <w:tcPr>
            <w:tcW w:w="3691" w:type="dxa"/>
            <w:tcBorders>
              <w:top w:val="single" w:color="auto" w:sz="4" w:space="0"/>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湖库名称</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大桥水库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杨家沟水库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石马山水库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石花水库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民主湖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普照寺水库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7</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沙坪坝区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沙区公园湖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8</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渝中区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化龙湖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9</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大渡口区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翠湖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10</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大渡口区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陈家郭水库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11</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大渡口区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红领巾水库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12</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大渡口区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口袋沟水库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蛮坡凼水库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彩云湖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华岩水库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刘家湾水库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17</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牟家湾水库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18</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青果树水库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19</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九龙坡区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团结水库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20</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北碚区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回龙桥水库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21</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北碚区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高坪水库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22</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北碚区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龙滩子水库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北碚区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梅花山塘水库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南岸区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雷家桥水库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南岸区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迎龙湖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南岸区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工人水库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27</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南岸区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涂山湖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28</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江北区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溉澜溪</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29</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江北区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石门公园水库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30</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八一水库</w:t>
            </w:r>
          </w:p>
        </w:tc>
      </w:tr>
      <w:tr>
        <w:tblPrEx>
          <w:tblCellMar>
            <w:top w:w="0" w:type="dxa"/>
            <w:left w:w="108" w:type="dxa"/>
            <w:bottom w:w="0" w:type="dxa"/>
            <w:right w:w="108" w:type="dxa"/>
          </w:tblCellMar>
        </w:tblPrEx>
        <w:trPr>
          <w:trHeight w:val="330"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31</w:t>
            </w:r>
          </w:p>
        </w:tc>
        <w:tc>
          <w:tcPr>
            <w:tcW w:w="3462"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战斗水库</w:t>
            </w:r>
          </w:p>
        </w:tc>
      </w:tr>
      <w:tr>
        <w:tblPrEx>
          <w:tblCellMar>
            <w:top w:w="0" w:type="dxa"/>
            <w:left w:w="108" w:type="dxa"/>
            <w:bottom w:w="0" w:type="dxa"/>
            <w:right w:w="108" w:type="dxa"/>
          </w:tblCellMar>
        </w:tblPrEx>
        <w:trPr>
          <w:trHeight w:val="330" w:hRule="atLeast"/>
          <w:jc w:val="center"/>
        </w:trPr>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32</w:t>
            </w:r>
          </w:p>
        </w:tc>
        <w:tc>
          <w:tcPr>
            <w:tcW w:w="3462" w:type="dxa"/>
            <w:tcBorders>
              <w:top w:val="single" w:color="auto" w:sz="4" w:space="0"/>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single" w:color="auto" w:sz="4" w:space="0"/>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三块碑水库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百林水库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蔡家沟水库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断桥湾水库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丰收水库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37</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龙塘水库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38</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白云水库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39</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茶坪水库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40</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青年水库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41</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龙景湖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42</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高石水库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两江新区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六一水库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宝圣湖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碧津湖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木鱼石水库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47</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果塘湖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48</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新坪水库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49</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五一水库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50</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东方红水库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51</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高脚水库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52</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红岩水库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53</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龙舌湖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54</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双龙湖</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55</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渝北区</w:t>
            </w:r>
          </w:p>
        </w:tc>
        <w:tc>
          <w:tcPr>
            <w:tcW w:w="3691"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新华水库</w:t>
            </w:r>
          </w:p>
        </w:tc>
      </w:tr>
      <w:tr>
        <w:tblPrEx>
          <w:tblCellMar>
            <w:top w:w="0" w:type="dxa"/>
            <w:left w:w="108" w:type="dxa"/>
            <w:bottom w:w="0" w:type="dxa"/>
            <w:right w:w="108" w:type="dxa"/>
          </w:tblCellMar>
        </w:tblPrEx>
        <w:trPr>
          <w:trHeight w:val="330" w:hRule="atLeast"/>
          <w:jc w:val="center"/>
        </w:trPr>
        <w:tc>
          <w:tcPr>
            <w:tcW w:w="1375" w:type="dxa"/>
            <w:tcBorders>
              <w:top w:val="nil"/>
              <w:left w:val="single" w:color="auto" w:sz="4" w:space="0"/>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56</w:t>
            </w:r>
          </w:p>
        </w:tc>
        <w:tc>
          <w:tcPr>
            <w:tcW w:w="3462" w:type="dxa"/>
            <w:tcBorders>
              <w:top w:val="nil"/>
              <w:left w:val="nil"/>
              <w:bottom w:val="single" w:color="auto" w:sz="4" w:space="0"/>
              <w:right w:val="single" w:color="auto" w:sz="4" w:space="0"/>
            </w:tcBorders>
            <w:vAlign w:val="center"/>
          </w:tcPr>
          <w:p>
            <w:pPr>
              <w:widowControl/>
              <w:jc w:val="center"/>
              <w:rPr>
                <w:color w:val="auto"/>
                <w:kern w:val="0"/>
                <w:sz w:val="24"/>
                <w:szCs w:val="24"/>
                <w:highlight w:val="none"/>
              </w:rPr>
            </w:pPr>
            <w:r>
              <w:rPr>
                <w:color w:val="auto"/>
                <w:kern w:val="0"/>
                <w:sz w:val="24"/>
                <w:szCs w:val="24"/>
                <w:highlight w:val="none"/>
              </w:rPr>
              <w:t>巴南区</w:t>
            </w:r>
          </w:p>
        </w:tc>
        <w:tc>
          <w:tcPr>
            <w:tcW w:w="3691" w:type="dxa"/>
            <w:tcBorders>
              <w:top w:val="nil"/>
              <w:left w:val="nil"/>
              <w:bottom w:val="single" w:color="auto" w:sz="4" w:space="0"/>
              <w:right w:val="single" w:color="auto" w:sz="4" w:space="0"/>
            </w:tcBorders>
            <w:vAlign w:val="center"/>
          </w:tcPr>
          <w:p>
            <w:pPr>
              <w:keepNext/>
              <w:widowControl/>
              <w:jc w:val="center"/>
              <w:rPr>
                <w:color w:val="auto"/>
                <w:kern w:val="0"/>
                <w:sz w:val="24"/>
                <w:szCs w:val="24"/>
                <w:highlight w:val="none"/>
              </w:rPr>
            </w:pPr>
            <w:r>
              <w:rPr>
                <w:color w:val="auto"/>
                <w:kern w:val="0"/>
                <w:sz w:val="24"/>
                <w:szCs w:val="24"/>
                <w:highlight w:val="none"/>
              </w:rPr>
              <w:t>长凼子水库</w:t>
            </w:r>
          </w:p>
        </w:tc>
      </w:tr>
    </w:tbl>
    <w:p>
      <w:pPr>
        <w:pStyle w:val="259"/>
        <w:spacing w:before="5" w:beforeAutospacing="0"/>
        <w:ind w:left="111" w:firstLine="0"/>
        <w:rPr>
          <w:rFonts w:ascii="Times New Roman" w:hAnsi="Times New Roman" w:eastAsia="黑体" w:cs="Times New Roman"/>
          <w:color w:val="auto"/>
          <w:spacing w:val="-4"/>
          <w:sz w:val="28"/>
          <w:szCs w:val="28"/>
          <w:highlight w:val="none"/>
        </w:rPr>
      </w:pPr>
    </w:p>
    <w:p>
      <w:pPr>
        <w:pStyle w:val="259"/>
        <w:adjustRightInd w:val="0"/>
        <w:snapToGrid w:val="0"/>
        <w:spacing w:before="0" w:beforeAutospacing="0"/>
        <w:ind w:left="113" w:firstLine="0"/>
        <w:jc w:val="center"/>
        <w:rPr>
          <w:rFonts w:ascii="Times New Roman" w:hAnsi="Times New Roman" w:eastAsia="方正小标宋_GBK" w:cs="Times New Roman"/>
          <w:color w:val="auto"/>
          <w:sz w:val="24"/>
          <w:szCs w:val="24"/>
          <w:highlight w:val="none"/>
        </w:rPr>
      </w:pPr>
      <w:r>
        <w:rPr>
          <w:rFonts w:ascii="Times New Roman" w:hAnsi="Times New Roman" w:eastAsia="方正小标宋_GBK" w:cs="Times New Roman"/>
          <w:color w:val="auto"/>
          <w:sz w:val="24"/>
          <w:szCs w:val="24"/>
          <w:highlight w:val="none"/>
        </w:rPr>
        <w:t>表4 “清水绿岸”20条河流</w:t>
      </w:r>
    </w:p>
    <w:tbl>
      <w:tblPr>
        <w:tblStyle w:val="57"/>
        <w:tblW w:w="8302" w:type="dxa"/>
        <w:jc w:val="center"/>
        <w:tblLayout w:type="fixed"/>
        <w:tblCellMar>
          <w:top w:w="0" w:type="dxa"/>
          <w:left w:w="108" w:type="dxa"/>
          <w:bottom w:w="0" w:type="dxa"/>
          <w:right w:w="108" w:type="dxa"/>
        </w:tblCellMar>
      </w:tblPr>
      <w:tblGrid>
        <w:gridCol w:w="1176"/>
        <w:gridCol w:w="3053"/>
        <w:gridCol w:w="4073"/>
      </w:tblGrid>
      <w:tr>
        <w:tblPrEx>
          <w:tblCellMar>
            <w:top w:w="0" w:type="dxa"/>
            <w:left w:w="108" w:type="dxa"/>
            <w:bottom w:w="0" w:type="dxa"/>
            <w:right w:w="108" w:type="dxa"/>
          </w:tblCellMar>
        </w:tblPrEx>
        <w:trPr>
          <w:trHeight w:val="812"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序号</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流域名称</w:t>
            </w:r>
          </w:p>
        </w:tc>
        <w:tc>
          <w:tcPr>
            <w:tcW w:w="4073" w:type="dxa"/>
            <w:tcBorders>
              <w:top w:val="single" w:color="auto" w:sz="4" w:space="0"/>
              <w:left w:val="nil"/>
              <w:right w:val="single" w:color="auto" w:sz="4" w:space="0"/>
            </w:tcBorders>
            <w:vAlign w:val="center"/>
          </w:tcPr>
          <w:p>
            <w:pPr>
              <w:adjustRightInd w:val="0"/>
              <w:snapToGrid w:val="0"/>
              <w:ind w:left="-112" w:leftChars="-40" w:right="-118" w:rightChars="-42"/>
              <w:jc w:val="center"/>
              <w:rPr>
                <w:rFonts w:eastAsiaTheme="minorEastAsia"/>
                <w:color w:val="auto"/>
                <w:kern w:val="0"/>
                <w:sz w:val="24"/>
                <w:highlight w:val="none"/>
              </w:rPr>
            </w:pPr>
            <w:r>
              <w:rPr>
                <w:rFonts w:eastAsiaTheme="minorEastAsia"/>
                <w:color w:val="auto"/>
                <w:kern w:val="0"/>
                <w:sz w:val="24"/>
                <w:highlight w:val="none"/>
              </w:rPr>
              <w:t>全流域水体长度</w:t>
            </w:r>
          </w:p>
          <w:p>
            <w:pPr>
              <w:adjustRightInd w:val="0"/>
              <w:snapToGrid w:val="0"/>
              <w:ind w:left="-112" w:leftChars="-40" w:right="-118" w:rightChars="-42"/>
              <w:jc w:val="center"/>
              <w:rPr>
                <w:rFonts w:eastAsiaTheme="minorEastAsia"/>
                <w:color w:val="auto"/>
                <w:kern w:val="0"/>
                <w:sz w:val="24"/>
                <w:highlight w:val="none"/>
              </w:rPr>
            </w:pPr>
            <w:r>
              <w:rPr>
                <w:rFonts w:eastAsiaTheme="minorEastAsia"/>
                <w:color w:val="auto"/>
                <w:kern w:val="0"/>
                <w:sz w:val="24"/>
                <w:highlight w:val="none"/>
              </w:rPr>
              <w:t>（km）</w:t>
            </w:r>
          </w:p>
        </w:tc>
      </w:tr>
      <w:tr>
        <w:tblPrEx>
          <w:tblCellMar>
            <w:top w:w="0" w:type="dxa"/>
            <w:left w:w="108" w:type="dxa"/>
            <w:bottom w:w="0" w:type="dxa"/>
            <w:right w:w="108" w:type="dxa"/>
          </w:tblCellMar>
        </w:tblPrEx>
        <w:trPr>
          <w:trHeight w:val="356"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清水溪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15.9</w:t>
            </w:r>
          </w:p>
        </w:tc>
      </w:tr>
      <w:tr>
        <w:tblPrEx>
          <w:tblCellMar>
            <w:top w:w="0" w:type="dxa"/>
            <w:left w:w="108" w:type="dxa"/>
            <w:bottom w:w="0" w:type="dxa"/>
            <w:right w:w="108" w:type="dxa"/>
          </w:tblCellMar>
        </w:tblPrEx>
        <w:trPr>
          <w:trHeight w:val="291"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2</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凤凰溪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7.1</w:t>
            </w:r>
          </w:p>
        </w:tc>
      </w:tr>
      <w:tr>
        <w:tblPrEx>
          <w:tblCellMar>
            <w:top w:w="0" w:type="dxa"/>
            <w:left w:w="108" w:type="dxa"/>
            <w:bottom w:w="0" w:type="dxa"/>
            <w:right w:w="108" w:type="dxa"/>
          </w:tblCellMar>
        </w:tblPrEx>
        <w:trPr>
          <w:trHeight w:val="395"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3</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花溪河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66.3</w:t>
            </w:r>
          </w:p>
        </w:tc>
      </w:tr>
      <w:tr>
        <w:tblPrEx>
          <w:tblCellMar>
            <w:top w:w="0" w:type="dxa"/>
            <w:left w:w="108" w:type="dxa"/>
            <w:bottom w:w="0" w:type="dxa"/>
            <w:right w:w="108" w:type="dxa"/>
          </w:tblCellMar>
        </w:tblPrEx>
        <w:trPr>
          <w:trHeight w:val="30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4</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苦溪河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29.0</w:t>
            </w:r>
          </w:p>
        </w:tc>
      </w:tr>
      <w:tr>
        <w:tblPrEx>
          <w:tblCellMar>
            <w:top w:w="0" w:type="dxa"/>
            <w:left w:w="108" w:type="dxa"/>
            <w:bottom w:w="0" w:type="dxa"/>
            <w:right w:w="108" w:type="dxa"/>
          </w:tblCellMar>
        </w:tblPrEx>
        <w:trPr>
          <w:trHeight w:val="405"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5</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盘溪河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21.2</w:t>
            </w:r>
          </w:p>
        </w:tc>
      </w:tr>
      <w:tr>
        <w:tblPrEx>
          <w:tblCellMar>
            <w:top w:w="0" w:type="dxa"/>
            <w:left w:w="108" w:type="dxa"/>
            <w:bottom w:w="0" w:type="dxa"/>
            <w:right w:w="108" w:type="dxa"/>
          </w:tblCellMar>
        </w:tblPrEx>
        <w:trPr>
          <w:trHeight w:val="297"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6</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肖家河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31</w:t>
            </w:r>
          </w:p>
        </w:tc>
      </w:tr>
      <w:tr>
        <w:tblPrEx>
          <w:tblCellMar>
            <w:top w:w="0" w:type="dxa"/>
            <w:left w:w="108" w:type="dxa"/>
            <w:bottom w:w="0" w:type="dxa"/>
            <w:right w:w="108" w:type="dxa"/>
          </w:tblCellMar>
        </w:tblPrEx>
        <w:trPr>
          <w:trHeight w:val="245"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7</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溉澜溪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10.7</w:t>
            </w:r>
          </w:p>
        </w:tc>
      </w:tr>
      <w:tr>
        <w:tblPrEx>
          <w:tblCellMar>
            <w:top w:w="0" w:type="dxa"/>
            <w:left w:w="108" w:type="dxa"/>
            <w:bottom w:w="0" w:type="dxa"/>
            <w:right w:w="108" w:type="dxa"/>
          </w:tblCellMar>
        </w:tblPrEx>
        <w:trPr>
          <w:trHeight w:val="335"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8</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中央公园镜湖</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1.0</w:t>
            </w:r>
          </w:p>
        </w:tc>
      </w:tr>
      <w:tr>
        <w:tblPrEx>
          <w:tblCellMar>
            <w:top w:w="0" w:type="dxa"/>
            <w:left w:w="108" w:type="dxa"/>
            <w:bottom w:w="0" w:type="dxa"/>
            <w:right w:w="108" w:type="dxa"/>
          </w:tblCellMar>
        </w:tblPrEx>
        <w:trPr>
          <w:trHeight w:val="40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9</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跳蹬河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33.5</w:t>
            </w:r>
          </w:p>
        </w:tc>
      </w:tr>
      <w:tr>
        <w:tblPrEx>
          <w:tblCellMar>
            <w:top w:w="0" w:type="dxa"/>
            <w:left w:w="108" w:type="dxa"/>
            <w:bottom w:w="0" w:type="dxa"/>
            <w:right w:w="108" w:type="dxa"/>
          </w:tblCellMar>
        </w:tblPrEx>
        <w:trPr>
          <w:trHeight w:val="283"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10</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詹家溪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10.8</w:t>
            </w:r>
          </w:p>
        </w:tc>
      </w:tr>
      <w:tr>
        <w:tblPrEx>
          <w:tblCellMar>
            <w:top w:w="0" w:type="dxa"/>
            <w:left w:w="108" w:type="dxa"/>
            <w:bottom w:w="0" w:type="dxa"/>
            <w:right w:w="108" w:type="dxa"/>
          </w:tblCellMar>
        </w:tblPrEx>
        <w:trPr>
          <w:trHeight w:val="386"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11</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桃花溪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20.5</w:t>
            </w:r>
          </w:p>
        </w:tc>
      </w:tr>
      <w:tr>
        <w:tblPrEx>
          <w:tblCellMar>
            <w:top w:w="0" w:type="dxa"/>
            <w:left w:w="108" w:type="dxa"/>
            <w:bottom w:w="0" w:type="dxa"/>
            <w:right w:w="108" w:type="dxa"/>
          </w:tblCellMar>
        </w:tblPrEx>
        <w:trPr>
          <w:trHeight w:val="293"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12</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白沙河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13.1</w:t>
            </w:r>
          </w:p>
        </w:tc>
      </w:tr>
      <w:tr>
        <w:tblPrEx>
          <w:tblCellMar>
            <w:top w:w="0" w:type="dxa"/>
            <w:left w:w="108" w:type="dxa"/>
            <w:bottom w:w="0" w:type="dxa"/>
            <w:right w:w="108" w:type="dxa"/>
          </w:tblCellMar>
        </w:tblPrEx>
        <w:trPr>
          <w:trHeight w:val="255"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13</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纳溪沟</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5.3</w:t>
            </w:r>
          </w:p>
        </w:tc>
      </w:tr>
      <w:tr>
        <w:tblPrEx>
          <w:tblCellMar>
            <w:top w:w="0" w:type="dxa"/>
            <w:left w:w="108" w:type="dxa"/>
            <w:bottom w:w="0" w:type="dxa"/>
            <w:right w:w="108" w:type="dxa"/>
          </w:tblCellMar>
        </w:tblPrEx>
        <w:trPr>
          <w:trHeight w:val="344"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14</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马鞍溪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10.5</w:t>
            </w:r>
          </w:p>
        </w:tc>
      </w:tr>
      <w:tr>
        <w:tblPrEx>
          <w:tblCellMar>
            <w:top w:w="0" w:type="dxa"/>
            <w:left w:w="108" w:type="dxa"/>
            <w:bottom w:w="0" w:type="dxa"/>
            <w:right w:w="108" w:type="dxa"/>
          </w:tblCellMar>
        </w:tblPrEx>
        <w:trPr>
          <w:trHeight w:val="27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15</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马河溪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16.3</w:t>
            </w:r>
          </w:p>
        </w:tc>
      </w:tr>
      <w:tr>
        <w:tblPrEx>
          <w:tblCellMar>
            <w:top w:w="0" w:type="dxa"/>
            <w:left w:w="108" w:type="dxa"/>
            <w:bottom w:w="0" w:type="dxa"/>
            <w:right w:w="108" w:type="dxa"/>
          </w:tblCellMar>
        </w:tblPrEx>
        <w:trPr>
          <w:trHeight w:val="397"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16</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双凤溪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8.5</w:t>
            </w:r>
          </w:p>
        </w:tc>
      </w:tr>
      <w:tr>
        <w:tblPrEx>
          <w:tblCellMar>
            <w:top w:w="0" w:type="dxa"/>
            <w:left w:w="108" w:type="dxa"/>
            <w:bottom w:w="0" w:type="dxa"/>
            <w:right w:w="108" w:type="dxa"/>
          </w:tblCellMar>
        </w:tblPrEx>
        <w:trPr>
          <w:trHeight w:val="288"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17</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山王溪</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13.5</w:t>
            </w:r>
          </w:p>
        </w:tc>
      </w:tr>
      <w:tr>
        <w:tblPrEx>
          <w:tblCellMar>
            <w:top w:w="0" w:type="dxa"/>
            <w:left w:w="108" w:type="dxa"/>
            <w:bottom w:w="0" w:type="dxa"/>
            <w:right w:w="108" w:type="dxa"/>
          </w:tblCellMar>
        </w:tblPrEx>
        <w:trPr>
          <w:trHeight w:val="237"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18</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一品河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87.0</w:t>
            </w:r>
          </w:p>
        </w:tc>
      </w:tr>
      <w:tr>
        <w:tblPrEx>
          <w:tblCellMar>
            <w:top w:w="0" w:type="dxa"/>
            <w:left w:w="108" w:type="dxa"/>
            <w:bottom w:w="0" w:type="dxa"/>
            <w:right w:w="108" w:type="dxa"/>
          </w:tblCellMar>
        </w:tblPrEx>
        <w:trPr>
          <w:trHeight w:val="58"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19</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黄溪河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18.5</w:t>
            </w:r>
          </w:p>
        </w:tc>
      </w:tr>
      <w:tr>
        <w:tblPrEx>
          <w:tblCellMar>
            <w:top w:w="0" w:type="dxa"/>
            <w:left w:w="108" w:type="dxa"/>
            <w:bottom w:w="0" w:type="dxa"/>
            <w:right w:w="108" w:type="dxa"/>
          </w:tblCellMar>
        </w:tblPrEx>
        <w:trPr>
          <w:trHeight w:val="43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20</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跳墩河</w:t>
            </w:r>
          </w:p>
        </w:tc>
        <w:tc>
          <w:tcPr>
            <w:tcW w:w="4073"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color w:val="auto"/>
                <w:sz w:val="24"/>
                <w:szCs w:val="24"/>
                <w:highlight w:val="none"/>
              </w:rPr>
              <w:t>7.3</w:t>
            </w:r>
          </w:p>
        </w:tc>
      </w:tr>
      <w:tr>
        <w:tblPrEx>
          <w:tblCellMar>
            <w:top w:w="0" w:type="dxa"/>
            <w:left w:w="108" w:type="dxa"/>
            <w:bottom w:w="0" w:type="dxa"/>
            <w:right w:w="108" w:type="dxa"/>
          </w:tblCellMar>
        </w:tblPrEx>
        <w:trPr>
          <w:trHeight w:val="30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合计</w:t>
            </w:r>
          </w:p>
        </w:tc>
        <w:tc>
          <w:tcPr>
            <w:tcW w:w="305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p>
        </w:tc>
        <w:tc>
          <w:tcPr>
            <w:tcW w:w="407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eastAsiaTheme="minorEastAsia"/>
                <w:color w:val="auto"/>
                <w:kern w:val="0"/>
                <w:sz w:val="24"/>
                <w:highlight w:val="none"/>
              </w:rPr>
            </w:pPr>
            <w:r>
              <w:rPr>
                <w:rFonts w:eastAsiaTheme="minorEastAsia"/>
                <w:color w:val="auto"/>
                <w:kern w:val="0"/>
                <w:sz w:val="24"/>
                <w:highlight w:val="none"/>
              </w:rPr>
              <w:t>427</w:t>
            </w:r>
          </w:p>
        </w:tc>
      </w:tr>
    </w:tbl>
    <w:p>
      <w:pPr>
        <w:spacing w:before="1" w:line="360" w:lineRule="auto"/>
        <w:ind w:left="113" w:firstLine="560" w:firstLineChars="200"/>
        <w:rPr>
          <w:color w:val="auto"/>
          <w:highlight w:val="none"/>
        </w:rPr>
      </w:pPr>
      <w:bookmarkStart w:id="51" w:name="_Toc530573499"/>
    </w:p>
    <w:p>
      <w:pPr>
        <w:pStyle w:val="4"/>
        <w:spacing w:line="489" w:lineRule="exact"/>
        <w:ind w:left="111"/>
        <w:rPr>
          <w:rFonts w:ascii="Times New Roman"/>
          <w:color w:val="auto"/>
          <w:highlight w:val="none"/>
        </w:rPr>
      </w:pPr>
      <w:bookmarkStart w:id="52" w:name="_Toc13254"/>
      <w:bookmarkStart w:id="53" w:name="_Toc17285"/>
      <w:bookmarkStart w:id="54" w:name="_Toc10964"/>
      <w:r>
        <w:rPr>
          <w:rFonts w:ascii="Times New Roman"/>
          <w:color w:val="auto"/>
          <w:highlight w:val="none"/>
        </w:rPr>
        <w:t>（二）现场巡查</w:t>
      </w:r>
      <w:bookmarkEnd w:id="51"/>
      <w:bookmarkEnd w:id="52"/>
      <w:bookmarkEnd w:id="53"/>
      <w:bookmarkEnd w:id="54"/>
    </w:p>
    <w:p>
      <w:pPr>
        <w:spacing w:before="1" w:line="360" w:lineRule="auto"/>
        <w:ind w:left="113" w:firstLine="480" w:firstLineChars="200"/>
        <w:rPr>
          <w:color w:val="auto"/>
          <w:kern w:val="0"/>
          <w:sz w:val="24"/>
          <w:szCs w:val="24"/>
          <w:highlight w:val="none"/>
        </w:rPr>
      </w:pPr>
      <w:r>
        <w:rPr>
          <w:rFonts w:hint="eastAsia"/>
          <w:color w:val="auto"/>
          <w:kern w:val="0"/>
          <w:sz w:val="24"/>
          <w:szCs w:val="24"/>
          <w:highlight w:val="none"/>
        </w:rPr>
        <w:t>全年共巡查12</w:t>
      </w:r>
      <w:r>
        <w:rPr>
          <w:color w:val="auto"/>
          <w:kern w:val="0"/>
          <w:sz w:val="24"/>
          <w:szCs w:val="24"/>
          <w:highlight w:val="none"/>
        </w:rPr>
        <w:t>轮，包括重庆市48段黑臭水体、小泉支流及56个湖库。同时，根据业主要求，对某些河段进行重点巡查。</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1、环境条件调查</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对水体排口进行现场走访、调查，同时对水体感官和周边环境现状进行调查，主要内容包括：</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1.1周边环境现状：岸线硬化类型、范围，岸边垃圾倾倒情况，周边点源或面源污染的来源、排</w:t>
      </w:r>
      <w:r>
        <w:rPr>
          <w:rFonts w:hint="eastAsia"/>
          <w:color w:val="auto"/>
          <w:kern w:val="0"/>
          <w:sz w:val="24"/>
          <w:szCs w:val="24"/>
          <w:highlight w:val="none"/>
        </w:rPr>
        <w:t>口</w:t>
      </w:r>
      <w:r>
        <w:rPr>
          <w:color w:val="auto"/>
          <w:kern w:val="0"/>
          <w:sz w:val="24"/>
          <w:szCs w:val="24"/>
          <w:highlight w:val="none"/>
        </w:rPr>
        <w:t>位置、</w:t>
      </w:r>
      <w:r>
        <w:rPr>
          <w:rFonts w:hint="eastAsia"/>
          <w:color w:val="auto"/>
          <w:kern w:val="0"/>
          <w:sz w:val="24"/>
          <w:szCs w:val="24"/>
          <w:highlight w:val="none"/>
        </w:rPr>
        <w:t>排口</w:t>
      </w:r>
      <w:r>
        <w:rPr>
          <w:color w:val="auto"/>
          <w:kern w:val="0"/>
          <w:sz w:val="24"/>
          <w:szCs w:val="24"/>
          <w:highlight w:val="none"/>
        </w:rPr>
        <w:t>管径</w:t>
      </w:r>
      <w:r>
        <w:rPr>
          <w:rFonts w:hint="eastAsia"/>
          <w:color w:val="auto"/>
          <w:kern w:val="0"/>
          <w:sz w:val="24"/>
          <w:szCs w:val="24"/>
          <w:highlight w:val="none"/>
        </w:rPr>
        <w:t>、排口排</w:t>
      </w:r>
      <w:r>
        <w:rPr>
          <w:rFonts w:hint="eastAsia"/>
          <w:color w:val="auto"/>
          <w:sz w:val="24"/>
          <w:szCs w:val="24"/>
          <w:highlight w:val="none"/>
        </w:rPr>
        <w:t>放</w:t>
      </w:r>
      <w:r>
        <w:rPr>
          <w:color w:val="auto"/>
          <w:kern w:val="0"/>
          <w:sz w:val="24"/>
          <w:szCs w:val="24"/>
          <w:highlight w:val="none"/>
        </w:rPr>
        <w:t>量初判；</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1.2水体调查：水体颜色、嗅味、水深、流速快慢等特征。</w:t>
      </w:r>
    </w:p>
    <w:p>
      <w:pPr>
        <w:spacing w:before="1" w:line="360" w:lineRule="auto"/>
        <w:ind w:left="113" w:firstLine="480" w:firstLineChars="200"/>
        <w:rPr>
          <w:color w:val="auto"/>
          <w:kern w:val="0"/>
          <w:sz w:val="24"/>
          <w:szCs w:val="24"/>
          <w:highlight w:val="none"/>
        </w:rPr>
      </w:pPr>
      <w:r>
        <w:rPr>
          <w:color w:val="auto"/>
          <w:kern w:val="0"/>
          <w:sz w:val="24"/>
          <w:szCs w:val="24"/>
          <w:highlight w:val="none"/>
        </w:rPr>
        <w:t>2、排口巡查建档要求</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对48段黑臭水体、小泉支流和56个湖库现有排口进行建档编号，初步进行雨污判定并体现在</w:t>
      </w:r>
      <w:r>
        <w:rPr>
          <w:rFonts w:hint="eastAsia"/>
          <w:color w:val="auto"/>
          <w:kern w:val="0"/>
          <w:sz w:val="24"/>
          <w:szCs w:val="24"/>
          <w:highlight w:val="none"/>
        </w:rPr>
        <w:t>巡查</w:t>
      </w:r>
      <w:r>
        <w:rPr>
          <w:color w:val="auto"/>
          <w:kern w:val="0"/>
          <w:sz w:val="24"/>
          <w:szCs w:val="24"/>
          <w:highlight w:val="none"/>
        </w:rPr>
        <w:t>报告中；对新发现的排口编号归档并初步进行雨污判定加入</w:t>
      </w:r>
      <w:r>
        <w:rPr>
          <w:rFonts w:hint="eastAsia"/>
          <w:color w:val="auto"/>
          <w:kern w:val="0"/>
          <w:sz w:val="24"/>
          <w:szCs w:val="24"/>
          <w:highlight w:val="none"/>
        </w:rPr>
        <w:t>巡查</w:t>
      </w:r>
      <w:r>
        <w:rPr>
          <w:color w:val="auto"/>
          <w:kern w:val="0"/>
          <w:sz w:val="24"/>
          <w:szCs w:val="24"/>
          <w:highlight w:val="none"/>
        </w:rPr>
        <w:t>报告。</w:t>
      </w:r>
    </w:p>
    <w:p>
      <w:pPr>
        <w:spacing w:before="1" w:line="360" w:lineRule="auto"/>
        <w:ind w:left="113" w:firstLine="480" w:firstLineChars="200"/>
        <w:rPr>
          <w:color w:val="auto"/>
          <w:kern w:val="0"/>
          <w:sz w:val="24"/>
          <w:szCs w:val="24"/>
          <w:highlight w:val="none"/>
        </w:rPr>
      </w:pPr>
      <w:r>
        <w:rPr>
          <w:color w:val="auto"/>
          <w:kern w:val="0"/>
          <w:sz w:val="24"/>
          <w:szCs w:val="24"/>
          <w:highlight w:val="none"/>
        </w:rPr>
        <w:t>主要内容包括：排口位置、管径及排污去向，针对合流制截流溢流，主要调查溢流口的位置；针对情况不明的排口，对其排水进行</w:t>
      </w:r>
      <w:r>
        <w:rPr>
          <w:rFonts w:hint="eastAsia"/>
          <w:color w:val="auto"/>
          <w:kern w:val="0"/>
          <w:sz w:val="24"/>
          <w:szCs w:val="24"/>
          <w:highlight w:val="none"/>
        </w:rPr>
        <w:t>水质</w:t>
      </w:r>
      <w:r>
        <w:rPr>
          <w:color w:val="auto"/>
          <w:kern w:val="0"/>
          <w:sz w:val="24"/>
          <w:szCs w:val="24"/>
          <w:highlight w:val="none"/>
        </w:rPr>
        <w:t>采样分析，辅助判定排口性质。</w:t>
      </w:r>
    </w:p>
    <w:p>
      <w:pPr>
        <w:spacing w:before="1" w:line="360" w:lineRule="auto"/>
        <w:ind w:left="113" w:firstLine="480" w:firstLineChars="200"/>
        <w:rPr>
          <w:color w:val="auto"/>
          <w:kern w:val="0"/>
          <w:sz w:val="24"/>
          <w:szCs w:val="24"/>
          <w:highlight w:val="none"/>
        </w:rPr>
      </w:pPr>
      <w:r>
        <w:rPr>
          <w:color w:val="auto"/>
          <w:kern w:val="0"/>
          <w:sz w:val="24"/>
          <w:szCs w:val="24"/>
          <w:highlight w:val="none"/>
        </w:rPr>
        <w:t>3、现场巡查记录</w:t>
      </w:r>
    </w:p>
    <w:p>
      <w:pPr>
        <w:spacing w:before="1" w:line="360" w:lineRule="auto"/>
        <w:ind w:left="113" w:firstLine="480" w:firstLineChars="200"/>
        <w:rPr>
          <w:color w:val="auto"/>
          <w:kern w:val="0"/>
          <w:sz w:val="24"/>
          <w:szCs w:val="24"/>
          <w:highlight w:val="none"/>
        </w:rPr>
      </w:pPr>
      <w:r>
        <w:rPr>
          <w:color w:val="auto"/>
          <w:kern w:val="0"/>
          <w:sz w:val="24"/>
          <w:szCs w:val="24"/>
          <w:highlight w:val="none"/>
        </w:rPr>
        <w:t>针对现场各段水体湖库的总体情况和突出问题做好现场巡查记录，包括现场情况、存在问题、解决建议，提供可以佐证巡查记录的现场照片。</w:t>
      </w:r>
    </w:p>
    <w:p>
      <w:pPr>
        <w:spacing w:before="1" w:line="360" w:lineRule="auto"/>
        <w:ind w:left="113" w:firstLine="480" w:firstLineChars="200"/>
        <w:rPr>
          <w:color w:val="auto"/>
          <w:kern w:val="0"/>
          <w:sz w:val="24"/>
          <w:szCs w:val="24"/>
          <w:highlight w:val="none"/>
        </w:rPr>
      </w:pPr>
      <w:r>
        <w:rPr>
          <w:color w:val="auto"/>
          <w:kern w:val="0"/>
          <w:sz w:val="24"/>
          <w:szCs w:val="24"/>
          <w:highlight w:val="none"/>
        </w:rPr>
        <w:t>编制每日现场巡查报告，即时发送给业主，包括水体情况、排口、污染源（点源、面源）、突发情况等。发现污水直排、水质恶化、河面垃圾等突发问题及时反馈</w:t>
      </w:r>
      <w:r>
        <w:rPr>
          <w:rFonts w:hint="eastAsia"/>
          <w:color w:val="auto"/>
          <w:kern w:val="0"/>
          <w:sz w:val="24"/>
          <w:szCs w:val="24"/>
          <w:highlight w:val="none"/>
        </w:rPr>
        <w:t>在</w:t>
      </w:r>
      <w:r>
        <w:rPr>
          <w:color w:val="auto"/>
          <w:kern w:val="0"/>
          <w:sz w:val="24"/>
          <w:szCs w:val="24"/>
          <w:highlight w:val="none"/>
        </w:rPr>
        <w:t>现场巡查报告</w:t>
      </w:r>
      <w:r>
        <w:rPr>
          <w:rFonts w:hint="eastAsia"/>
          <w:color w:val="auto"/>
          <w:kern w:val="0"/>
          <w:sz w:val="24"/>
          <w:szCs w:val="24"/>
          <w:highlight w:val="none"/>
        </w:rPr>
        <w:t>中</w:t>
      </w:r>
      <w:r>
        <w:rPr>
          <w:color w:val="auto"/>
          <w:kern w:val="0"/>
          <w:sz w:val="24"/>
          <w:szCs w:val="24"/>
          <w:highlight w:val="none"/>
        </w:rPr>
        <w:t>。</w:t>
      </w:r>
    </w:p>
    <w:p>
      <w:pPr>
        <w:spacing w:before="1" w:line="360" w:lineRule="auto"/>
        <w:ind w:left="113" w:firstLine="480" w:firstLineChars="200"/>
        <w:rPr>
          <w:color w:val="auto"/>
          <w:kern w:val="0"/>
          <w:sz w:val="24"/>
          <w:szCs w:val="24"/>
          <w:highlight w:val="none"/>
        </w:rPr>
      </w:pPr>
      <w:r>
        <w:rPr>
          <w:color w:val="auto"/>
          <w:kern w:val="0"/>
          <w:sz w:val="24"/>
          <w:szCs w:val="24"/>
          <w:highlight w:val="none"/>
        </w:rPr>
        <w:t>4、黑臭水体问题梳理</w:t>
      </w:r>
    </w:p>
    <w:p>
      <w:pPr>
        <w:spacing w:before="1" w:line="360" w:lineRule="auto"/>
        <w:ind w:left="113" w:firstLine="480" w:firstLineChars="200"/>
        <w:rPr>
          <w:color w:val="auto"/>
          <w:kern w:val="0"/>
          <w:sz w:val="24"/>
          <w:szCs w:val="24"/>
          <w:highlight w:val="none"/>
        </w:rPr>
      </w:pPr>
      <w:r>
        <w:rPr>
          <w:color w:val="auto"/>
          <w:kern w:val="0"/>
          <w:sz w:val="24"/>
          <w:szCs w:val="24"/>
          <w:highlight w:val="none"/>
        </w:rPr>
        <w:t>根据现状情况、排口调查及居民诉求了解，总结梳理每条河流存在问题。</w:t>
      </w:r>
    </w:p>
    <w:p>
      <w:pPr>
        <w:spacing w:before="1" w:line="360" w:lineRule="auto"/>
        <w:ind w:left="113" w:firstLine="480" w:firstLineChars="200"/>
        <w:rPr>
          <w:color w:val="auto"/>
          <w:kern w:val="0"/>
          <w:sz w:val="24"/>
          <w:szCs w:val="24"/>
          <w:highlight w:val="none"/>
        </w:rPr>
      </w:pPr>
      <w:r>
        <w:rPr>
          <w:color w:val="auto"/>
          <w:kern w:val="0"/>
          <w:sz w:val="24"/>
          <w:szCs w:val="24"/>
          <w:highlight w:val="none"/>
        </w:rPr>
        <w:t>5、</w:t>
      </w:r>
      <w:r>
        <w:rPr>
          <w:rFonts w:hint="eastAsia"/>
          <w:color w:val="auto"/>
          <w:kern w:val="0"/>
          <w:sz w:val="24"/>
          <w:szCs w:val="24"/>
          <w:highlight w:val="none"/>
        </w:rPr>
        <w:t>巡查</w:t>
      </w:r>
      <w:r>
        <w:rPr>
          <w:color w:val="auto"/>
          <w:kern w:val="0"/>
          <w:sz w:val="24"/>
          <w:szCs w:val="24"/>
          <w:highlight w:val="none"/>
        </w:rPr>
        <w:t>报告编制</w:t>
      </w:r>
    </w:p>
    <w:p>
      <w:pPr>
        <w:snapToGrid w:val="0"/>
        <w:spacing w:line="360" w:lineRule="auto"/>
        <w:ind w:firstLine="480" w:firstLineChars="200"/>
        <w:rPr>
          <w:color w:val="auto"/>
          <w:sz w:val="24"/>
          <w:szCs w:val="24"/>
          <w:highlight w:val="none"/>
        </w:rPr>
      </w:pPr>
      <w:r>
        <w:rPr>
          <w:color w:val="auto"/>
          <w:sz w:val="24"/>
          <w:szCs w:val="24"/>
          <w:highlight w:val="none"/>
        </w:rPr>
        <w:t>根据黑臭水体现场巡查情况、排口情况、问题梳理，撰写汇总</w:t>
      </w:r>
      <w:r>
        <w:rPr>
          <w:rFonts w:hint="eastAsia"/>
          <w:color w:val="auto"/>
          <w:sz w:val="24"/>
          <w:szCs w:val="24"/>
          <w:highlight w:val="none"/>
        </w:rPr>
        <w:t>巡查</w:t>
      </w:r>
      <w:r>
        <w:rPr>
          <w:color w:val="auto"/>
          <w:sz w:val="24"/>
          <w:szCs w:val="24"/>
          <w:highlight w:val="none"/>
        </w:rPr>
        <w:t>报告，提出分析建议。完成当</w:t>
      </w:r>
      <w:r>
        <w:rPr>
          <w:rFonts w:hint="eastAsia"/>
          <w:color w:val="auto"/>
          <w:sz w:val="24"/>
          <w:szCs w:val="24"/>
          <w:highlight w:val="none"/>
        </w:rPr>
        <w:t>轮巡查</w:t>
      </w:r>
      <w:r>
        <w:rPr>
          <w:color w:val="auto"/>
          <w:sz w:val="24"/>
          <w:szCs w:val="24"/>
          <w:highlight w:val="none"/>
        </w:rPr>
        <w:t>后监测机构应在</w:t>
      </w:r>
      <w:r>
        <w:rPr>
          <w:rFonts w:hint="eastAsia"/>
          <w:color w:val="auto"/>
          <w:sz w:val="24"/>
          <w:szCs w:val="24"/>
          <w:highlight w:val="none"/>
        </w:rPr>
        <w:t>完成巡查</w:t>
      </w:r>
      <w:r>
        <w:rPr>
          <w:color w:val="auto"/>
          <w:sz w:val="24"/>
          <w:szCs w:val="24"/>
          <w:highlight w:val="none"/>
        </w:rPr>
        <w:t>10日</w:t>
      </w:r>
      <w:r>
        <w:rPr>
          <w:rFonts w:hint="eastAsia"/>
          <w:color w:val="auto"/>
          <w:sz w:val="24"/>
          <w:szCs w:val="24"/>
          <w:highlight w:val="none"/>
        </w:rPr>
        <w:t>内</w:t>
      </w:r>
      <w:r>
        <w:rPr>
          <w:color w:val="auto"/>
          <w:sz w:val="24"/>
          <w:szCs w:val="24"/>
          <w:highlight w:val="none"/>
        </w:rPr>
        <w:t>向业主方提供编撰完成的</w:t>
      </w:r>
      <w:r>
        <w:rPr>
          <w:rFonts w:hint="eastAsia"/>
          <w:color w:val="auto"/>
          <w:sz w:val="24"/>
          <w:szCs w:val="24"/>
          <w:highlight w:val="none"/>
        </w:rPr>
        <w:t>巡</w:t>
      </w:r>
      <w:r>
        <w:rPr>
          <w:color w:val="auto"/>
          <w:sz w:val="24"/>
          <w:szCs w:val="24"/>
          <w:highlight w:val="none"/>
        </w:rPr>
        <w:t>查报告。</w:t>
      </w:r>
      <w:r>
        <w:rPr>
          <w:rFonts w:hint="eastAsia"/>
          <w:color w:val="auto"/>
          <w:sz w:val="24"/>
          <w:szCs w:val="24"/>
          <w:highlight w:val="none"/>
        </w:rPr>
        <w:t>开展工作后每半年</w:t>
      </w:r>
      <w:r>
        <w:rPr>
          <w:color w:val="auto"/>
          <w:sz w:val="24"/>
          <w:szCs w:val="24"/>
          <w:highlight w:val="none"/>
        </w:rPr>
        <w:t>向业主方提供</w:t>
      </w:r>
      <w:r>
        <w:rPr>
          <w:rFonts w:hint="eastAsia"/>
          <w:color w:val="auto"/>
          <w:sz w:val="24"/>
          <w:szCs w:val="24"/>
          <w:highlight w:val="none"/>
        </w:rPr>
        <w:t>半年水质检测数据分析</w:t>
      </w:r>
      <w:r>
        <w:rPr>
          <w:color w:val="auto"/>
          <w:sz w:val="24"/>
          <w:szCs w:val="24"/>
          <w:highlight w:val="none"/>
        </w:rPr>
        <w:t>报告。</w:t>
      </w:r>
    </w:p>
    <w:p>
      <w:pPr>
        <w:pStyle w:val="4"/>
        <w:spacing w:line="489" w:lineRule="exact"/>
        <w:ind w:left="111"/>
        <w:rPr>
          <w:rFonts w:ascii="Times New Roman"/>
          <w:color w:val="auto"/>
          <w:highlight w:val="none"/>
        </w:rPr>
      </w:pPr>
      <w:bookmarkStart w:id="55" w:name="_Toc8409"/>
      <w:bookmarkStart w:id="56" w:name="_Toc530573500"/>
      <w:bookmarkStart w:id="57" w:name="_Toc7576"/>
      <w:bookmarkStart w:id="58" w:name="_Toc19642"/>
      <w:r>
        <w:rPr>
          <w:rFonts w:ascii="Times New Roman"/>
          <w:color w:val="auto"/>
          <w:highlight w:val="none"/>
        </w:rPr>
        <w:t>（三）布点方案</w:t>
      </w:r>
      <w:bookmarkEnd w:id="55"/>
      <w:bookmarkEnd w:id="56"/>
      <w:bookmarkEnd w:id="57"/>
      <w:bookmarkEnd w:id="58"/>
    </w:p>
    <w:p>
      <w:pPr>
        <w:spacing w:before="1" w:line="360" w:lineRule="auto"/>
        <w:ind w:left="113" w:firstLine="480" w:firstLineChars="200"/>
        <w:rPr>
          <w:color w:val="auto"/>
          <w:kern w:val="0"/>
          <w:sz w:val="24"/>
          <w:szCs w:val="24"/>
          <w:highlight w:val="none"/>
        </w:rPr>
      </w:pPr>
      <w:r>
        <w:rPr>
          <w:color w:val="auto"/>
          <w:kern w:val="0"/>
          <w:sz w:val="24"/>
          <w:szCs w:val="24"/>
          <w:highlight w:val="none"/>
        </w:rPr>
        <w:t>结合周边环境情况及国家要求，编制合理科学、具有可操作性的</w:t>
      </w:r>
      <w:r>
        <w:rPr>
          <w:rFonts w:hint="eastAsia"/>
          <w:color w:val="auto"/>
          <w:sz w:val="24"/>
          <w:szCs w:val="24"/>
          <w:highlight w:val="none"/>
        </w:rPr>
        <w:t>检测</w:t>
      </w:r>
      <w:r>
        <w:rPr>
          <w:color w:val="auto"/>
          <w:kern w:val="0"/>
          <w:sz w:val="24"/>
          <w:szCs w:val="24"/>
          <w:highlight w:val="none"/>
        </w:rPr>
        <w:t>布点方案</w:t>
      </w:r>
      <w:r>
        <w:rPr>
          <w:rFonts w:hint="eastAsia"/>
          <w:color w:val="auto"/>
          <w:kern w:val="0"/>
          <w:sz w:val="24"/>
          <w:szCs w:val="24"/>
          <w:highlight w:val="none"/>
        </w:rPr>
        <w:t>，具体</w:t>
      </w:r>
      <w:r>
        <w:rPr>
          <w:color w:val="auto"/>
          <w:kern w:val="0"/>
          <w:sz w:val="24"/>
          <w:szCs w:val="24"/>
          <w:highlight w:val="none"/>
        </w:rPr>
        <w:t>检测</w:t>
      </w:r>
      <w:r>
        <w:rPr>
          <w:rFonts w:hint="eastAsia"/>
          <w:color w:val="auto"/>
          <w:kern w:val="0"/>
          <w:sz w:val="24"/>
          <w:szCs w:val="24"/>
          <w:highlight w:val="none"/>
        </w:rPr>
        <w:t>布点</w:t>
      </w:r>
      <w:r>
        <w:rPr>
          <w:color w:val="auto"/>
          <w:kern w:val="0"/>
          <w:sz w:val="24"/>
          <w:szCs w:val="24"/>
          <w:highlight w:val="none"/>
        </w:rPr>
        <w:t>需</w:t>
      </w:r>
      <w:r>
        <w:rPr>
          <w:rFonts w:hint="eastAsia"/>
          <w:color w:val="auto"/>
          <w:kern w:val="0"/>
          <w:sz w:val="24"/>
          <w:szCs w:val="24"/>
          <w:highlight w:val="none"/>
        </w:rPr>
        <w:t>征得</w:t>
      </w:r>
      <w:r>
        <w:rPr>
          <w:color w:val="auto"/>
          <w:kern w:val="0"/>
          <w:sz w:val="24"/>
          <w:szCs w:val="24"/>
          <w:highlight w:val="none"/>
        </w:rPr>
        <w:t>甲方同意后</w:t>
      </w:r>
      <w:r>
        <w:rPr>
          <w:rFonts w:hint="eastAsia"/>
          <w:color w:val="auto"/>
          <w:kern w:val="0"/>
          <w:sz w:val="24"/>
          <w:szCs w:val="24"/>
          <w:highlight w:val="none"/>
        </w:rPr>
        <w:t>方可</w:t>
      </w:r>
      <w:r>
        <w:rPr>
          <w:color w:val="auto"/>
          <w:kern w:val="0"/>
          <w:sz w:val="24"/>
          <w:szCs w:val="24"/>
          <w:highlight w:val="none"/>
        </w:rPr>
        <w:t>实施</w:t>
      </w:r>
      <w:r>
        <w:rPr>
          <w:rFonts w:hint="eastAsia"/>
          <w:color w:val="auto"/>
          <w:kern w:val="0"/>
          <w:sz w:val="24"/>
          <w:szCs w:val="24"/>
          <w:highlight w:val="none"/>
        </w:rPr>
        <w:t>。</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1、编制黑臭水体监督性检测布点方案</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包括重庆市48段黑臭水体、小泉支流，不少于370个</w:t>
      </w:r>
      <w:r>
        <w:rPr>
          <w:rFonts w:hint="eastAsia"/>
          <w:color w:val="auto"/>
          <w:sz w:val="24"/>
          <w:szCs w:val="24"/>
          <w:highlight w:val="none"/>
        </w:rPr>
        <w:t>检测</w:t>
      </w:r>
      <w:r>
        <w:rPr>
          <w:color w:val="auto"/>
          <w:kern w:val="0"/>
          <w:sz w:val="24"/>
          <w:szCs w:val="24"/>
          <w:highlight w:val="none"/>
        </w:rPr>
        <w:t>点。</w:t>
      </w:r>
    </w:p>
    <w:p>
      <w:pPr>
        <w:spacing w:before="1" w:line="360" w:lineRule="auto"/>
        <w:ind w:left="113" w:firstLine="480" w:firstLineChars="200"/>
        <w:rPr>
          <w:color w:val="auto"/>
          <w:kern w:val="0"/>
          <w:sz w:val="24"/>
          <w:szCs w:val="24"/>
          <w:highlight w:val="none"/>
        </w:rPr>
      </w:pPr>
      <w:r>
        <w:rPr>
          <w:color w:val="auto"/>
          <w:kern w:val="0"/>
          <w:sz w:val="24"/>
          <w:szCs w:val="24"/>
          <w:highlight w:val="none"/>
        </w:rPr>
        <w:t>黑臭水体布点：水体黑臭程度分级判定时，原则上可沿黑臭水体每 200~600m间距设置检测点，但每个水体的检测点不少于3个。取样点一般设置于水面下0.5m处，水深不足0.5m时，应设置在水深的1/2处。</w:t>
      </w:r>
    </w:p>
    <w:p>
      <w:pPr>
        <w:spacing w:before="1" w:line="360" w:lineRule="auto"/>
        <w:ind w:left="113" w:firstLine="480" w:firstLineChars="200"/>
        <w:rPr>
          <w:color w:val="auto"/>
          <w:kern w:val="0"/>
          <w:sz w:val="24"/>
          <w:szCs w:val="24"/>
          <w:highlight w:val="none"/>
        </w:rPr>
      </w:pPr>
      <w:r>
        <w:rPr>
          <w:color w:val="auto"/>
          <w:kern w:val="0"/>
          <w:sz w:val="24"/>
          <w:szCs w:val="24"/>
          <w:highlight w:val="none"/>
        </w:rPr>
        <w:t>2、编制56个湖库监督性检测布点方案</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包括56个湖库，不少于168个</w:t>
      </w:r>
      <w:r>
        <w:rPr>
          <w:rFonts w:hint="eastAsia"/>
          <w:color w:val="auto"/>
          <w:sz w:val="24"/>
          <w:szCs w:val="24"/>
          <w:highlight w:val="none"/>
        </w:rPr>
        <w:t>检测</w:t>
      </w:r>
      <w:r>
        <w:rPr>
          <w:color w:val="auto"/>
          <w:kern w:val="0"/>
          <w:sz w:val="24"/>
          <w:szCs w:val="24"/>
          <w:highlight w:val="none"/>
        </w:rPr>
        <w:t>点。</w:t>
      </w:r>
    </w:p>
    <w:p>
      <w:pPr>
        <w:spacing w:before="1" w:line="360" w:lineRule="auto"/>
        <w:ind w:left="113" w:firstLine="480" w:firstLineChars="200"/>
        <w:rPr>
          <w:color w:val="auto"/>
          <w:kern w:val="0"/>
          <w:sz w:val="24"/>
          <w:szCs w:val="24"/>
          <w:highlight w:val="none"/>
        </w:rPr>
      </w:pPr>
      <w:r>
        <w:rPr>
          <w:color w:val="auto"/>
          <w:kern w:val="0"/>
          <w:sz w:val="24"/>
          <w:szCs w:val="24"/>
          <w:highlight w:val="none"/>
        </w:rPr>
        <w:t>湖库布点：根据《地表水和污水监测技术规范》HJ/T91-2002，在56个湖库进水区、出水区、湖心区分别设置检测点。</w:t>
      </w:r>
    </w:p>
    <w:p>
      <w:pPr>
        <w:spacing w:before="1" w:line="360" w:lineRule="auto"/>
        <w:ind w:left="113" w:firstLine="480" w:firstLineChars="200"/>
        <w:rPr>
          <w:color w:val="auto"/>
          <w:kern w:val="0"/>
          <w:sz w:val="24"/>
          <w:szCs w:val="24"/>
          <w:highlight w:val="none"/>
        </w:rPr>
      </w:pPr>
      <w:r>
        <w:rPr>
          <w:color w:val="auto"/>
          <w:kern w:val="0"/>
          <w:sz w:val="24"/>
          <w:szCs w:val="24"/>
          <w:highlight w:val="none"/>
        </w:rPr>
        <w:t>3、“清水绿岸”20条河流水质监督性</w:t>
      </w:r>
      <w:r>
        <w:rPr>
          <w:rFonts w:hint="eastAsia"/>
          <w:color w:val="auto"/>
          <w:sz w:val="24"/>
          <w:szCs w:val="24"/>
          <w:highlight w:val="none"/>
        </w:rPr>
        <w:t>检测</w:t>
      </w:r>
      <w:r>
        <w:rPr>
          <w:color w:val="auto"/>
          <w:kern w:val="0"/>
          <w:sz w:val="24"/>
          <w:szCs w:val="24"/>
          <w:highlight w:val="none"/>
        </w:rPr>
        <w:t>布点方案</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包括20条河流全流域，不少于114个</w:t>
      </w:r>
      <w:r>
        <w:rPr>
          <w:rFonts w:hint="eastAsia"/>
          <w:color w:val="auto"/>
          <w:sz w:val="24"/>
          <w:szCs w:val="24"/>
          <w:highlight w:val="none"/>
        </w:rPr>
        <w:t>检测</w:t>
      </w:r>
      <w:r>
        <w:rPr>
          <w:color w:val="auto"/>
          <w:kern w:val="0"/>
          <w:sz w:val="24"/>
          <w:szCs w:val="24"/>
          <w:highlight w:val="none"/>
        </w:rPr>
        <w:t>点</w:t>
      </w:r>
      <w:r>
        <w:rPr>
          <w:rFonts w:hint="eastAsia"/>
          <w:color w:val="auto"/>
          <w:kern w:val="0"/>
          <w:sz w:val="24"/>
          <w:szCs w:val="24"/>
          <w:highlight w:val="none"/>
        </w:rPr>
        <w:t>，</w:t>
      </w:r>
      <w:r>
        <w:rPr>
          <w:color w:val="auto"/>
          <w:kern w:val="0"/>
          <w:sz w:val="24"/>
          <w:szCs w:val="24"/>
          <w:highlight w:val="none"/>
        </w:rPr>
        <w:t>具体检测</w:t>
      </w:r>
      <w:r>
        <w:rPr>
          <w:rFonts w:hint="eastAsia"/>
          <w:color w:val="auto"/>
          <w:kern w:val="0"/>
          <w:sz w:val="24"/>
          <w:szCs w:val="24"/>
          <w:highlight w:val="none"/>
        </w:rPr>
        <w:t>点位避免</w:t>
      </w:r>
      <w:r>
        <w:rPr>
          <w:color w:val="auto"/>
          <w:kern w:val="0"/>
          <w:sz w:val="24"/>
          <w:szCs w:val="24"/>
          <w:highlight w:val="none"/>
        </w:rPr>
        <w:t>与黑臭水体检测</w:t>
      </w:r>
      <w:r>
        <w:rPr>
          <w:rFonts w:hint="eastAsia"/>
          <w:color w:val="auto"/>
          <w:kern w:val="0"/>
          <w:sz w:val="24"/>
          <w:szCs w:val="24"/>
          <w:highlight w:val="none"/>
        </w:rPr>
        <w:t>点位</w:t>
      </w:r>
      <w:r>
        <w:rPr>
          <w:color w:val="auto"/>
          <w:kern w:val="0"/>
          <w:sz w:val="24"/>
          <w:szCs w:val="24"/>
          <w:highlight w:val="none"/>
        </w:rPr>
        <w:t>重复。</w:t>
      </w:r>
    </w:p>
    <w:p>
      <w:pPr>
        <w:spacing w:before="1" w:line="360" w:lineRule="auto"/>
        <w:ind w:left="113" w:firstLine="480" w:firstLineChars="200"/>
        <w:rPr>
          <w:color w:val="auto"/>
          <w:kern w:val="0"/>
          <w:sz w:val="24"/>
          <w:szCs w:val="24"/>
          <w:highlight w:val="none"/>
        </w:rPr>
      </w:pPr>
      <w:r>
        <w:rPr>
          <w:color w:val="auto"/>
          <w:kern w:val="0"/>
          <w:sz w:val="24"/>
          <w:szCs w:val="24"/>
          <w:highlight w:val="none"/>
        </w:rPr>
        <w:t>针对“清水绿岸”20条河流，根据《地表水和污水监测技术规范》HJ/T91-2002要求，</w:t>
      </w:r>
      <w:r>
        <w:rPr>
          <w:rFonts w:hint="eastAsia"/>
          <w:color w:val="auto"/>
          <w:sz w:val="24"/>
          <w:szCs w:val="24"/>
          <w:highlight w:val="none"/>
        </w:rPr>
        <w:t>检测</w:t>
      </w:r>
      <w:r>
        <w:rPr>
          <w:color w:val="auto"/>
          <w:kern w:val="0"/>
          <w:sz w:val="24"/>
          <w:szCs w:val="24"/>
          <w:highlight w:val="none"/>
        </w:rPr>
        <w:t>断面设置在总体和宏观上须能反映水系或所在区域的水环境质量状况的位置。各断面的具体位置须能反映所在区域环境的污染特征。建议对流域或水系要设立背景断面、控制断面（若干）和入河口断面；对行政区域可设背景断面（水系源头）或入境断面（对国境河流）或对照断面、控制断面（若干）和入河口断面或出境断面；各控制断面下游，如果河段有足够长度（至少10km），还应设消减断面。</w:t>
      </w:r>
    </w:p>
    <w:p>
      <w:pPr>
        <w:pStyle w:val="4"/>
        <w:spacing w:line="489" w:lineRule="exact"/>
        <w:ind w:left="111"/>
        <w:rPr>
          <w:rFonts w:ascii="Times New Roman"/>
          <w:color w:val="auto"/>
          <w:highlight w:val="none"/>
        </w:rPr>
      </w:pPr>
      <w:bookmarkStart w:id="59" w:name="_Toc12190"/>
      <w:bookmarkStart w:id="60" w:name="_Toc12241"/>
      <w:bookmarkStart w:id="61" w:name="_Toc530573501"/>
      <w:bookmarkStart w:id="62" w:name="_Toc17841"/>
      <w:r>
        <w:rPr>
          <w:rFonts w:ascii="Times New Roman"/>
          <w:color w:val="auto"/>
          <w:highlight w:val="none"/>
        </w:rPr>
        <w:t>（四）水质检测</w:t>
      </w:r>
      <w:bookmarkEnd w:id="59"/>
      <w:bookmarkEnd w:id="60"/>
      <w:bookmarkEnd w:id="61"/>
      <w:bookmarkEnd w:id="62"/>
    </w:p>
    <w:p>
      <w:pPr>
        <w:spacing w:before="1" w:line="360" w:lineRule="auto"/>
        <w:ind w:left="113" w:firstLine="480" w:firstLineChars="200"/>
        <w:rPr>
          <w:color w:val="auto"/>
          <w:kern w:val="0"/>
          <w:sz w:val="24"/>
          <w:szCs w:val="24"/>
          <w:highlight w:val="none"/>
        </w:rPr>
      </w:pPr>
      <w:r>
        <w:rPr>
          <w:rFonts w:hint="eastAsia"/>
          <w:color w:val="auto"/>
          <w:kern w:val="0"/>
          <w:sz w:val="24"/>
          <w:szCs w:val="24"/>
          <w:highlight w:val="none"/>
        </w:rPr>
        <w:t>全年</w:t>
      </w:r>
      <w:r>
        <w:rPr>
          <w:color w:val="auto"/>
          <w:kern w:val="0"/>
          <w:sz w:val="24"/>
          <w:szCs w:val="24"/>
          <w:highlight w:val="none"/>
        </w:rPr>
        <w:t>共检测12轮，包括重庆市48段黑臭水体、小泉支流，56个湖库，“清水绿岸”20条河流。</w:t>
      </w:r>
    </w:p>
    <w:p>
      <w:pPr>
        <w:spacing w:before="1" w:line="360" w:lineRule="auto"/>
        <w:ind w:left="113" w:firstLine="480" w:firstLineChars="200"/>
        <w:rPr>
          <w:color w:val="auto"/>
          <w:kern w:val="0"/>
          <w:sz w:val="24"/>
          <w:szCs w:val="24"/>
          <w:highlight w:val="none"/>
        </w:rPr>
      </w:pPr>
      <w:r>
        <w:rPr>
          <w:color w:val="auto"/>
          <w:kern w:val="0"/>
          <w:sz w:val="24"/>
          <w:szCs w:val="24"/>
          <w:highlight w:val="none"/>
        </w:rPr>
        <w:t>1、城市黑臭水体检测要求</w:t>
      </w:r>
    </w:p>
    <w:p>
      <w:pPr>
        <w:spacing w:before="1" w:line="360" w:lineRule="auto"/>
        <w:ind w:left="113" w:firstLine="480" w:firstLineChars="200"/>
        <w:rPr>
          <w:color w:val="auto"/>
          <w:kern w:val="0"/>
          <w:sz w:val="24"/>
          <w:szCs w:val="24"/>
          <w:highlight w:val="none"/>
        </w:rPr>
      </w:pPr>
      <w:bookmarkStart w:id="63" w:name="_Toc11583"/>
      <w:r>
        <w:rPr>
          <w:color w:val="auto"/>
          <w:kern w:val="0"/>
          <w:sz w:val="24"/>
          <w:szCs w:val="24"/>
          <w:highlight w:val="none"/>
        </w:rPr>
        <w:t>根据黑臭程度的不同，可将黑臭水体细分为“轻度黑臭”和“重度黑臭”两级。水质检测与分级结果可为黑臭水体整治计划制定和整治效果评估提供重要参考。</w:t>
      </w:r>
      <w:bookmarkEnd w:id="63"/>
    </w:p>
    <w:p>
      <w:pPr>
        <w:spacing w:before="1" w:line="360" w:lineRule="auto"/>
        <w:ind w:left="113" w:firstLine="480" w:firstLineChars="200"/>
        <w:rPr>
          <w:color w:val="auto"/>
          <w:kern w:val="0"/>
          <w:sz w:val="24"/>
          <w:szCs w:val="24"/>
          <w:highlight w:val="none"/>
        </w:rPr>
      </w:pPr>
      <w:r>
        <w:rPr>
          <w:color w:val="auto"/>
          <w:kern w:val="0"/>
          <w:sz w:val="24"/>
          <w:szCs w:val="24"/>
          <w:highlight w:val="none"/>
        </w:rPr>
        <w:t>1.1检测采样</w:t>
      </w:r>
    </w:p>
    <w:p>
      <w:pPr>
        <w:spacing w:before="1" w:line="360" w:lineRule="auto"/>
        <w:ind w:left="113" w:firstLine="480" w:firstLineChars="200"/>
        <w:rPr>
          <w:color w:val="auto"/>
          <w:kern w:val="0"/>
          <w:sz w:val="24"/>
          <w:szCs w:val="24"/>
          <w:highlight w:val="none"/>
        </w:rPr>
      </w:pPr>
      <w:bookmarkStart w:id="64" w:name="_Toc19746"/>
      <w:r>
        <w:rPr>
          <w:color w:val="auto"/>
          <w:kern w:val="0"/>
          <w:sz w:val="24"/>
          <w:szCs w:val="24"/>
          <w:highlight w:val="none"/>
        </w:rPr>
        <w:t>根据《</w:t>
      </w:r>
      <w:r>
        <w:rPr>
          <w:color w:val="auto"/>
          <w:highlight w:val="none"/>
        </w:rPr>
        <w:fldChar w:fldCharType="begin"/>
      </w:r>
      <w:r>
        <w:rPr>
          <w:color w:val="auto"/>
          <w:highlight w:val="none"/>
        </w:rPr>
        <w:instrText xml:space="preserve"> HYPERLINK "http://www.spsp.gov.cn/DataCenter/Standard/PDFView.aspx?ca=E488tHXHTJk=" \t "_blank" \o "点击可在线浏览电子文本" </w:instrText>
      </w:r>
      <w:r>
        <w:rPr>
          <w:color w:val="auto"/>
          <w:highlight w:val="none"/>
        </w:rPr>
        <w:fldChar w:fldCharType="separate"/>
      </w:r>
      <w:r>
        <w:rPr>
          <w:color w:val="auto"/>
          <w:kern w:val="0"/>
          <w:sz w:val="24"/>
          <w:szCs w:val="24"/>
          <w:highlight w:val="none"/>
        </w:rPr>
        <w:t>地表水和污水监测技术规范</w:t>
      </w:r>
      <w:r>
        <w:rPr>
          <w:color w:val="auto"/>
          <w:kern w:val="0"/>
          <w:sz w:val="24"/>
          <w:szCs w:val="24"/>
          <w:highlight w:val="none"/>
        </w:rPr>
        <w:fldChar w:fldCharType="end"/>
      </w:r>
      <w:r>
        <w:rPr>
          <w:color w:val="auto"/>
          <w:kern w:val="0"/>
          <w:sz w:val="24"/>
          <w:szCs w:val="24"/>
          <w:highlight w:val="none"/>
        </w:rPr>
        <w:t>》（HJ/T 91-2002）、《城市黑臭水体整治工作指南》开展现场水样采集工作。</w:t>
      </w:r>
      <w:bookmarkEnd w:id="64"/>
    </w:p>
    <w:p>
      <w:pPr>
        <w:spacing w:before="1" w:line="360" w:lineRule="auto"/>
        <w:ind w:left="113" w:firstLine="480" w:firstLineChars="200"/>
        <w:rPr>
          <w:color w:val="auto"/>
          <w:kern w:val="0"/>
          <w:sz w:val="24"/>
          <w:szCs w:val="24"/>
          <w:highlight w:val="none"/>
        </w:rPr>
      </w:pPr>
      <w:r>
        <w:rPr>
          <w:color w:val="auto"/>
          <w:kern w:val="0"/>
          <w:sz w:val="24"/>
          <w:szCs w:val="24"/>
          <w:highlight w:val="none"/>
        </w:rPr>
        <w:t>1.2分级标准与测定方法</w:t>
      </w:r>
    </w:p>
    <w:p>
      <w:pPr>
        <w:spacing w:before="1" w:line="360" w:lineRule="auto"/>
        <w:ind w:left="113" w:firstLine="480" w:firstLineChars="200"/>
        <w:rPr>
          <w:color w:val="auto"/>
          <w:highlight w:val="none"/>
        </w:rPr>
      </w:pPr>
      <w:bookmarkStart w:id="65" w:name="_Toc27214"/>
      <w:r>
        <w:rPr>
          <w:color w:val="auto"/>
          <w:kern w:val="0"/>
          <w:sz w:val="24"/>
          <w:szCs w:val="24"/>
          <w:highlight w:val="none"/>
        </w:rPr>
        <w:t>城市黑臭水体分级的评价指标包括透明度、溶解氧（DO）、氧化还原电位（ORP）和氨氮（NH</w:t>
      </w:r>
      <w:r>
        <w:rPr>
          <w:color w:val="auto"/>
          <w:kern w:val="0"/>
          <w:sz w:val="24"/>
          <w:szCs w:val="24"/>
          <w:highlight w:val="none"/>
          <w:vertAlign w:val="subscript"/>
        </w:rPr>
        <w:t>3</w:t>
      </w:r>
      <w:r>
        <w:rPr>
          <w:color w:val="auto"/>
          <w:kern w:val="0"/>
          <w:sz w:val="24"/>
          <w:szCs w:val="24"/>
          <w:highlight w:val="none"/>
        </w:rPr>
        <w:t>-N），分级标准见表5，相关指标测定方法见表6。</w:t>
      </w:r>
      <w:bookmarkEnd w:id="65"/>
    </w:p>
    <w:p>
      <w:pPr>
        <w:jc w:val="center"/>
        <w:rPr>
          <w:rFonts w:eastAsia="Microsoft JhengHei"/>
          <w:b/>
          <w:bCs/>
          <w:color w:val="auto"/>
          <w:highlight w:val="none"/>
        </w:rPr>
      </w:pPr>
    </w:p>
    <w:p>
      <w:pPr>
        <w:pStyle w:val="259"/>
        <w:adjustRightInd w:val="0"/>
        <w:snapToGrid w:val="0"/>
        <w:spacing w:before="0" w:beforeAutospacing="0"/>
        <w:ind w:left="113" w:firstLine="0"/>
        <w:jc w:val="center"/>
        <w:rPr>
          <w:rFonts w:ascii="Times New Roman" w:hAnsi="Times New Roman" w:eastAsia="方正小标宋_GBK" w:cs="Times New Roman"/>
          <w:color w:val="auto"/>
          <w:sz w:val="24"/>
          <w:szCs w:val="24"/>
          <w:highlight w:val="none"/>
        </w:rPr>
      </w:pPr>
      <w:r>
        <w:rPr>
          <w:rFonts w:ascii="Times New Roman" w:hAnsi="Times New Roman" w:eastAsia="方正小标宋_GBK" w:cs="Times New Roman"/>
          <w:color w:val="auto"/>
          <w:sz w:val="24"/>
          <w:szCs w:val="24"/>
          <w:highlight w:val="none"/>
        </w:rPr>
        <w:t>表5 城市黑臭水体污染程度分级标准</w:t>
      </w:r>
    </w:p>
    <w:tbl>
      <w:tblPr>
        <w:tblStyle w:val="57"/>
        <w:tblW w:w="4998" w:type="pct"/>
        <w:tblInd w:w="0" w:type="dxa"/>
        <w:tblLayout w:type="autofit"/>
        <w:tblCellMar>
          <w:top w:w="0" w:type="dxa"/>
          <w:left w:w="0" w:type="dxa"/>
          <w:bottom w:w="0" w:type="dxa"/>
          <w:right w:w="0" w:type="dxa"/>
        </w:tblCellMar>
      </w:tblPr>
      <w:tblGrid>
        <w:gridCol w:w="4334"/>
        <w:gridCol w:w="2071"/>
        <w:gridCol w:w="1914"/>
      </w:tblGrid>
      <w:tr>
        <w:tblPrEx>
          <w:tblCellMar>
            <w:top w:w="0" w:type="dxa"/>
            <w:left w:w="0" w:type="dxa"/>
            <w:bottom w:w="0" w:type="dxa"/>
            <w:right w:w="0" w:type="dxa"/>
          </w:tblCellMar>
        </w:tblPrEx>
        <w:trPr>
          <w:trHeight w:val="518" w:hRule="atLeast"/>
        </w:trPr>
        <w:tc>
          <w:tcPr>
            <w:tcW w:w="2604" w:type="pct"/>
            <w:tcBorders>
              <w:top w:val="single" w:color="000000" w:sz="4" w:space="0"/>
              <w:left w:val="single" w:color="000000" w:sz="4" w:space="0"/>
              <w:bottom w:val="single" w:color="000000" w:sz="4" w:space="0"/>
              <w:right w:val="single" w:color="000000" w:sz="4" w:space="0"/>
            </w:tcBorders>
          </w:tcPr>
          <w:p>
            <w:pPr>
              <w:pStyle w:val="260"/>
              <w:spacing w:before="1"/>
              <w:ind w:left="280" w:right="448"/>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特征指标（单位）</w:t>
            </w:r>
          </w:p>
        </w:tc>
        <w:tc>
          <w:tcPr>
            <w:tcW w:w="1244" w:type="pct"/>
            <w:tcBorders>
              <w:top w:val="single" w:color="000000" w:sz="4" w:space="0"/>
              <w:left w:val="nil"/>
              <w:bottom w:val="single" w:color="000000" w:sz="4" w:space="0"/>
              <w:right w:val="single" w:color="000000" w:sz="4" w:space="0"/>
            </w:tcBorders>
          </w:tcPr>
          <w:p>
            <w:pPr>
              <w:pStyle w:val="260"/>
              <w:spacing w:before="1"/>
              <w:ind w:right="101"/>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轻度黑臭</w:t>
            </w:r>
          </w:p>
        </w:tc>
        <w:tc>
          <w:tcPr>
            <w:tcW w:w="1150" w:type="pct"/>
            <w:tcBorders>
              <w:top w:val="single" w:color="000000" w:sz="4" w:space="0"/>
              <w:left w:val="nil"/>
              <w:bottom w:val="single" w:color="000000" w:sz="4" w:space="0"/>
              <w:right w:val="single" w:color="000000" w:sz="4" w:space="0"/>
            </w:tcBorders>
          </w:tcPr>
          <w:p>
            <w:pPr>
              <w:pStyle w:val="260"/>
              <w:spacing w:before="1"/>
              <w:ind w:right="224" w:rightChars="80"/>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重度黑臭</w:t>
            </w:r>
          </w:p>
        </w:tc>
      </w:tr>
      <w:tr>
        <w:tblPrEx>
          <w:tblCellMar>
            <w:top w:w="0" w:type="dxa"/>
            <w:left w:w="0" w:type="dxa"/>
            <w:bottom w:w="0" w:type="dxa"/>
            <w:right w:w="0" w:type="dxa"/>
          </w:tblCellMar>
        </w:tblPrEx>
        <w:trPr>
          <w:trHeight w:val="522" w:hRule="atLeast"/>
        </w:trPr>
        <w:tc>
          <w:tcPr>
            <w:tcW w:w="2604" w:type="pct"/>
            <w:tcBorders>
              <w:top w:val="single" w:color="000000" w:sz="4" w:space="0"/>
              <w:left w:val="single" w:color="000000" w:sz="4" w:space="0"/>
              <w:bottom w:val="single" w:color="000000" w:sz="4" w:space="0"/>
              <w:right w:val="single" w:color="000000" w:sz="4" w:space="0"/>
            </w:tcBorders>
          </w:tcPr>
          <w:p>
            <w:pPr>
              <w:pStyle w:val="260"/>
              <w:spacing w:before="90"/>
              <w:ind w:left="280" w:right="452"/>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透明度（cm）</w:t>
            </w:r>
          </w:p>
        </w:tc>
        <w:tc>
          <w:tcPr>
            <w:tcW w:w="1244" w:type="pct"/>
            <w:tcBorders>
              <w:top w:val="single" w:color="000000" w:sz="4" w:space="0"/>
              <w:left w:val="nil"/>
              <w:bottom w:val="single" w:color="000000" w:sz="4" w:space="0"/>
              <w:right w:val="single" w:color="000000" w:sz="4" w:space="0"/>
            </w:tcBorders>
          </w:tcPr>
          <w:p>
            <w:pPr>
              <w:pStyle w:val="260"/>
              <w:spacing w:before="156"/>
              <w:ind w:right="101" w:rightChars="3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25~10*</w:t>
            </w:r>
          </w:p>
        </w:tc>
        <w:tc>
          <w:tcPr>
            <w:tcW w:w="1150" w:type="pct"/>
            <w:tcBorders>
              <w:top w:val="single" w:color="000000" w:sz="4" w:space="0"/>
              <w:left w:val="nil"/>
              <w:bottom w:val="single" w:color="000000" w:sz="4" w:space="0"/>
              <w:right w:val="single" w:color="000000" w:sz="4" w:space="0"/>
            </w:tcBorders>
            <w:vAlign w:val="center"/>
          </w:tcPr>
          <w:p>
            <w:pPr>
              <w:pStyle w:val="260"/>
              <w:spacing w:before="156"/>
              <w:ind w:right="224" w:rightChars="8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&lt;10*</w:t>
            </w:r>
          </w:p>
        </w:tc>
      </w:tr>
      <w:tr>
        <w:tblPrEx>
          <w:tblCellMar>
            <w:top w:w="0" w:type="dxa"/>
            <w:left w:w="0" w:type="dxa"/>
            <w:bottom w:w="0" w:type="dxa"/>
            <w:right w:w="0" w:type="dxa"/>
          </w:tblCellMar>
        </w:tblPrEx>
        <w:trPr>
          <w:trHeight w:val="517" w:hRule="atLeast"/>
        </w:trPr>
        <w:tc>
          <w:tcPr>
            <w:tcW w:w="2604" w:type="pct"/>
            <w:tcBorders>
              <w:top w:val="single" w:color="000000" w:sz="4" w:space="0"/>
              <w:left w:val="single" w:color="000000" w:sz="4" w:space="0"/>
              <w:bottom w:val="single" w:color="000000" w:sz="4" w:space="0"/>
              <w:right w:val="single" w:color="000000" w:sz="4" w:space="0"/>
            </w:tcBorders>
          </w:tcPr>
          <w:p>
            <w:pPr>
              <w:pStyle w:val="260"/>
              <w:spacing w:before="90"/>
              <w:ind w:left="280" w:right="452"/>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溶解氧（mg/L）</w:t>
            </w:r>
          </w:p>
        </w:tc>
        <w:tc>
          <w:tcPr>
            <w:tcW w:w="1244" w:type="pct"/>
            <w:tcBorders>
              <w:top w:val="single" w:color="000000" w:sz="4" w:space="0"/>
              <w:left w:val="nil"/>
              <w:bottom w:val="single" w:color="000000" w:sz="4" w:space="0"/>
              <w:right w:val="single" w:color="000000" w:sz="4" w:space="0"/>
            </w:tcBorders>
          </w:tcPr>
          <w:p>
            <w:pPr>
              <w:pStyle w:val="260"/>
              <w:spacing w:before="156"/>
              <w:ind w:right="101" w:rightChars="3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0.2~2.0</w:t>
            </w:r>
          </w:p>
        </w:tc>
        <w:tc>
          <w:tcPr>
            <w:tcW w:w="1150" w:type="pct"/>
            <w:tcBorders>
              <w:top w:val="single" w:color="000000" w:sz="4" w:space="0"/>
              <w:left w:val="nil"/>
              <w:bottom w:val="single" w:color="000000" w:sz="4" w:space="0"/>
              <w:right w:val="single" w:color="000000" w:sz="4" w:space="0"/>
            </w:tcBorders>
            <w:vAlign w:val="center"/>
          </w:tcPr>
          <w:p>
            <w:pPr>
              <w:pStyle w:val="260"/>
              <w:spacing w:before="156"/>
              <w:ind w:right="224" w:rightChars="8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&lt;0.2</w:t>
            </w:r>
          </w:p>
        </w:tc>
      </w:tr>
      <w:tr>
        <w:tblPrEx>
          <w:tblCellMar>
            <w:top w:w="0" w:type="dxa"/>
            <w:left w:w="0" w:type="dxa"/>
            <w:bottom w:w="0" w:type="dxa"/>
            <w:right w:w="0" w:type="dxa"/>
          </w:tblCellMar>
        </w:tblPrEx>
        <w:trPr>
          <w:trHeight w:val="522" w:hRule="atLeast"/>
        </w:trPr>
        <w:tc>
          <w:tcPr>
            <w:tcW w:w="2604" w:type="pct"/>
            <w:tcBorders>
              <w:top w:val="single" w:color="000000" w:sz="4" w:space="0"/>
              <w:left w:val="single" w:color="000000" w:sz="4" w:space="0"/>
              <w:bottom w:val="single" w:color="000000" w:sz="4" w:space="0"/>
              <w:right w:val="single" w:color="000000" w:sz="4" w:space="0"/>
            </w:tcBorders>
          </w:tcPr>
          <w:p>
            <w:pPr>
              <w:pStyle w:val="260"/>
              <w:spacing w:before="90"/>
              <w:ind w:left="280" w:right="452"/>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氧化还原电位（mV）</w:t>
            </w:r>
          </w:p>
        </w:tc>
        <w:tc>
          <w:tcPr>
            <w:tcW w:w="1244" w:type="pct"/>
            <w:tcBorders>
              <w:top w:val="single" w:color="000000" w:sz="4" w:space="0"/>
              <w:left w:val="nil"/>
              <w:bottom w:val="single" w:color="000000" w:sz="4" w:space="0"/>
              <w:right w:val="single" w:color="000000" w:sz="4" w:space="0"/>
            </w:tcBorders>
          </w:tcPr>
          <w:p>
            <w:pPr>
              <w:pStyle w:val="260"/>
              <w:spacing w:before="156"/>
              <w:ind w:right="101" w:rightChars="3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-200~50</w:t>
            </w:r>
          </w:p>
        </w:tc>
        <w:tc>
          <w:tcPr>
            <w:tcW w:w="1150" w:type="pct"/>
            <w:tcBorders>
              <w:top w:val="single" w:color="000000" w:sz="4" w:space="0"/>
              <w:left w:val="nil"/>
              <w:bottom w:val="single" w:color="000000" w:sz="4" w:space="0"/>
              <w:right w:val="single" w:color="000000" w:sz="4" w:space="0"/>
            </w:tcBorders>
            <w:vAlign w:val="center"/>
          </w:tcPr>
          <w:p>
            <w:pPr>
              <w:pStyle w:val="260"/>
              <w:spacing w:before="156"/>
              <w:ind w:right="224" w:rightChars="8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&lt;-200</w:t>
            </w:r>
          </w:p>
        </w:tc>
      </w:tr>
      <w:tr>
        <w:tblPrEx>
          <w:tblCellMar>
            <w:top w:w="0" w:type="dxa"/>
            <w:left w:w="0" w:type="dxa"/>
            <w:bottom w:w="0" w:type="dxa"/>
            <w:right w:w="0" w:type="dxa"/>
          </w:tblCellMar>
        </w:tblPrEx>
        <w:trPr>
          <w:trHeight w:val="518" w:hRule="atLeast"/>
        </w:trPr>
        <w:tc>
          <w:tcPr>
            <w:tcW w:w="2604" w:type="pct"/>
            <w:tcBorders>
              <w:top w:val="single" w:color="000000" w:sz="4" w:space="0"/>
              <w:left w:val="single" w:color="000000" w:sz="4" w:space="0"/>
              <w:bottom w:val="single" w:color="000000" w:sz="4" w:space="0"/>
              <w:right w:val="single" w:color="000000" w:sz="4" w:space="0"/>
            </w:tcBorders>
          </w:tcPr>
          <w:p>
            <w:pPr>
              <w:pStyle w:val="260"/>
              <w:spacing w:before="90"/>
              <w:ind w:left="280" w:right="452"/>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氨氮（mg/L）</w:t>
            </w:r>
          </w:p>
        </w:tc>
        <w:tc>
          <w:tcPr>
            <w:tcW w:w="1244" w:type="pct"/>
            <w:tcBorders>
              <w:top w:val="single" w:color="000000" w:sz="4" w:space="0"/>
              <w:left w:val="nil"/>
              <w:bottom w:val="single" w:color="000000" w:sz="4" w:space="0"/>
              <w:right w:val="single" w:color="000000" w:sz="4" w:space="0"/>
            </w:tcBorders>
          </w:tcPr>
          <w:p>
            <w:pPr>
              <w:pStyle w:val="260"/>
              <w:spacing w:before="156"/>
              <w:ind w:right="101" w:rightChars="3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8.0~15</w:t>
            </w:r>
          </w:p>
        </w:tc>
        <w:tc>
          <w:tcPr>
            <w:tcW w:w="1150" w:type="pct"/>
            <w:tcBorders>
              <w:top w:val="single" w:color="000000" w:sz="4" w:space="0"/>
              <w:left w:val="nil"/>
              <w:bottom w:val="single" w:color="000000" w:sz="4" w:space="0"/>
              <w:right w:val="single" w:color="000000" w:sz="4" w:space="0"/>
            </w:tcBorders>
            <w:vAlign w:val="center"/>
          </w:tcPr>
          <w:p>
            <w:pPr>
              <w:pStyle w:val="260"/>
              <w:spacing w:before="156"/>
              <w:ind w:right="224" w:rightChars="8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&gt;15</w:t>
            </w:r>
          </w:p>
        </w:tc>
      </w:tr>
    </w:tbl>
    <w:p>
      <w:pPr>
        <w:ind w:left="111"/>
        <w:rPr>
          <w:rFonts w:eastAsiaTheme="minorEastAsia"/>
          <w:color w:val="auto"/>
          <w:highlight w:val="none"/>
        </w:rPr>
      </w:pPr>
      <w:r>
        <w:rPr>
          <w:rFonts w:eastAsiaTheme="minorEastAsia"/>
          <w:color w:val="auto"/>
          <w:highlight w:val="none"/>
        </w:rPr>
        <w:t>注：*   水深不足25 cm 时，该指标按水深的40%取值</w:t>
      </w:r>
    </w:p>
    <w:p>
      <w:pPr>
        <w:ind w:left="2664"/>
        <w:jc w:val="center"/>
        <w:rPr>
          <w:rFonts w:eastAsiaTheme="minorEastAsia"/>
          <w:color w:val="auto"/>
          <w:highlight w:val="none"/>
        </w:rPr>
      </w:pPr>
    </w:p>
    <w:p>
      <w:pPr>
        <w:pStyle w:val="259"/>
        <w:adjustRightInd w:val="0"/>
        <w:snapToGrid w:val="0"/>
        <w:spacing w:before="0" w:beforeAutospacing="0"/>
        <w:ind w:left="113" w:firstLine="0"/>
        <w:jc w:val="center"/>
        <w:rPr>
          <w:rFonts w:ascii="Times New Roman" w:hAnsi="Times New Roman" w:eastAsia="方正小标宋_GBK" w:cs="Times New Roman"/>
          <w:color w:val="auto"/>
          <w:sz w:val="24"/>
          <w:szCs w:val="24"/>
          <w:highlight w:val="none"/>
        </w:rPr>
      </w:pPr>
      <w:r>
        <w:rPr>
          <w:rFonts w:ascii="Times New Roman" w:hAnsi="Times New Roman" w:eastAsia="方正小标宋_GBK" w:cs="Times New Roman"/>
          <w:color w:val="auto"/>
          <w:sz w:val="24"/>
          <w:szCs w:val="24"/>
          <w:highlight w:val="none"/>
        </w:rPr>
        <w:t>表6 水质指标测定方法</w:t>
      </w:r>
    </w:p>
    <w:tbl>
      <w:tblPr>
        <w:tblStyle w:val="57"/>
        <w:tblW w:w="8322" w:type="dxa"/>
        <w:tblInd w:w="2" w:type="dxa"/>
        <w:tblLayout w:type="fixed"/>
        <w:tblCellMar>
          <w:top w:w="0" w:type="dxa"/>
          <w:left w:w="0" w:type="dxa"/>
          <w:bottom w:w="0" w:type="dxa"/>
          <w:right w:w="0" w:type="dxa"/>
        </w:tblCellMar>
      </w:tblPr>
      <w:tblGrid>
        <w:gridCol w:w="780"/>
        <w:gridCol w:w="1702"/>
        <w:gridCol w:w="3707"/>
        <w:gridCol w:w="2133"/>
      </w:tblGrid>
      <w:tr>
        <w:tblPrEx>
          <w:tblCellMar>
            <w:top w:w="0" w:type="dxa"/>
            <w:left w:w="0" w:type="dxa"/>
            <w:bottom w:w="0" w:type="dxa"/>
            <w:right w:w="0" w:type="dxa"/>
          </w:tblCellMar>
        </w:tblPrEx>
        <w:trPr>
          <w:trHeight w:val="518" w:hRule="atLeast"/>
        </w:trPr>
        <w:tc>
          <w:tcPr>
            <w:tcW w:w="780" w:type="dxa"/>
            <w:tcBorders>
              <w:top w:val="single" w:color="000000" w:sz="4" w:space="0"/>
              <w:left w:val="single" w:color="000000" w:sz="4" w:space="0"/>
              <w:bottom w:val="single" w:color="000000" w:sz="4" w:space="0"/>
              <w:right w:val="single" w:color="000000" w:sz="4" w:space="0"/>
            </w:tcBorders>
          </w:tcPr>
          <w:p>
            <w:pPr>
              <w:pStyle w:val="260"/>
              <w:spacing w:before="1"/>
              <w:ind w:right="273"/>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序号</w:t>
            </w:r>
          </w:p>
        </w:tc>
        <w:tc>
          <w:tcPr>
            <w:tcW w:w="1702" w:type="dxa"/>
            <w:tcBorders>
              <w:top w:val="single" w:color="000000" w:sz="4" w:space="0"/>
              <w:left w:val="nil"/>
              <w:bottom w:val="single" w:color="000000" w:sz="4" w:space="0"/>
              <w:right w:val="single" w:color="000000" w:sz="4" w:space="0"/>
            </w:tcBorders>
          </w:tcPr>
          <w:p>
            <w:pPr>
              <w:pStyle w:val="260"/>
              <w:spacing w:before="1"/>
              <w:ind w:right="29"/>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项目</w:t>
            </w:r>
          </w:p>
        </w:tc>
        <w:tc>
          <w:tcPr>
            <w:tcW w:w="3707" w:type="dxa"/>
            <w:tcBorders>
              <w:top w:val="single" w:color="000000" w:sz="4" w:space="0"/>
              <w:left w:val="nil"/>
              <w:bottom w:val="single" w:color="000000" w:sz="4" w:space="0"/>
              <w:right w:val="single" w:color="000000" w:sz="4" w:space="0"/>
            </w:tcBorders>
          </w:tcPr>
          <w:p>
            <w:pPr>
              <w:pStyle w:val="260"/>
              <w:spacing w:before="1"/>
              <w:ind w:right="56" w:rightChars="20"/>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测定方法</w:t>
            </w:r>
          </w:p>
        </w:tc>
        <w:tc>
          <w:tcPr>
            <w:tcW w:w="2133" w:type="dxa"/>
            <w:tcBorders>
              <w:top w:val="single" w:color="000000" w:sz="4" w:space="0"/>
              <w:left w:val="nil"/>
              <w:bottom w:val="single" w:color="000000" w:sz="4" w:space="0"/>
              <w:right w:val="single" w:color="000000" w:sz="4" w:space="0"/>
            </w:tcBorders>
          </w:tcPr>
          <w:p>
            <w:pPr>
              <w:pStyle w:val="260"/>
              <w:spacing w:before="1"/>
              <w:ind w:right="202"/>
              <w:jc w:val="center"/>
              <w:rPr>
                <w:rFonts w:ascii="Times New Roman" w:hAnsi="Times New Roman" w:cs="Times New Roman" w:eastAsiaTheme="minorEastAsia"/>
                <w:b/>
                <w:bCs/>
                <w:color w:val="auto"/>
                <w:sz w:val="24"/>
                <w:szCs w:val="28"/>
                <w:highlight w:val="none"/>
              </w:rPr>
            </w:pPr>
            <w:r>
              <w:rPr>
                <w:rFonts w:ascii="Times New Roman" w:hAnsi="Times New Roman" w:cs="Times New Roman" w:eastAsiaTheme="minorEastAsia"/>
                <w:b/>
                <w:bCs/>
                <w:color w:val="auto"/>
                <w:sz w:val="24"/>
                <w:szCs w:val="28"/>
                <w:highlight w:val="none"/>
              </w:rPr>
              <w:t>备注</w:t>
            </w:r>
          </w:p>
        </w:tc>
      </w:tr>
      <w:tr>
        <w:tblPrEx>
          <w:tblCellMar>
            <w:top w:w="0" w:type="dxa"/>
            <w:left w:w="0" w:type="dxa"/>
            <w:bottom w:w="0" w:type="dxa"/>
            <w:right w:w="0" w:type="dxa"/>
          </w:tblCellMar>
        </w:tblPrEx>
        <w:trPr>
          <w:trHeight w:val="522" w:hRule="atLeast"/>
        </w:trPr>
        <w:tc>
          <w:tcPr>
            <w:tcW w:w="780" w:type="dxa"/>
            <w:tcBorders>
              <w:top w:val="single" w:color="000000" w:sz="4" w:space="0"/>
              <w:left w:val="single" w:color="000000" w:sz="4" w:space="0"/>
              <w:bottom w:val="single" w:color="000000" w:sz="4" w:space="0"/>
              <w:right w:val="single" w:color="000000" w:sz="4" w:space="0"/>
            </w:tcBorders>
          </w:tcPr>
          <w:p>
            <w:pPr>
              <w:pStyle w:val="260"/>
              <w:spacing w:before="15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1</w:t>
            </w:r>
          </w:p>
        </w:tc>
        <w:tc>
          <w:tcPr>
            <w:tcW w:w="1702" w:type="dxa"/>
            <w:tcBorders>
              <w:top w:val="single" w:color="000000" w:sz="4" w:space="0"/>
              <w:left w:val="nil"/>
              <w:bottom w:val="single" w:color="000000" w:sz="4" w:space="0"/>
              <w:right w:val="single" w:color="000000" w:sz="4" w:space="0"/>
            </w:tcBorders>
          </w:tcPr>
          <w:p>
            <w:pPr>
              <w:pStyle w:val="260"/>
              <w:spacing w:before="90"/>
              <w:ind w:right="29"/>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透明度</w:t>
            </w:r>
          </w:p>
        </w:tc>
        <w:tc>
          <w:tcPr>
            <w:tcW w:w="3707" w:type="dxa"/>
            <w:tcBorders>
              <w:top w:val="single" w:color="000000" w:sz="4" w:space="0"/>
              <w:left w:val="nil"/>
              <w:bottom w:val="single" w:color="000000" w:sz="4" w:space="0"/>
              <w:right w:val="single" w:color="000000" w:sz="4" w:space="0"/>
            </w:tcBorders>
          </w:tcPr>
          <w:p>
            <w:pPr>
              <w:pStyle w:val="260"/>
              <w:spacing w:before="90"/>
              <w:ind w:right="56" w:rightChars="2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黑白盘法或铅字法</w:t>
            </w:r>
          </w:p>
        </w:tc>
        <w:tc>
          <w:tcPr>
            <w:tcW w:w="2133" w:type="dxa"/>
            <w:tcBorders>
              <w:top w:val="single" w:color="000000" w:sz="4" w:space="0"/>
              <w:left w:val="nil"/>
              <w:bottom w:val="single" w:color="000000" w:sz="4" w:space="0"/>
              <w:right w:val="single" w:color="000000" w:sz="4" w:space="0"/>
            </w:tcBorders>
          </w:tcPr>
          <w:p>
            <w:pPr>
              <w:pStyle w:val="260"/>
              <w:spacing w:before="90"/>
              <w:ind w:right="208"/>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现场原位测定</w:t>
            </w:r>
          </w:p>
        </w:tc>
      </w:tr>
      <w:tr>
        <w:tblPrEx>
          <w:tblCellMar>
            <w:top w:w="0" w:type="dxa"/>
            <w:left w:w="0" w:type="dxa"/>
            <w:bottom w:w="0" w:type="dxa"/>
            <w:right w:w="0" w:type="dxa"/>
          </w:tblCellMar>
        </w:tblPrEx>
        <w:trPr>
          <w:trHeight w:val="518" w:hRule="atLeast"/>
        </w:trPr>
        <w:tc>
          <w:tcPr>
            <w:tcW w:w="780" w:type="dxa"/>
            <w:tcBorders>
              <w:top w:val="single" w:color="000000" w:sz="4" w:space="0"/>
              <w:left w:val="single" w:color="000000" w:sz="4" w:space="0"/>
              <w:bottom w:val="single" w:color="000000" w:sz="4" w:space="0"/>
              <w:right w:val="single" w:color="000000" w:sz="4" w:space="0"/>
            </w:tcBorders>
          </w:tcPr>
          <w:p>
            <w:pPr>
              <w:pStyle w:val="260"/>
              <w:spacing w:before="15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2</w:t>
            </w:r>
          </w:p>
        </w:tc>
        <w:tc>
          <w:tcPr>
            <w:tcW w:w="1702" w:type="dxa"/>
            <w:tcBorders>
              <w:top w:val="single" w:color="000000" w:sz="4" w:space="0"/>
              <w:left w:val="nil"/>
              <w:bottom w:val="single" w:color="000000" w:sz="4" w:space="0"/>
              <w:right w:val="single" w:color="000000" w:sz="4" w:space="0"/>
            </w:tcBorders>
          </w:tcPr>
          <w:p>
            <w:pPr>
              <w:pStyle w:val="260"/>
              <w:spacing w:before="90"/>
              <w:ind w:right="29"/>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溶解氧</w:t>
            </w:r>
          </w:p>
        </w:tc>
        <w:tc>
          <w:tcPr>
            <w:tcW w:w="3707" w:type="dxa"/>
            <w:tcBorders>
              <w:top w:val="single" w:color="000000" w:sz="4" w:space="0"/>
              <w:left w:val="nil"/>
              <w:bottom w:val="single" w:color="000000" w:sz="4" w:space="0"/>
              <w:right w:val="single" w:color="000000" w:sz="4" w:space="0"/>
            </w:tcBorders>
          </w:tcPr>
          <w:p>
            <w:pPr>
              <w:pStyle w:val="260"/>
              <w:spacing w:before="90"/>
              <w:ind w:right="56" w:rightChars="2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电化学法</w:t>
            </w:r>
          </w:p>
        </w:tc>
        <w:tc>
          <w:tcPr>
            <w:tcW w:w="2133" w:type="dxa"/>
            <w:tcBorders>
              <w:top w:val="single" w:color="000000" w:sz="4" w:space="0"/>
              <w:left w:val="nil"/>
              <w:bottom w:val="single" w:color="000000" w:sz="4" w:space="0"/>
              <w:right w:val="single" w:color="000000" w:sz="4" w:space="0"/>
            </w:tcBorders>
          </w:tcPr>
          <w:p>
            <w:pPr>
              <w:pStyle w:val="260"/>
              <w:spacing w:before="90"/>
              <w:ind w:right="208"/>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现场原位测定</w:t>
            </w:r>
          </w:p>
        </w:tc>
      </w:tr>
      <w:tr>
        <w:tblPrEx>
          <w:tblCellMar>
            <w:top w:w="0" w:type="dxa"/>
            <w:left w:w="0" w:type="dxa"/>
            <w:bottom w:w="0" w:type="dxa"/>
            <w:right w:w="0" w:type="dxa"/>
          </w:tblCellMar>
        </w:tblPrEx>
        <w:trPr>
          <w:trHeight w:val="392" w:hRule="atLeast"/>
        </w:trPr>
        <w:tc>
          <w:tcPr>
            <w:tcW w:w="780" w:type="dxa"/>
            <w:tcBorders>
              <w:top w:val="single" w:color="000000" w:sz="4" w:space="0"/>
              <w:left w:val="single" w:color="000000" w:sz="4" w:space="0"/>
              <w:bottom w:val="single" w:color="000000" w:sz="4" w:space="0"/>
              <w:right w:val="single" w:color="000000" w:sz="4" w:space="0"/>
            </w:tcBorders>
          </w:tcPr>
          <w:p>
            <w:pPr>
              <w:pStyle w:val="260"/>
              <w:spacing w:before="15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3</w:t>
            </w:r>
          </w:p>
        </w:tc>
        <w:tc>
          <w:tcPr>
            <w:tcW w:w="1702" w:type="dxa"/>
            <w:tcBorders>
              <w:top w:val="single" w:color="000000" w:sz="4" w:space="0"/>
              <w:left w:val="nil"/>
              <w:bottom w:val="single" w:color="000000" w:sz="4" w:space="0"/>
              <w:right w:val="single" w:color="000000" w:sz="4" w:space="0"/>
            </w:tcBorders>
          </w:tcPr>
          <w:p>
            <w:pPr>
              <w:pStyle w:val="260"/>
              <w:spacing w:before="90"/>
              <w:ind w:right="29"/>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氧化还原电位</w:t>
            </w:r>
          </w:p>
        </w:tc>
        <w:tc>
          <w:tcPr>
            <w:tcW w:w="3707" w:type="dxa"/>
            <w:tcBorders>
              <w:top w:val="single" w:color="000000" w:sz="4" w:space="0"/>
              <w:left w:val="nil"/>
              <w:bottom w:val="single" w:color="000000" w:sz="4" w:space="0"/>
              <w:right w:val="single" w:color="000000" w:sz="4" w:space="0"/>
            </w:tcBorders>
          </w:tcPr>
          <w:p>
            <w:pPr>
              <w:pStyle w:val="260"/>
              <w:spacing w:before="90"/>
              <w:ind w:right="56" w:rightChars="2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电极法</w:t>
            </w:r>
          </w:p>
        </w:tc>
        <w:tc>
          <w:tcPr>
            <w:tcW w:w="2133" w:type="dxa"/>
            <w:tcBorders>
              <w:top w:val="single" w:color="000000" w:sz="4" w:space="0"/>
              <w:left w:val="nil"/>
              <w:bottom w:val="single" w:color="000000" w:sz="4" w:space="0"/>
              <w:right w:val="single" w:color="000000" w:sz="4" w:space="0"/>
            </w:tcBorders>
          </w:tcPr>
          <w:p>
            <w:pPr>
              <w:pStyle w:val="260"/>
              <w:spacing w:before="90"/>
              <w:ind w:right="208"/>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现场原位测定</w:t>
            </w:r>
          </w:p>
        </w:tc>
      </w:tr>
      <w:tr>
        <w:tblPrEx>
          <w:tblCellMar>
            <w:top w:w="0" w:type="dxa"/>
            <w:left w:w="0" w:type="dxa"/>
            <w:bottom w:w="0" w:type="dxa"/>
            <w:right w:w="0" w:type="dxa"/>
          </w:tblCellMar>
        </w:tblPrEx>
        <w:trPr>
          <w:trHeight w:val="731" w:hRule="atLeast"/>
        </w:trPr>
        <w:tc>
          <w:tcPr>
            <w:tcW w:w="780" w:type="dxa"/>
            <w:tcBorders>
              <w:top w:val="single" w:color="000000" w:sz="4" w:space="0"/>
              <w:left w:val="single" w:color="000000" w:sz="4" w:space="0"/>
              <w:bottom w:val="single" w:color="auto" w:sz="4" w:space="0"/>
              <w:right w:val="single" w:color="000000" w:sz="4" w:space="0"/>
            </w:tcBorders>
          </w:tcPr>
          <w:p>
            <w:pPr>
              <w:pStyle w:val="260"/>
              <w:spacing w:before="256"/>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4</w:t>
            </w:r>
          </w:p>
        </w:tc>
        <w:tc>
          <w:tcPr>
            <w:tcW w:w="1702" w:type="dxa"/>
            <w:tcBorders>
              <w:top w:val="single" w:color="000000" w:sz="4" w:space="0"/>
              <w:left w:val="nil"/>
              <w:bottom w:val="single" w:color="auto" w:sz="4" w:space="0"/>
              <w:right w:val="single" w:color="000000" w:sz="4" w:space="0"/>
            </w:tcBorders>
          </w:tcPr>
          <w:p>
            <w:pPr>
              <w:pStyle w:val="260"/>
              <w:spacing w:before="191"/>
              <w:ind w:right="29"/>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氨氮</w:t>
            </w:r>
          </w:p>
        </w:tc>
        <w:tc>
          <w:tcPr>
            <w:tcW w:w="3707" w:type="dxa"/>
            <w:tcBorders>
              <w:top w:val="single" w:color="000000" w:sz="4" w:space="0"/>
              <w:left w:val="nil"/>
              <w:bottom w:val="single" w:color="auto" w:sz="4" w:space="0"/>
              <w:right w:val="single" w:color="000000" w:sz="4" w:space="0"/>
            </w:tcBorders>
          </w:tcPr>
          <w:p>
            <w:pPr>
              <w:pStyle w:val="260"/>
              <w:spacing w:line="384" w:lineRule="exact"/>
              <w:ind w:right="56" w:rightChars="20"/>
              <w:jc w:val="center"/>
              <w:rPr>
                <w:rFonts w:ascii="Times New Roman" w:hAnsi="Times New Roman" w:cs="Times New Roman" w:eastAsiaTheme="minorEastAsia"/>
                <w:color w:val="auto"/>
                <w:sz w:val="24"/>
                <w:szCs w:val="28"/>
                <w:highlight w:val="none"/>
              </w:rPr>
            </w:pPr>
            <w:r>
              <w:rPr>
                <w:rFonts w:ascii="Times New Roman" w:hAnsi="Times New Roman" w:cs="Times New Roman" w:eastAsiaTheme="minorEastAsia"/>
                <w:color w:val="auto"/>
                <w:sz w:val="24"/>
                <w:szCs w:val="28"/>
                <w:highlight w:val="none"/>
              </w:rPr>
              <w:t>纳氏试剂光度法或</w:t>
            </w:r>
            <w:r>
              <w:rPr>
                <w:rFonts w:ascii="Times New Roman" w:hAnsi="Times New Roman" w:cs="Times New Roman" w:eastAsiaTheme="minorEastAsia"/>
                <w:color w:val="auto"/>
                <w:sz w:val="24"/>
                <w:highlight w:val="none"/>
              </w:rPr>
              <w:t>蒸馏-中和滴定法</w:t>
            </w:r>
          </w:p>
        </w:tc>
        <w:tc>
          <w:tcPr>
            <w:tcW w:w="2133" w:type="dxa"/>
            <w:tcBorders>
              <w:top w:val="single" w:color="000000" w:sz="4" w:space="0"/>
              <w:left w:val="nil"/>
              <w:bottom w:val="single" w:color="auto" w:sz="4" w:space="0"/>
              <w:right w:val="single" w:color="000000" w:sz="4" w:space="0"/>
            </w:tcBorders>
          </w:tcPr>
          <w:p>
            <w:pPr>
              <w:pStyle w:val="260"/>
              <w:spacing w:line="385" w:lineRule="exact"/>
              <w:ind w:right="208"/>
              <w:jc w:val="center"/>
              <w:rPr>
                <w:rFonts w:ascii="Times New Roman" w:hAnsi="Times New Roman" w:cs="Times New Roman" w:eastAsiaTheme="minorEastAsia"/>
                <w:color w:val="auto"/>
                <w:sz w:val="24"/>
                <w:szCs w:val="28"/>
                <w:highlight w:val="none"/>
              </w:rPr>
            </w:pPr>
          </w:p>
        </w:tc>
      </w:tr>
    </w:tbl>
    <w:p>
      <w:pPr>
        <w:spacing w:before="1" w:line="360" w:lineRule="auto"/>
        <w:ind w:left="113"/>
        <w:rPr>
          <w:color w:val="auto"/>
          <w:kern w:val="0"/>
          <w:sz w:val="24"/>
          <w:szCs w:val="24"/>
          <w:highlight w:val="none"/>
        </w:rPr>
      </w:pPr>
      <w:r>
        <w:rPr>
          <w:color w:val="auto"/>
          <w:kern w:val="0"/>
          <w:sz w:val="24"/>
          <w:szCs w:val="24"/>
          <w:highlight w:val="none"/>
        </w:rPr>
        <w:t>注：相关指标分析方法参见《水和废水监测分析方法（第四版）（增补版）》</w:t>
      </w:r>
    </w:p>
    <w:p>
      <w:pPr>
        <w:spacing w:before="1" w:line="360" w:lineRule="auto"/>
        <w:ind w:left="113"/>
        <w:rPr>
          <w:color w:val="auto"/>
          <w:kern w:val="0"/>
          <w:sz w:val="24"/>
          <w:szCs w:val="24"/>
          <w:highlight w:val="none"/>
        </w:rPr>
      </w:pPr>
      <w:r>
        <w:rPr>
          <w:color w:val="auto"/>
          <w:kern w:val="0"/>
          <w:sz w:val="24"/>
          <w:szCs w:val="24"/>
          <w:highlight w:val="none"/>
        </w:rPr>
        <w:t>2、湖库检测要求</w:t>
      </w:r>
    </w:p>
    <w:p>
      <w:pPr>
        <w:spacing w:before="1" w:line="360" w:lineRule="auto"/>
        <w:ind w:left="113"/>
        <w:rPr>
          <w:color w:val="auto"/>
          <w:kern w:val="0"/>
          <w:sz w:val="24"/>
          <w:szCs w:val="24"/>
          <w:highlight w:val="none"/>
        </w:rPr>
      </w:pPr>
      <w:bookmarkStart w:id="66" w:name="_Toc374039536"/>
      <w:bookmarkStart w:id="67" w:name="_Toc373923928"/>
      <w:bookmarkStart w:id="68" w:name="_Toc374039604"/>
      <w:bookmarkStart w:id="69" w:name="_Toc8456"/>
      <w:bookmarkStart w:id="70" w:name="_Toc373924255"/>
      <w:bookmarkStart w:id="71" w:name="_Toc373958638"/>
      <w:r>
        <w:rPr>
          <w:color w:val="auto"/>
          <w:kern w:val="0"/>
          <w:sz w:val="24"/>
          <w:szCs w:val="24"/>
          <w:highlight w:val="none"/>
        </w:rPr>
        <w:t>2.1检测</w:t>
      </w:r>
      <w:bookmarkEnd w:id="66"/>
      <w:bookmarkEnd w:id="67"/>
      <w:bookmarkEnd w:id="68"/>
      <w:bookmarkEnd w:id="69"/>
      <w:bookmarkEnd w:id="70"/>
      <w:bookmarkEnd w:id="71"/>
      <w:r>
        <w:rPr>
          <w:color w:val="auto"/>
          <w:kern w:val="0"/>
          <w:sz w:val="24"/>
          <w:szCs w:val="24"/>
          <w:highlight w:val="none"/>
        </w:rPr>
        <w:t>采样</w:t>
      </w:r>
    </w:p>
    <w:p>
      <w:pPr>
        <w:spacing w:before="1" w:line="360" w:lineRule="auto"/>
        <w:ind w:left="113" w:firstLine="240" w:firstLineChars="100"/>
        <w:rPr>
          <w:color w:val="auto"/>
          <w:kern w:val="0"/>
          <w:sz w:val="24"/>
          <w:szCs w:val="24"/>
          <w:highlight w:val="none"/>
        </w:rPr>
      </w:pPr>
      <w:r>
        <w:rPr>
          <w:color w:val="auto"/>
          <w:kern w:val="0"/>
          <w:sz w:val="24"/>
          <w:szCs w:val="24"/>
          <w:highlight w:val="none"/>
        </w:rPr>
        <w:t>根据《</w:t>
      </w:r>
      <w:r>
        <w:rPr>
          <w:color w:val="auto"/>
          <w:highlight w:val="none"/>
        </w:rPr>
        <w:fldChar w:fldCharType="begin"/>
      </w:r>
      <w:r>
        <w:rPr>
          <w:color w:val="auto"/>
          <w:highlight w:val="none"/>
        </w:rPr>
        <w:instrText xml:space="preserve"> HYPERLINK "http://www.spsp.gov.cn/DataCenter/Standard/PDFView.aspx?ca=E488tHXHTJk=" \t "_blank" \o "点击可在线浏览电子文本" </w:instrText>
      </w:r>
      <w:r>
        <w:rPr>
          <w:color w:val="auto"/>
          <w:highlight w:val="none"/>
        </w:rPr>
        <w:fldChar w:fldCharType="separate"/>
      </w:r>
      <w:r>
        <w:rPr>
          <w:color w:val="auto"/>
          <w:kern w:val="0"/>
          <w:sz w:val="24"/>
          <w:szCs w:val="24"/>
          <w:highlight w:val="none"/>
        </w:rPr>
        <w:t>地表水和污水监测技术规范</w:t>
      </w:r>
      <w:r>
        <w:rPr>
          <w:color w:val="auto"/>
          <w:kern w:val="0"/>
          <w:sz w:val="24"/>
          <w:szCs w:val="24"/>
          <w:highlight w:val="none"/>
        </w:rPr>
        <w:fldChar w:fldCharType="end"/>
      </w:r>
      <w:r>
        <w:rPr>
          <w:color w:val="auto"/>
          <w:kern w:val="0"/>
          <w:sz w:val="24"/>
          <w:szCs w:val="24"/>
          <w:highlight w:val="none"/>
        </w:rPr>
        <w:t>》（HJ/T 91-2002）开展现场水样采集工作。</w:t>
      </w:r>
    </w:p>
    <w:p>
      <w:pPr>
        <w:spacing w:before="1" w:line="360" w:lineRule="auto"/>
        <w:ind w:left="113"/>
        <w:rPr>
          <w:color w:val="auto"/>
          <w:kern w:val="0"/>
          <w:sz w:val="24"/>
          <w:szCs w:val="24"/>
          <w:highlight w:val="none"/>
        </w:rPr>
      </w:pPr>
      <w:bookmarkStart w:id="72" w:name="_Toc29358"/>
      <w:r>
        <w:rPr>
          <w:color w:val="auto"/>
          <w:kern w:val="0"/>
          <w:sz w:val="24"/>
          <w:szCs w:val="24"/>
          <w:highlight w:val="none"/>
        </w:rPr>
        <w:t>2.2检测指标确定</w:t>
      </w:r>
      <w:bookmarkEnd w:id="72"/>
    </w:p>
    <w:p>
      <w:pPr>
        <w:spacing w:before="1" w:line="360" w:lineRule="auto"/>
        <w:ind w:firstLine="480" w:firstLineChars="200"/>
        <w:rPr>
          <w:color w:val="auto"/>
          <w:kern w:val="0"/>
          <w:sz w:val="24"/>
          <w:szCs w:val="24"/>
          <w:highlight w:val="none"/>
        </w:rPr>
      </w:pPr>
      <w:r>
        <w:rPr>
          <w:rFonts w:hint="eastAsia"/>
          <w:color w:val="auto"/>
          <w:kern w:val="0"/>
          <w:sz w:val="24"/>
          <w:szCs w:val="24"/>
          <w:highlight w:val="none"/>
        </w:rPr>
        <w:t>检</w:t>
      </w:r>
      <w:r>
        <w:rPr>
          <w:color w:val="auto"/>
          <w:kern w:val="0"/>
          <w:sz w:val="24"/>
          <w:szCs w:val="24"/>
          <w:highlight w:val="none"/>
        </w:rPr>
        <w:t>测指标：水温、pH、溶解氧、</w:t>
      </w:r>
      <w:r>
        <w:rPr>
          <w:rFonts w:hint="eastAsia"/>
          <w:color w:val="auto"/>
          <w:kern w:val="0"/>
          <w:sz w:val="24"/>
          <w:szCs w:val="24"/>
          <w:highlight w:val="none"/>
        </w:rPr>
        <w:t>化学需氧量</w:t>
      </w:r>
      <w:r>
        <w:rPr>
          <w:color w:val="auto"/>
          <w:kern w:val="0"/>
          <w:sz w:val="24"/>
          <w:szCs w:val="24"/>
          <w:highlight w:val="none"/>
        </w:rPr>
        <w:t>、</w:t>
      </w:r>
      <w:r>
        <w:rPr>
          <w:rFonts w:hint="eastAsia"/>
          <w:color w:val="auto"/>
          <w:kern w:val="0"/>
          <w:sz w:val="24"/>
          <w:szCs w:val="24"/>
          <w:highlight w:val="none"/>
        </w:rPr>
        <w:t>氨氮</w:t>
      </w:r>
      <w:r>
        <w:rPr>
          <w:color w:val="auto"/>
          <w:kern w:val="0"/>
          <w:sz w:val="24"/>
          <w:szCs w:val="24"/>
          <w:highlight w:val="none"/>
        </w:rPr>
        <w:t>、</w:t>
      </w:r>
      <w:r>
        <w:rPr>
          <w:rFonts w:hint="eastAsia"/>
          <w:color w:val="auto"/>
          <w:kern w:val="0"/>
          <w:sz w:val="24"/>
          <w:szCs w:val="24"/>
          <w:highlight w:val="none"/>
        </w:rPr>
        <w:t>总氮</w:t>
      </w:r>
      <w:r>
        <w:rPr>
          <w:color w:val="auto"/>
          <w:kern w:val="0"/>
          <w:sz w:val="24"/>
          <w:szCs w:val="24"/>
          <w:highlight w:val="none"/>
        </w:rPr>
        <w:t>、</w:t>
      </w:r>
      <w:r>
        <w:rPr>
          <w:rFonts w:hint="eastAsia"/>
          <w:color w:val="auto"/>
          <w:kern w:val="0"/>
          <w:sz w:val="24"/>
          <w:szCs w:val="24"/>
          <w:highlight w:val="none"/>
        </w:rPr>
        <w:t>总磷</w:t>
      </w:r>
      <w:r>
        <w:rPr>
          <w:color w:val="auto"/>
          <w:kern w:val="0"/>
          <w:sz w:val="24"/>
          <w:szCs w:val="24"/>
          <w:highlight w:val="none"/>
        </w:rPr>
        <w:t>、氧化还原电位、透明度共9项，并按国家相关标准执行。根据《地表水环境质量标准(GB3838-2002)》对水质进行判定。</w:t>
      </w:r>
    </w:p>
    <w:p>
      <w:pPr>
        <w:spacing w:before="1" w:line="360" w:lineRule="auto"/>
        <w:ind w:left="113"/>
        <w:rPr>
          <w:color w:val="auto"/>
          <w:kern w:val="0"/>
          <w:sz w:val="24"/>
          <w:szCs w:val="24"/>
          <w:highlight w:val="none"/>
        </w:rPr>
      </w:pPr>
      <w:r>
        <w:rPr>
          <w:color w:val="auto"/>
          <w:kern w:val="0"/>
          <w:sz w:val="24"/>
          <w:szCs w:val="24"/>
          <w:highlight w:val="none"/>
        </w:rPr>
        <w:t>3、“清水绿岸”</w:t>
      </w:r>
      <w:r>
        <w:rPr>
          <w:rFonts w:hint="eastAsia"/>
          <w:color w:val="auto"/>
          <w:sz w:val="24"/>
          <w:szCs w:val="24"/>
          <w:highlight w:val="none"/>
        </w:rPr>
        <w:t>检测</w:t>
      </w:r>
      <w:r>
        <w:rPr>
          <w:color w:val="auto"/>
          <w:kern w:val="0"/>
          <w:sz w:val="24"/>
          <w:szCs w:val="24"/>
          <w:highlight w:val="none"/>
        </w:rPr>
        <w:t>要求</w:t>
      </w:r>
    </w:p>
    <w:p>
      <w:pPr>
        <w:spacing w:before="1" w:line="360" w:lineRule="auto"/>
        <w:ind w:left="113"/>
        <w:rPr>
          <w:color w:val="auto"/>
          <w:kern w:val="0"/>
          <w:sz w:val="24"/>
          <w:szCs w:val="24"/>
          <w:highlight w:val="none"/>
        </w:rPr>
      </w:pPr>
      <w:r>
        <w:rPr>
          <w:color w:val="auto"/>
          <w:kern w:val="0"/>
          <w:sz w:val="24"/>
          <w:szCs w:val="24"/>
          <w:highlight w:val="none"/>
        </w:rPr>
        <w:t>3.1</w:t>
      </w:r>
      <w:r>
        <w:rPr>
          <w:rFonts w:hint="eastAsia"/>
          <w:color w:val="auto"/>
          <w:sz w:val="24"/>
          <w:szCs w:val="24"/>
          <w:highlight w:val="none"/>
        </w:rPr>
        <w:t>检测</w:t>
      </w:r>
      <w:r>
        <w:rPr>
          <w:color w:val="auto"/>
          <w:kern w:val="0"/>
          <w:sz w:val="24"/>
          <w:szCs w:val="24"/>
          <w:highlight w:val="none"/>
        </w:rPr>
        <w:t>采样</w:t>
      </w:r>
    </w:p>
    <w:p>
      <w:pPr>
        <w:spacing w:before="1" w:line="360" w:lineRule="auto"/>
        <w:ind w:left="113" w:firstLine="570"/>
        <w:rPr>
          <w:color w:val="auto"/>
          <w:kern w:val="0"/>
          <w:sz w:val="24"/>
          <w:szCs w:val="24"/>
          <w:highlight w:val="none"/>
        </w:rPr>
      </w:pPr>
      <w:r>
        <w:rPr>
          <w:color w:val="auto"/>
          <w:kern w:val="0"/>
          <w:sz w:val="24"/>
          <w:szCs w:val="24"/>
          <w:highlight w:val="none"/>
        </w:rPr>
        <w:t>水体采样采用聚乙烯塑料桶、单层采水瓶、直立式采水器或自动采样器，采集瞬时水样。采集水样数量应满足《地表水和污水监测技术规范》HJ/T91-2002要求，并按照各水质指标保存要求及时加入相应的保存剂，同时填写现场采样记录。</w:t>
      </w:r>
    </w:p>
    <w:p>
      <w:pPr>
        <w:spacing w:before="1" w:line="360" w:lineRule="auto"/>
        <w:ind w:left="113"/>
        <w:rPr>
          <w:color w:val="auto"/>
          <w:kern w:val="0"/>
          <w:sz w:val="24"/>
          <w:szCs w:val="24"/>
          <w:highlight w:val="none"/>
        </w:rPr>
      </w:pPr>
      <w:r>
        <w:rPr>
          <w:color w:val="auto"/>
          <w:kern w:val="0"/>
          <w:sz w:val="24"/>
          <w:szCs w:val="24"/>
          <w:highlight w:val="none"/>
        </w:rPr>
        <w:t>3.2</w:t>
      </w:r>
      <w:r>
        <w:rPr>
          <w:rFonts w:hint="eastAsia"/>
          <w:color w:val="auto"/>
          <w:kern w:val="0"/>
          <w:sz w:val="24"/>
          <w:szCs w:val="24"/>
          <w:highlight w:val="none"/>
        </w:rPr>
        <w:t>检</w:t>
      </w:r>
      <w:r>
        <w:rPr>
          <w:color w:val="auto"/>
          <w:kern w:val="0"/>
          <w:sz w:val="24"/>
          <w:szCs w:val="24"/>
          <w:highlight w:val="none"/>
        </w:rPr>
        <w:t>测指标</w:t>
      </w:r>
    </w:p>
    <w:p>
      <w:pPr>
        <w:spacing w:before="1" w:line="360" w:lineRule="auto"/>
        <w:ind w:left="113" w:firstLine="570"/>
        <w:rPr>
          <w:color w:val="auto"/>
          <w:kern w:val="0"/>
          <w:sz w:val="24"/>
          <w:szCs w:val="24"/>
          <w:highlight w:val="none"/>
        </w:rPr>
      </w:pPr>
      <w:r>
        <w:rPr>
          <w:color w:val="auto"/>
          <w:kern w:val="0"/>
          <w:sz w:val="24"/>
          <w:szCs w:val="24"/>
          <w:highlight w:val="none"/>
        </w:rPr>
        <w:t>清水绿岸</w:t>
      </w:r>
      <w:r>
        <w:rPr>
          <w:rFonts w:hint="eastAsia"/>
          <w:color w:val="auto"/>
          <w:kern w:val="0"/>
          <w:sz w:val="24"/>
          <w:szCs w:val="24"/>
          <w:highlight w:val="none"/>
        </w:rPr>
        <w:t>检</w:t>
      </w:r>
      <w:r>
        <w:rPr>
          <w:color w:val="auto"/>
          <w:kern w:val="0"/>
          <w:sz w:val="24"/>
          <w:szCs w:val="24"/>
          <w:highlight w:val="none"/>
        </w:rPr>
        <w:t>测指标应涵盖《地表水环境质量标准（GB3838-2002）》、《地表水环境质量评价办法》（环办[2011]22号文附件）中用于评价地表水环境质量的水质指标。至少包括：pH、溶解氧、高锰酸盐指数、</w:t>
      </w:r>
      <w:r>
        <w:rPr>
          <w:rFonts w:hint="eastAsia"/>
          <w:color w:val="auto"/>
          <w:kern w:val="0"/>
          <w:sz w:val="24"/>
          <w:szCs w:val="24"/>
          <w:highlight w:val="none"/>
        </w:rPr>
        <w:t>化学需氧量、五日生化需氧量</w:t>
      </w:r>
      <w:r>
        <w:rPr>
          <w:color w:val="auto"/>
          <w:kern w:val="0"/>
          <w:sz w:val="24"/>
          <w:szCs w:val="24"/>
          <w:highlight w:val="none"/>
        </w:rPr>
        <w:t>、氨氮、总磷、铜、锌、氟化物、硒、砷、汞、镉、铬（六价）、铅、氰化物、挥发酚、石油类、阴离子表面活性剂、硫化物。</w:t>
      </w:r>
    </w:p>
    <w:p>
      <w:pPr>
        <w:spacing w:before="1" w:line="360" w:lineRule="auto"/>
        <w:rPr>
          <w:color w:val="auto"/>
          <w:kern w:val="0"/>
          <w:sz w:val="24"/>
          <w:szCs w:val="24"/>
          <w:highlight w:val="none"/>
        </w:rPr>
      </w:pPr>
      <w:r>
        <w:rPr>
          <w:color w:val="auto"/>
          <w:kern w:val="0"/>
          <w:sz w:val="24"/>
          <w:szCs w:val="24"/>
          <w:highlight w:val="none"/>
        </w:rPr>
        <w:t>4、检测</w:t>
      </w:r>
      <w:r>
        <w:rPr>
          <w:rFonts w:hint="eastAsia"/>
          <w:color w:val="auto"/>
          <w:sz w:val="24"/>
          <w:szCs w:val="24"/>
          <w:highlight w:val="none"/>
        </w:rPr>
        <w:t>报告及分析报告</w:t>
      </w:r>
    </w:p>
    <w:p>
      <w:pPr>
        <w:spacing w:line="360" w:lineRule="auto"/>
        <w:ind w:firstLine="480" w:firstLineChars="200"/>
        <w:jc w:val="left"/>
        <w:rPr>
          <w:color w:val="auto"/>
          <w:sz w:val="24"/>
          <w:szCs w:val="24"/>
          <w:highlight w:val="none"/>
        </w:rPr>
      </w:pPr>
      <w:r>
        <w:rPr>
          <w:rFonts w:hint="eastAsia"/>
          <w:color w:val="auto"/>
          <w:sz w:val="24"/>
          <w:szCs w:val="24"/>
          <w:highlight w:val="none"/>
        </w:rPr>
        <w:t>完成当轮检测后检测机构应在完成检测5日内向业主方提供编撰完成的检测报告。开展工作后每半年向业主方提供半年水质检测数据分析报告，</w:t>
      </w:r>
      <w:r>
        <w:rPr>
          <w:color w:val="auto"/>
          <w:sz w:val="24"/>
          <w:szCs w:val="24"/>
          <w:highlight w:val="none"/>
        </w:rPr>
        <w:t>年底向业主方提供</w:t>
      </w:r>
      <w:r>
        <w:rPr>
          <w:rFonts w:hint="eastAsia"/>
          <w:color w:val="auto"/>
          <w:sz w:val="24"/>
          <w:szCs w:val="24"/>
          <w:highlight w:val="none"/>
        </w:rPr>
        <w:t>全年水质检测数据分析</w:t>
      </w:r>
      <w:r>
        <w:rPr>
          <w:color w:val="auto"/>
          <w:sz w:val="24"/>
          <w:szCs w:val="24"/>
          <w:highlight w:val="none"/>
        </w:rPr>
        <w:t>报告。</w:t>
      </w:r>
    </w:p>
    <w:p>
      <w:pPr>
        <w:pStyle w:val="3"/>
        <w:spacing w:beforeLines="0" w:afterLines="0" w:line="360" w:lineRule="auto"/>
        <w:rPr>
          <w:color w:val="auto"/>
          <w:highlight w:val="none"/>
        </w:rPr>
      </w:pPr>
      <w:bookmarkStart w:id="73" w:name="_Toc19713"/>
      <w:bookmarkStart w:id="74" w:name="_Toc530573502"/>
      <w:bookmarkStart w:id="75" w:name="_Toc22278"/>
    </w:p>
    <w:p>
      <w:pPr>
        <w:pStyle w:val="3"/>
        <w:spacing w:beforeLines="0" w:afterLines="0" w:line="360" w:lineRule="auto"/>
        <w:rPr>
          <w:color w:val="auto"/>
          <w:highlight w:val="none"/>
        </w:rPr>
      </w:pPr>
      <w:r>
        <w:rPr>
          <w:color w:val="auto"/>
          <w:highlight w:val="none"/>
        </w:rPr>
        <w:t>第三篇项目商务要求</w:t>
      </w:r>
      <w:bookmarkEnd w:id="73"/>
      <w:bookmarkEnd w:id="74"/>
      <w:bookmarkEnd w:id="75"/>
      <w:bookmarkStart w:id="76" w:name="_Toc267320049"/>
    </w:p>
    <w:bookmarkEnd w:id="76"/>
    <w:p>
      <w:pPr>
        <w:pStyle w:val="4"/>
        <w:ind w:firstLine="562" w:firstLineChars="200"/>
        <w:rPr>
          <w:rFonts w:ascii="Times New Roman"/>
          <w:b/>
          <w:bCs/>
          <w:color w:val="auto"/>
          <w:highlight w:val="none"/>
        </w:rPr>
      </w:pPr>
      <w:bookmarkStart w:id="77" w:name="_Toc12902"/>
      <w:bookmarkStart w:id="78" w:name="_Toc530573503"/>
      <w:bookmarkStart w:id="79" w:name="_Toc29875"/>
      <w:bookmarkStart w:id="80" w:name="_Toc9681"/>
      <w:r>
        <w:rPr>
          <w:rFonts w:ascii="Times New Roman"/>
          <w:b/>
          <w:bCs/>
          <w:color w:val="auto"/>
          <w:highlight w:val="none"/>
        </w:rPr>
        <w:t>一、实施时间、实施地点及验收方式</w:t>
      </w:r>
      <w:bookmarkEnd w:id="77"/>
      <w:bookmarkEnd w:id="78"/>
      <w:bookmarkEnd w:id="79"/>
      <w:bookmarkEnd w:id="80"/>
    </w:p>
    <w:p>
      <w:pPr>
        <w:snapToGrid w:val="0"/>
        <w:spacing w:line="360" w:lineRule="auto"/>
        <w:ind w:firstLine="480" w:firstLineChars="200"/>
        <w:rPr>
          <w:color w:val="auto"/>
          <w:kern w:val="0"/>
          <w:sz w:val="24"/>
          <w:szCs w:val="24"/>
          <w:highlight w:val="none"/>
        </w:rPr>
      </w:pPr>
      <w:r>
        <w:rPr>
          <w:color w:val="auto"/>
          <w:kern w:val="0"/>
          <w:sz w:val="24"/>
          <w:szCs w:val="24"/>
          <w:highlight w:val="none"/>
        </w:rPr>
        <w:t>（一）实施时间</w:t>
      </w:r>
    </w:p>
    <w:p>
      <w:pPr>
        <w:snapToGrid w:val="0"/>
        <w:spacing w:line="360" w:lineRule="auto"/>
        <w:ind w:firstLine="480" w:firstLineChars="200"/>
        <w:rPr>
          <w:color w:val="auto"/>
          <w:kern w:val="0"/>
          <w:sz w:val="24"/>
          <w:szCs w:val="24"/>
          <w:highlight w:val="none"/>
        </w:rPr>
      </w:pPr>
      <w:r>
        <w:rPr>
          <w:color w:val="auto"/>
          <w:kern w:val="0"/>
          <w:sz w:val="24"/>
          <w:szCs w:val="24"/>
          <w:highlight w:val="none"/>
        </w:rPr>
        <w:t>中标人应在202</w:t>
      </w:r>
      <w:r>
        <w:rPr>
          <w:rFonts w:hint="eastAsia"/>
          <w:color w:val="auto"/>
          <w:kern w:val="0"/>
          <w:sz w:val="24"/>
          <w:szCs w:val="24"/>
          <w:highlight w:val="none"/>
        </w:rPr>
        <w:t>1</w:t>
      </w:r>
      <w:r>
        <w:rPr>
          <w:color w:val="auto"/>
          <w:kern w:val="0"/>
          <w:sz w:val="24"/>
          <w:szCs w:val="24"/>
          <w:highlight w:val="none"/>
        </w:rPr>
        <w:t>年12月30日前完成</w:t>
      </w:r>
      <w:r>
        <w:rPr>
          <w:rFonts w:eastAsia="方正仿宋_GBK"/>
          <w:color w:val="auto"/>
          <w:sz w:val="24"/>
          <w:highlight w:val="none"/>
        </w:rPr>
        <w:t>。</w:t>
      </w:r>
    </w:p>
    <w:p>
      <w:pPr>
        <w:snapToGrid w:val="0"/>
        <w:spacing w:line="360" w:lineRule="auto"/>
        <w:ind w:firstLine="480" w:firstLineChars="200"/>
        <w:rPr>
          <w:color w:val="auto"/>
          <w:kern w:val="0"/>
          <w:sz w:val="24"/>
          <w:szCs w:val="24"/>
          <w:highlight w:val="none"/>
        </w:rPr>
      </w:pPr>
      <w:r>
        <w:rPr>
          <w:color w:val="auto"/>
          <w:kern w:val="0"/>
          <w:sz w:val="24"/>
          <w:szCs w:val="24"/>
          <w:highlight w:val="none"/>
        </w:rPr>
        <w:t>（二）实施地点</w:t>
      </w:r>
    </w:p>
    <w:p>
      <w:pPr>
        <w:snapToGrid w:val="0"/>
        <w:spacing w:line="360" w:lineRule="auto"/>
        <w:ind w:firstLine="480" w:firstLineChars="200"/>
        <w:rPr>
          <w:color w:val="auto"/>
          <w:kern w:val="0"/>
          <w:sz w:val="24"/>
          <w:szCs w:val="24"/>
          <w:highlight w:val="none"/>
        </w:rPr>
      </w:pPr>
      <w:r>
        <w:rPr>
          <w:color w:val="auto"/>
          <w:kern w:val="0"/>
          <w:sz w:val="24"/>
          <w:szCs w:val="24"/>
          <w:highlight w:val="none"/>
        </w:rPr>
        <w:t>重庆市城市管线综合管理事务中心指定地点</w:t>
      </w:r>
      <w:r>
        <w:rPr>
          <w:rFonts w:eastAsia="方正仿宋_GBK"/>
          <w:color w:val="auto"/>
          <w:sz w:val="24"/>
          <w:highlight w:val="none"/>
        </w:rPr>
        <w:t>。</w:t>
      </w:r>
    </w:p>
    <w:p>
      <w:pPr>
        <w:snapToGrid w:val="0"/>
        <w:spacing w:line="360" w:lineRule="auto"/>
        <w:ind w:firstLine="480" w:firstLineChars="200"/>
        <w:rPr>
          <w:color w:val="auto"/>
          <w:kern w:val="0"/>
          <w:sz w:val="24"/>
          <w:szCs w:val="24"/>
          <w:highlight w:val="none"/>
        </w:rPr>
      </w:pPr>
      <w:r>
        <w:rPr>
          <w:color w:val="auto"/>
          <w:kern w:val="0"/>
          <w:sz w:val="24"/>
          <w:szCs w:val="24"/>
          <w:highlight w:val="none"/>
        </w:rPr>
        <w:t>（三）验收方式</w:t>
      </w:r>
    </w:p>
    <w:p>
      <w:pPr>
        <w:snapToGrid w:val="0"/>
        <w:spacing w:line="360" w:lineRule="auto"/>
        <w:ind w:firstLine="480" w:firstLineChars="200"/>
        <w:rPr>
          <w:color w:val="auto"/>
          <w:kern w:val="0"/>
          <w:sz w:val="24"/>
          <w:szCs w:val="24"/>
          <w:highlight w:val="none"/>
        </w:rPr>
      </w:pPr>
      <w:r>
        <w:rPr>
          <w:color w:val="auto"/>
          <w:kern w:val="0"/>
          <w:sz w:val="24"/>
          <w:szCs w:val="24"/>
          <w:highlight w:val="none"/>
        </w:rPr>
        <w:t>满足《城市黑臭水体整治工作指南》、《地表水环境质量标准》（GB3838-2002）、《水和废水检测分析方法（第四版）增补版》等相关国家及地方现行规范、标准的要求。</w:t>
      </w:r>
    </w:p>
    <w:p>
      <w:pPr>
        <w:pStyle w:val="4"/>
        <w:ind w:firstLine="562" w:firstLineChars="200"/>
        <w:rPr>
          <w:rFonts w:ascii="Times New Roman"/>
          <w:b/>
          <w:bCs/>
          <w:color w:val="auto"/>
          <w:highlight w:val="none"/>
        </w:rPr>
      </w:pPr>
      <w:bookmarkStart w:id="81" w:name="_Toc530573504"/>
      <w:bookmarkStart w:id="82" w:name="_Toc14364"/>
      <w:bookmarkStart w:id="83" w:name="_Toc10051"/>
      <w:bookmarkStart w:id="84" w:name="_Toc2750"/>
      <w:r>
        <w:rPr>
          <w:rFonts w:ascii="Times New Roman"/>
          <w:b/>
          <w:bCs/>
          <w:color w:val="auto"/>
          <w:highlight w:val="none"/>
        </w:rPr>
        <w:t>二、报价要求</w:t>
      </w:r>
      <w:bookmarkEnd w:id="81"/>
      <w:bookmarkEnd w:id="82"/>
      <w:bookmarkEnd w:id="83"/>
      <w:bookmarkEnd w:id="84"/>
    </w:p>
    <w:p>
      <w:pPr>
        <w:snapToGrid w:val="0"/>
        <w:spacing w:line="360" w:lineRule="auto"/>
        <w:ind w:firstLine="480" w:firstLineChars="200"/>
        <w:rPr>
          <w:color w:val="auto"/>
          <w:kern w:val="0"/>
          <w:sz w:val="24"/>
          <w:szCs w:val="24"/>
          <w:highlight w:val="none"/>
        </w:rPr>
      </w:pPr>
      <w:r>
        <w:rPr>
          <w:color w:val="auto"/>
          <w:kern w:val="0"/>
          <w:sz w:val="24"/>
          <w:szCs w:val="24"/>
          <w:highlight w:val="none"/>
        </w:rPr>
        <w:t>本次报价为人民币报价，包括检测费用、员工工资、管理费、各种社会保险、安全保险、加班费、补贴、福利劳保、住宿、税金等所有相关费用。</w:t>
      </w:r>
    </w:p>
    <w:p>
      <w:pPr>
        <w:pStyle w:val="4"/>
        <w:ind w:firstLine="562" w:firstLineChars="200"/>
        <w:rPr>
          <w:rFonts w:ascii="Times New Roman"/>
          <w:b/>
          <w:bCs/>
          <w:color w:val="auto"/>
          <w:kern w:val="0"/>
          <w:highlight w:val="none"/>
        </w:rPr>
      </w:pPr>
      <w:bookmarkStart w:id="85" w:name="_Toc530573505"/>
      <w:bookmarkStart w:id="86" w:name="_Toc22288"/>
      <w:bookmarkStart w:id="87" w:name="_Toc32522"/>
      <w:bookmarkStart w:id="88" w:name="_Toc6904"/>
      <w:r>
        <w:rPr>
          <w:rFonts w:ascii="Times New Roman"/>
          <w:b/>
          <w:bCs/>
          <w:color w:val="auto"/>
          <w:highlight w:val="none"/>
        </w:rPr>
        <w:t>三、付款方式</w:t>
      </w:r>
      <w:bookmarkEnd w:id="85"/>
      <w:bookmarkEnd w:id="86"/>
      <w:bookmarkEnd w:id="87"/>
      <w:bookmarkEnd w:id="88"/>
    </w:p>
    <w:p>
      <w:pPr>
        <w:pStyle w:val="4"/>
        <w:ind w:firstLine="480" w:firstLineChars="200"/>
        <w:rPr>
          <w:color w:val="auto"/>
          <w:highlight w:val="none"/>
        </w:rPr>
      </w:pPr>
      <w:bookmarkStart w:id="89" w:name="_Toc4417"/>
      <w:bookmarkStart w:id="90" w:name="_Toc31350"/>
      <w:bookmarkStart w:id="91" w:name="_Toc21627"/>
      <w:bookmarkStart w:id="92" w:name="_Toc25570"/>
      <w:bookmarkStart w:id="93" w:name="_Toc13113"/>
      <w:bookmarkStart w:id="94" w:name="_Toc530573506"/>
      <w:r>
        <w:rPr>
          <w:rFonts w:ascii="Times New Roman"/>
          <w:color w:val="auto"/>
          <w:kern w:val="0"/>
          <w:sz w:val="24"/>
          <w:szCs w:val="24"/>
          <w:highlight w:val="none"/>
        </w:rPr>
        <w:t>签订合同后30天内预付合同价的16%，完成前三轮水质监测30天内，采购人凭本项目合同向中标人支付合同价的8%，之后完成每轮水质监测30天内，采购人凭本项目合同向中标人支付合同价的8%，在最后1轮水质监测工作结束，相关资料齐备、签章齐全后支付剩余全部金额</w:t>
      </w:r>
      <w:r>
        <w:rPr>
          <w:color w:val="auto"/>
          <w:highlight w:val="none"/>
        </w:rPr>
        <w:t>。</w:t>
      </w:r>
      <w:bookmarkEnd w:id="89"/>
      <w:bookmarkEnd w:id="90"/>
      <w:bookmarkEnd w:id="91"/>
    </w:p>
    <w:p>
      <w:pPr>
        <w:pStyle w:val="4"/>
        <w:ind w:firstLine="562" w:firstLineChars="200"/>
        <w:rPr>
          <w:rFonts w:ascii="Times New Roman"/>
          <w:b/>
          <w:bCs/>
          <w:color w:val="auto"/>
          <w:highlight w:val="none"/>
        </w:rPr>
      </w:pPr>
      <w:bookmarkStart w:id="95" w:name="_Toc13267"/>
      <w:r>
        <w:rPr>
          <w:rFonts w:ascii="Times New Roman"/>
          <w:b/>
          <w:bCs/>
          <w:color w:val="auto"/>
          <w:highlight w:val="none"/>
        </w:rPr>
        <w:t>四、知识产权</w:t>
      </w:r>
      <w:bookmarkEnd w:id="92"/>
      <w:bookmarkEnd w:id="93"/>
      <w:bookmarkEnd w:id="94"/>
      <w:bookmarkEnd w:id="95"/>
    </w:p>
    <w:p>
      <w:pPr>
        <w:snapToGrid w:val="0"/>
        <w:spacing w:line="360" w:lineRule="auto"/>
        <w:ind w:firstLine="480" w:firstLineChars="200"/>
        <w:rPr>
          <w:color w:val="auto"/>
          <w:kern w:val="0"/>
          <w:sz w:val="24"/>
          <w:szCs w:val="24"/>
          <w:highlight w:val="none"/>
        </w:rPr>
      </w:pPr>
      <w:r>
        <w:rPr>
          <w:color w:val="auto"/>
          <w:kern w:val="0"/>
          <w:sz w:val="24"/>
          <w:szCs w:val="24"/>
          <w:highlight w:val="none"/>
        </w:rPr>
        <w:t>采购人在中华人民共和国境内使用投标人提供的服务及服务时免受第三方提出的侵犯其专利权或其它知识产权的起诉。如果第三方提出侵权指控，中标人应承担由此而引起的一切法律责任和费用。</w:t>
      </w:r>
    </w:p>
    <w:p>
      <w:pPr>
        <w:pStyle w:val="4"/>
        <w:ind w:firstLine="562" w:firstLineChars="200"/>
        <w:rPr>
          <w:rFonts w:ascii="Times New Roman"/>
          <w:b/>
          <w:bCs/>
          <w:color w:val="auto"/>
          <w:highlight w:val="none"/>
        </w:rPr>
      </w:pPr>
      <w:bookmarkStart w:id="96" w:name="_Toc530573507"/>
      <w:bookmarkStart w:id="97" w:name="_Toc2099"/>
      <w:bookmarkStart w:id="98" w:name="_Toc20655"/>
      <w:bookmarkStart w:id="99" w:name="_Toc21209"/>
      <w:r>
        <w:rPr>
          <w:rFonts w:ascii="Times New Roman"/>
          <w:b/>
          <w:bCs/>
          <w:color w:val="auto"/>
          <w:highlight w:val="none"/>
        </w:rPr>
        <w:t>五、其他</w:t>
      </w:r>
      <w:bookmarkEnd w:id="96"/>
      <w:bookmarkEnd w:id="97"/>
      <w:bookmarkEnd w:id="98"/>
      <w:bookmarkEnd w:id="99"/>
    </w:p>
    <w:p>
      <w:pPr>
        <w:snapToGrid w:val="0"/>
        <w:spacing w:line="360" w:lineRule="auto"/>
        <w:ind w:firstLine="480" w:firstLineChars="200"/>
        <w:rPr>
          <w:color w:val="auto"/>
          <w:kern w:val="0"/>
          <w:sz w:val="24"/>
          <w:szCs w:val="24"/>
          <w:highlight w:val="none"/>
        </w:rPr>
      </w:pPr>
      <w:r>
        <w:rPr>
          <w:color w:val="auto"/>
          <w:kern w:val="0"/>
          <w:sz w:val="24"/>
          <w:szCs w:val="24"/>
          <w:highlight w:val="none"/>
        </w:rPr>
        <w:t>（一）投标人必须在投标文件中对以上条款和服务承诺明确列出，承诺内容必须达到本篇及招标文件其他条款的要求。</w:t>
      </w:r>
    </w:p>
    <w:p>
      <w:pPr>
        <w:snapToGrid w:val="0"/>
        <w:spacing w:line="360" w:lineRule="auto"/>
        <w:ind w:firstLine="480" w:firstLineChars="200"/>
        <w:rPr>
          <w:color w:val="auto"/>
          <w:kern w:val="0"/>
          <w:sz w:val="24"/>
          <w:szCs w:val="24"/>
          <w:highlight w:val="none"/>
        </w:rPr>
      </w:pPr>
      <w:r>
        <w:rPr>
          <w:color w:val="auto"/>
          <w:kern w:val="0"/>
          <w:sz w:val="24"/>
          <w:szCs w:val="24"/>
          <w:highlight w:val="none"/>
        </w:rPr>
        <w:t>（二）其他未尽事宜由供需双方在采购合同中详细约定。</w:t>
      </w:r>
    </w:p>
    <w:p>
      <w:pPr>
        <w:snapToGrid w:val="0"/>
        <w:spacing w:line="360" w:lineRule="auto"/>
        <w:ind w:firstLine="480" w:firstLineChars="200"/>
        <w:rPr>
          <w:color w:val="auto"/>
          <w:kern w:val="0"/>
          <w:sz w:val="24"/>
          <w:szCs w:val="24"/>
          <w:highlight w:val="none"/>
        </w:rPr>
      </w:pPr>
    </w:p>
    <w:p>
      <w:pPr>
        <w:pStyle w:val="3"/>
        <w:spacing w:beforeLines="0" w:afterLines="0" w:line="360" w:lineRule="auto"/>
        <w:rPr>
          <w:color w:val="auto"/>
          <w:highlight w:val="none"/>
        </w:rPr>
      </w:pPr>
      <w:bookmarkStart w:id="100" w:name="_Toc530573508"/>
      <w:bookmarkStart w:id="101" w:name="_Toc22700"/>
      <w:bookmarkStart w:id="102" w:name="_Toc23690"/>
      <w:r>
        <w:rPr>
          <w:color w:val="auto"/>
          <w:highlight w:val="none"/>
        </w:rPr>
        <w:t>第四篇</w:t>
      </w:r>
      <w:bookmarkEnd w:id="100"/>
      <w:bookmarkEnd w:id="101"/>
      <w:r>
        <w:rPr>
          <w:rFonts w:hint="eastAsia"/>
          <w:color w:val="auto"/>
          <w:highlight w:val="none"/>
        </w:rPr>
        <w:t>资格审查及评标办法</w:t>
      </w:r>
      <w:bookmarkEnd w:id="102"/>
    </w:p>
    <w:p>
      <w:pPr>
        <w:pStyle w:val="4"/>
        <w:spacing w:line="400" w:lineRule="exact"/>
        <w:ind w:firstLine="482" w:firstLineChars="200"/>
        <w:rPr>
          <w:rFonts w:cs="宋体"/>
          <w:b/>
          <w:color w:val="auto"/>
          <w:sz w:val="24"/>
          <w:szCs w:val="24"/>
          <w:highlight w:val="none"/>
        </w:rPr>
      </w:pPr>
      <w:bookmarkStart w:id="103" w:name="_Toc441065674"/>
      <w:bookmarkStart w:id="104" w:name="_Toc25770683"/>
      <w:bookmarkStart w:id="105" w:name="_Toc29020"/>
      <w:r>
        <w:rPr>
          <w:rFonts w:hint="eastAsia" w:cs="宋体"/>
          <w:b/>
          <w:color w:val="auto"/>
          <w:sz w:val="24"/>
          <w:szCs w:val="24"/>
          <w:highlight w:val="none"/>
        </w:rPr>
        <w:t>一、</w:t>
      </w:r>
      <w:bookmarkEnd w:id="103"/>
      <w:r>
        <w:rPr>
          <w:rFonts w:hint="eastAsia" w:cs="宋体"/>
          <w:b/>
          <w:color w:val="auto"/>
          <w:sz w:val="24"/>
          <w:szCs w:val="24"/>
          <w:highlight w:val="none"/>
        </w:rPr>
        <w:t>资格审查</w:t>
      </w:r>
      <w:bookmarkEnd w:id="104"/>
      <w:bookmarkEnd w:id="105"/>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依据政府采购相关法律法规规定，由采购人或采购代理机构对投标文件中的资格证明文件进行审查。资格审查资料表如下：</w:t>
      </w:r>
    </w:p>
    <w:p>
      <w:pPr>
        <w:snapToGrid w:val="0"/>
        <w:spacing w:line="360" w:lineRule="auto"/>
        <w:ind w:firstLine="480" w:firstLineChars="200"/>
        <w:rPr>
          <w:color w:val="auto"/>
          <w:kern w:val="0"/>
          <w:sz w:val="24"/>
          <w:szCs w:val="24"/>
          <w:highlight w:val="none"/>
        </w:rPr>
      </w:pPr>
    </w:p>
    <w:tbl>
      <w:tblPr>
        <w:tblStyle w:val="57"/>
        <w:tblpPr w:leftFromText="180" w:rightFromText="180" w:vertAnchor="text" w:tblpX="-106"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628"/>
        <w:gridCol w:w="414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50" w:type="pct"/>
            <w:vAlign w:val="center"/>
          </w:tcPr>
          <w:p>
            <w:pPr>
              <w:jc w:val="center"/>
              <w:rPr>
                <w:b/>
                <w:bCs/>
                <w:color w:val="auto"/>
                <w:kern w:val="0"/>
                <w:sz w:val="24"/>
                <w:szCs w:val="24"/>
                <w:highlight w:val="none"/>
              </w:rPr>
            </w:pPr>
            <w:r>
              <w:rPr>
                <w:b/>
                <w:bCs/>
                <w:color w:val="auto"/>
                <w:kern w:val="0"/>
                <w:sz w:val="24"/>
                <w:szCs w:val="24"/>
                <w:highlight w:val="none"/>
              </w:rPr>
              <w:t>序号</w:t>
            </w:r>
          </w:p>
        </w:tc>
        <w:tc>
          <w:tcPr>
            <w:tcW w:w="2798" w:type="pct"/>
            <w:gridSpan w:val="2"/>
            <w:vAlign w:val="center"/>
          </w:tcPr>
          <w:p>
            <w:pPr>
              <w:jc w:val="center"/>
              <w:rPr>
                <w:b/>
                <w:bCs/>
                <w:color w:val="auto"/>
                <w:kern w:val="0"/>
                <w:sz w:val="24"/>
                <w:szCs w:val="24"/>
                <w:highlight w:val="none"/>
              </w:rPr>
            </w:pPr>
            <w:r>
              <w:rPr>
                <w:b/>
                <w:bCs/>
                <w:color w:val="auto"/>
                <w:kern w:val="0"/>
                <w:sz w:val="24"/>
                <w:szCs w:val="24"/>
                <w:highlight w:val="none"/>
              </w:rPr>
              <w:t>检查因素</w:t>
            </w:r>
          </w:p>
        </w:tc>
        <w:tc>
          <w:tcPr>
            <w:tcW w:w="1850" w:type="pct"/>
            <w:vAlign w:val="center"/>
          </w:tcPr>
          <w:p>
            <w:pPr>
              <w:jc w:val="center"/>
              <w:rPr>
                <w:b/>
                <w:bCs/>
                <w:color w:val="auto"/>
                <w:kern w:val="0"/>
                <w:sz w:val="24"/>
                <w:szCs w:val="24"/>
                <w:highlight w:val="none"/>
              </w:rPr>
            </w:pPr>
            <w:r>
              <w:rPr>
                <w:b/>
                <w:bCs/>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50" w:type="pct"/>
            <w:vMerge w:val="restart"/>
            <w:vAlign w:val="center"/>
          </w:tcPr>
          <w:p>
            <w:pPr>
              <w:jc w:val="center"/>
              <w:rPr>
                <w:color w:val="auto"/>
                <w:sz w:val="24"/>
                <w:szCs w:val="24"/>
                <w:highlight w:val="none"/>
              </w:rPr>
            </w:pPr>
            <w:r>
              <w:rPr>
                <w:color w:val="auto"/>
                <w:sz w:val="24"/>
                <w:szCs w:val="24"/>
                <w:highlight w:val="none"/>
              </w:rPr>
              <w:t>1</w:t>
            </w:r>
          </w:p>
        </w:tc>
        <w:tc>
          <w:tcPr>
            <w:tcW w:w="368" w:type="pct"/>
            <w:vMerge w:val="restart"/>
            <w:vAlign w:val="center"/>
          </w:tcPr>
          <w:p>
            <w:pPr>
              <w:rPr>
                <w:color w:val="auto"/>
                <w:sz w:val="24"/>
                <w:szCs w:val="24"/>
                <w:highlight w:val="none"/>
                <w:lang w:val="zh-CN"/>
              </w:rPr>
            </w:pPr>
            <w:r>
              <w:rPr>
                <w:color w:val="auto"/>
                <w:sz w:val="24"/>
                <w:szCs w:val="24"/>
                <w:highlight w:val="none"/>
                <w:lang w:val="zh-CN"/>
              </w:rPr>
              <w:t>投标人应符合的基本资格条件</w:t>
            </w:r>
          </w:p>
        </w:tc>
        <w:tc>
          <w:tcPr>
            <w:tcW w:w="2430" w:type="pct"/>
            <w:vAlign w:val="center"/>
          </w:tcPr>
          <w:p>
            <w:pPr>
              <w:rPr>
                <w:color w:val="auto"/>
                <w:sz w:val="24"/>
                <w:szCs w:val="24"/>
                <w:highlight w:val="none"/>
              </w:rPr>
            </w:pPr>
            <w:r>
              <w:rPr>
                <w:color w:val="auto"/>
                <w:sz w:val="24"/>
                <w:szCs w:val="24"/>
                <w:highlight w:val="none"/>
              </w:rPr>
              <w:t>（1）具有独立承担民事责任的能力</w:t>
            </w:r>
          </w:p>
        </w:tc>
        <w:tc>
          <w:tcPr>
            <w:tcW w:w="1850" w:type="pct"/>
            <w:vAlign w:val="center"/>
          </w:tcPr>
          <w:p>
            <w:pPr>
              <w:pStyle w:val="19"/>
              <w:rPr>
                <w:color w:val="auto"/>
                <w:sz w:val="24"/>
                <w:szCs w:val="24"/>
                <w:highlight w:val="none"/>
              </w:rPr>
            </w:pPr>
            <w:r>
              <w:rPr>
                <w:color w:val="auto"/>
                <w:sz w:val="24"/>
                <w:szCs w:val="24"/>
                <w:highlight w:val="none"/>
              </w:rPr>
              <w:t>投标人法人营业执照（副本）或事业单位法人证书（副本）或个体工商户营业执照或有效的自然人身份证明、组织机构代码证复印件（注①）；</w:t>
            </w:r>
          </w:p>
          <w:p>
            <w:pPr>
              <w:rPr>
                <w:color w:val="auto"/>
                <w:sz w:val="24"/>
                <w:szCs w:val="24"/>
                <w:highlight w:val="none"/>
              </w:rPr>
            </w:pPr>
            <w:r>
              <w:rPr>
                <w:color w:val="auto"/>
                <w:sz w:val="24"/>
                <w:szCs w:val="24"/>
                <w:highlight w:val="none"/>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50" w:type="pct"/>
            <w:vMerge w:val="continue"/>
            <w:vAlign w:val="center"/>
          </w:tcPr>
          <w:p>
            <w:pPr>
              <w:jc w:val="center"/>
              <w:rPr>
                <w:color w:val="auto"/>
                <w:sz w:val="24"/>
                <w:szCs w:val="24"/>
                <w:highlight w:val="none"/>
              </w:rPr>
            </w:pPr>
          </w:p>
        </w:tc>
        <w:tc>
          <w:tcPr>
            <w:tcW w:w="368" w:type="pct"/>
            <w:vMerge w:val="continue"/>
            <w:vAlign w:val="center"/>
          </w:tcPr>
          <w:p>
            <w:pPr>
              <w:rPr>
                <w:color w:val="auto"/>
                <w:sz w:val="24"/>
                <w:szCs w:val="24"/>
                <w:highlight w:val="none"/>
                <w:lang w:val="zh-CN"/>
              </w:rPr>
            </w:pPr>
          </w:p>
        </w:tc>
        <w:tc>
          <w:tcPr>
            <w:tcW w:w="2430" w:type="pct"/>
            <w:vAlign w:val="center"/>
          </w:tcPr>
          <w:p>
            <w:pPr>
              <w:rPr>
                <w:color w:val="auto"/>
                <w:sz w:val="24"/>
                <w:szCs w:val="24"/>
                <w:highlight w:val="none"/>
              </w:rPr>
            </w:pPr>
            <w:r>
              <w:rPr>
                <w:color w:val="auto"/>
                <w:sz w:val="24"/>
                <w:szCs w:val="24"/>
                <w:highlight w:val="none"/>
                <w:lang w:val="zh-CN"/>
              </w:rPr>
              <w:t>（2）</w:t>
            </w:r>
            <w:r>
              <w:rPr>
                <w:color w:val="auto"/>
                <w:sz w:val="24"/>
                <w:szCs w:val="24"/>
                <w:highlight w:val="none"/>
              </w:rPr>
              <w:t>具有良好的商业信誉和健全的财务会计制度</w:t>
            </w:r>
          </w:p>
        </w:tc>
        <w:tc>
          <w:tcPr>
            <w:tcW w:w="1850" w:type="pct"/>
            <w:vAlign w:val="center"/>
          </w:tcPr>
          <w:p>
            <w:pPr>
              <w:rPr>
                <w:color w:val="auto"/>
                <w:sz w:val="24"/>
                <w:szCs w:val="24"/>
                <w:highlight w:val="none"/>
              </w:rPr>
            </w:pPr>
            <w:r>
              <w:rPr>
                <w:color w:val="auto"/>
                <w:sz w:val="24"/>
                <w:szCs w:val="24"/>
                <w:highlight w:val="none"/>
              </w:rPr>
              <w:t>提供201</w:t>
            </w:r>
            <w:r>
              <w:rPr>
                <w:rFonts w:hint="eastAsia"/>
                <w:color w:val="auto"/>
                <w:sz w:val="24"/>
                <w:szCs w:val="24"/>
                <w:highlight w:val="none"/>
              </w:rPr>
              <w:t>9</w:t>
            </w:r>
            <w:r>
              <w:rPr>
                <w:color w:val="auto"/>
                <w:sz w:val="24"/>
                <w:szCs w:val="24"/>
                <w:highlight w:val="none"/>
              </w:rPr>
              <w:t>年度财务状况报告（表）复印件，本年度新成立的公司提供投标截止时间前一个月的财务状况报告（表）复印件。</w:t>
            </w:r>
          </w:p>
          <w:p>
            <w:pPr>
              <w:rPr>
                <w:b/>
                <w:color w:val="auto"/>
                <w:sz w:val="21"/>
                <w:szCs w:val="21"/>
                <w:highlight w:val="none"/>
              </w:rPr>
            </w:pPr>
            <w:r>
              <w:rPr>
                <w:b/>
                <w:color w:val="auto"/>
                <w:sz w:val="21"/>
                <w:szCs w:val="21"/>
                <w:highlight w:val="none"/>
              </w:rPr>
              <w:t>备注：联合体投标，财务审计报告由牵头单位提供。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50" w:type="pct"/>
            <w:vMerge w:val="continue"/>
            <w:vAlign w:val="center"/>
          </w:tcPr>
          <w:p>
            <w:pPr>
              <w:jc w:val="center"/>
              <w:rPr>
                <w:color w:val="auto"/>
                <w:sz w:val="24"/>
                <w:szCs w:val="24"/>
                <w:highlight w:val="none"/>
              </w:rPr>
            </w:pPr>
          </w:p>
        </w:tc>
        <w:tc>
          <w:tcPr>
            <w:tcW w:w="368" w:type="pct"/>
            <w:vMerge w:val="continue"/>
            <w:vAlign w:val="center"/>
          </w:tcPr>
          <w:p>
            <w:pPr>
              <w:rPr>
                <w:color w:val="auto"/>
                <w:sz w:val="24"/>
                <w:szCs w:val="24"/>
                <w:highlight w:val="none"/>
                <w:lang w:val="zh-CN"/>
              </w:rPr>
            </w:pPr>
          </w:p>
        </w:tc>
        <w:tc>
          <w:tcPr>
            <w:tcW w:w="2430" w:type="pct"/>
            <w:vAlign w:val="center"/>
          </w:tcPr>
          <w:p>
            <w:pPr>
              <w:rPr>
                <w:color w:val="auto"/>
                <w:sz w:val="24"/>
                <w:szCs w:val="24"/>
                <w:highlight w:val="none"/>
                <w:lang w:val="zh-CN"/>
              </w:rPr>
            </w:pPr>
            <w:r>
              <w:rPr>
                <w:color w:val="auto"/>
                <w:sz w:val="24"/>
                <w:szCs w:val="24"/>
                <w:highlight w:val="none"/>
                <w:lang w:val="zh-CN"/>
              </w:rPr>
              <w:t>（3）具有履行合同所必需的设备和专业技术能力</w:t>
            </w:r>
          </w:p>
        </w:tc>
        <w:tc>
          <w:tcPr>
            <w:tcW w:w="1850" w:type="pct"/>
            <w:vAlign w:val="center"/>
          </w:tcPr>
          <w:p>
            <w:pPr>
              <w:rPr>
                <w:color w:val="auto"/>
                <w:sz w:val="24"/>
                <w:szCs w:val="24"/>
                <w:highlight w:val="none"/>
              </w:rPr>
            </w:pPr>
            <w:r>
              <w:rPr>
                <w:color w:val="auto"/>
                <w:sz w:val="24"/>
                <w:szCs w:val="24"/>
                <w:highlight w:val="none"/>
              </w:rPr>
              <w:t>投标人提供书面声明或相关证明材料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50" w:type="pct"/>
            <w:vMerge w:val="continue"/>
            <w:vAlign w:val="center"/>
          </w:tcPr>
          <w:p>
            <w:pPr>
              <w:jc w:val="center"/>
              <w:rPr>
                <w:color w:val="auto"/>
                <w:sz w:val="24"/>
                <w:szCs w:val="24"/>
                <w:highlight w:val="none"/>
              </w:rPr>
            </w:pPr>
          </w:p>
        </w:tc>
        <w:tc>
          <w:tcPr>
            <w:tcW w:w="368" w:type="pct"/>
            <w:vMerge w:val="continue"/>
            <w:vAlign w:val="center"/>
          </w:tcPr>
          <w:p>
            <w:pPr>
              <w:rPr>
                <w:color w:val="auto"/>
                <w:sz w:val="24"/>
                <w:szCs w:val="24"/>
                <w:highlight w:val="none"/>
                <w:lang w:val="zh-CN"/>
              </w:rPr>
            </w:pPr>
          </w:p>
        </w:tc>
        <w:tc>
          <w:tcPr>
            <w:tcW w:w="2430" w:type="pct"/>
            <w:vAlign w:val="center"/>
          </w:tcPr>
          <w:p>
            <w:pPr>
              <w:rPr>
                <w:color w:val="auto"/>
                <w:sz w:val="24"/>
                <w:szCs w:val="24"/>
                <w:highlight w:val="none"/>
                <w:lang w:val="zh-CN"/>
              </w:rPr>
            </w:pPr>
            <w:r>
              <w:rPr>
                <w:color w:val="auto"/>
                <w:sz w:val="24"/>
                <w:szCs w:val="24"/>
                <w:highlight w:val="none"/>
                <w:lang w:val="zh-CN"/>
              </w:rPr>
              <w:t>（4）有依法缴纳税收和社会保障金的良好记录</w:t>
            </w:r>
          </w:p>
        </w:tc>
        <w:tc>
          <w:tcPr>
            <w:tcW w:w="1850" w:type="pct"/>
            <w:vAlign w:val="center"/>
          </w:tcPr>
          <w:p>
            <w:pPr>
              <w:rPr>
                <w:color w:val="auto"/>
                <w:sz w:val="24"/>
                <w:szCs w:val="24"/>
                <w:highlight w:val="none"/>
              </w:rPr>
            </w:pPr>
            <w:r>
              <w:rPr>
                <w:rFonts w:hint="eastAsia"/>
                <w:color w:val="auto"/>
                <w:sz w:val="24"/>
                <w:szCs w:val="24"/>
                <w:highlight w:val="none"/>
              </w:rPr>
              <w:t>1.税务登记证（副本）复印件（注①）2.缴纳社会保障金的证明材料复印件（缴纳社会保障金的证明材料指：社会保险登记证（注①）或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50" w:type="pct"/>
            <w:vMerge w:val="continue"/>
            <w:vAlign w:val="center"/>
          </w:tcPr>
          <w:p>
            <w:pPr>
              <w:jc w:val="center"/>
              <w:rPr>
                <w:color w:val="auto"/>
                <w:sz w:val="24"/>
                <w:szCs w:val="24"/>
                <w:highlight w:val="none"/>
              </w:rPr>
            </w:pPr>
          </w:p>
        </w:tc>
        <w:tc>
          <w:tcPr>
            <w:tcW w:w="368" w:type="pct"/>
            <w:vMerge w:val="continue"/>
            <w:vAlign w:val="center"/>
          </w:tcPr>
          <w:p>
            <w:pPr>
              <w:rPr>
                <w:color w:val="auto"/>
                <w:sz w:val="24"/>
                <w:szCs w:val="24"/>
                <w:highlight w:val="none"/>
                <w:lang w:val="zh-CN"/>
              </w:rPr>
            </w:pPr>
          </w:p>
        </w:tc>
        <w:tc>
          <w:tcPr>
            <w:tcW w:w="2430" w:type="pct"/>
            <w:vAlign w:val="center"/>
          </w:tcPr>
          <w:p>
            <w:pPr>
              <w:pStyle w:val="19"/>
              <w:rPr>
                <w:color w:val="auto"/>
                <w:sz w:val="24"/>
                <w:szCs w:val="24"/>
                <w:highlight w:val="none"/>
              </w:rPr>
            </w:pPr>
            <w:r>
              <w:rPr>
                <w:color w:val="auto"/>
                <w:sz w:val="24"/>
                <w:szCs w:val="24"/>
                <w:highlight w:val="none"/>
              </w:rPr>
              <w:t>（5）参加政府采购活动前三年内，在经营活动中没有重大违法记录（注②）</w:t>
            </w:r>
          </w:p>
          <w:p>
            <w:pPr>
              <w:rPr>
                <w:color w:val="auto"/>
                <w:sz w:val="24"/>
                <w:szCs w:val="24"/>
                <w:highlight w:val="none"/>
                <w:lang w:val="zh-CN"/>
              </w:rPr>
            </w:pPr>
          </w:p>
        </w:tc>
        <w:tc>
          <w:tcPr>
            <w:tcW w:w="1850" w:type="pct"/>
            <w:vAlign w:val="center"/>
          </w:tcPr>
          <w:p>
            <w:pPr>
              <w:rPr>
                <w:color w:val="auto"/>
                <w:sz w:val="24"/>
                <w:szCs w:val="24"/>
                <w:highlight w:val="none"/>
              </w:rPr>
            </w:pPr>
            <w:r>
              <w:rPr>
                <w:rFonts w:hint="eastAsia"/>
                <w:color w:val="auto"/>
                <w:sz w:val="24"/>
                <w:szCs w:val="24"/>
                <w:highlight w:val="none"/>
              </w:rPr>
              <w:t>1.供应商提供书面声明（见格式文件）；</w:t>
            </w:r>
          </w:p>
          <w:p>
            <w:pPr>
              <w:rPr>
                <w:color w:val="auto"/>
                <w:sz w:val="24"/>
                <w:szCs w:val="24"/>
                <w:highlight w:val="none"/>
              </w:rPr>
            </w:pPr>
            <w:r>
              <w:rPr>
                <w:rFonts w:hint="eastAsia"/>
                <w:color w:val="auto"/>
                <w:sz w:val="24"/>
                <w:szCs w:val="24"/>
                <w:highlight w:val="none"/>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50" w:type="pct"/>
            <w:vMerge w:val="continue"/>
            <w:vAlign w:val="center"/>
          </w:tcPr>
          <w:p>
            <w:pPr>
              <w:jc w:val="center"/>
              <w:rPr>
                <w:color w:val="auto"/>
                <w:sz w:val="24"/>
                <w:szCs w:val="24"/>
                <w:highlight w:val="none"/>
              </w:rPr>
            </w:pPr>
          </w:p>
        </w:tc>
        <w:tc>
          <w:tcPr>
            <w:tcW w:w="368" w:type="pct"/>
            <w:vMerge w:val="continue"/>
            <w:vAlign w:val="center"/>
          </w:tcPr>
          <w:p>
            <w:pPr>
              <w:rPr>
                <w:color w:val="auto"/>
                <w:sz w:val="24"/>
                <w:szCs w:val="24"/>
                <w:highlight w:val="none"/>
                <w:lang w:val="zh-CN"/>
              </w:rPr>
            </w:pPr>
          </w:p>
        </w:tc>
        <w:tc>
          <w:tcPr>
            <w:tcW w:w="2430" w:type="pct"/>
            <w:vAlign w:val="center"/>
          </w:tcPr>
          <w:p>
            <w:pPr>
              <w:rPr>
                <w:color w:val="auto"/>
                <w:sz w:val="24"/>
                <w:szCs w:val="24"/>
                <w:highlight w:val="none"/>
              </w:rPr>
            </w:pPr>
            <w:r>
              <w:rPr>
                <w:color w:val="auto"/>
                <w:sz w:val="24"/>
                <w:szCs w:val="24"/>
                <w:highlight w:val="none"/>
              </w:rPr>
              <w:t>（6）法律、行政法规规定的其他条件</w:t>
            </w:r>
          </w:p>
        </w:tc>
        <w:tc>
          <w:tcPr>
            <w:tcW w:w="1850" w:type="pct"/>
            <w:vAlign w:val="center"/>
          </w:tcPr>
          <w:p>
            <w:pP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50" w:type="pct"/>
            <w:vAlign w:val="center"/>
          </w:tcPr>
          <w:p>
            <w:pPr>
              <w:jc w:val="center"/>
              <w:rPr>
                <w:color w:val="auto"/>
                <w:sz w:val="24"/>
                <w:szCs w:val="24"/>
                <w:highlight w:val="none"/>
              </w:rPr>
            </w:pPr>
            <w:r>
              <w:rPr>
                <w:color w:val="auto"/>
                <w:sz w:val="24"/>
                <w:szCs w:val="24"/>
                <w:highlight w:val="none"/>
              </w:rPr>
              <w:t>2</w:t>
            </w:r>
          </w:p>
        </w:tc>
        <w:tc>
          <w:tcPr>
            <w:tcW w:w="2798" w:type="pct"/>
            <w:gridSpan w:val="2"/>
            <w:vAlign w:val="center"/>
          </w:tcPr>
          <w:p>
            <w:pPr>
              <w:rPr>
                <w:color w:val="auto"/>
                <w:sz w:val="24"/>
                <w:szCs w:val="24"/>
                <w:highlight w:val="none"/>
              </w:rPr>
            </w:pPr>
            <w:r>
              <w:rPr>
                <w:color w:val="auto"/>
                <w:sz w:val="24"/>
                <w:szCs w:val="24"/>
                <w:highlight w:val="none"/>
              </w:rPr>
              <w:t>特定资格条件</w:t>
            </w:r>
          </w:p>
        </w:tc>
        <w:tc>
          <w:tcPr>
            <w:tcW w:w="1850" w:type="pct"/>
            <w:vAlign w:val="center"/>
          </w:tcPr>
          <w:p>
            <w:pPr>
              <w:rPr>
                <w:color w:val="auto"/>
                <w:sz w:val="24"/>
                <w:szCs w:val="24"/>
                <w:highlight w:val="none"/>
              </w:rPr>
            </w:pPr>
            <w:r>
              <w:rPr>
                <w:color w:val="auto"/>
                <w:sz w:val="24"/>
                <w:szCs w:val="24"/>
                <w:highlight w:val="none"/>
              </w:rPr>
              <w:t>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50" w:type="pct"/>
            <w:vAlign w:val="center"/>
          </w:tcPr>
          <w:p>
            <w:pPr>
              <w:jc w:val="center"/>
              <w:rPr>
                <w:color w:val="auto"/>
                <w:sz w:val="24"/>
                <w:szCs w:val="24"/>
                <w:highlight w:val="none"/>
              </w:rPr>
            </w:pPr>
            <w:r>
              <w:rPr>
                <w:color w:val="auto"/>
                <w:sz w:val="24"/>
                <w:szCs w:val="24"/>
                <w:highlight w:val="none"/>
              </w:rPr>
              <w:t>3</w:t>
            </w:r>
          </w:p>
        </w:tc>
        <w:tc>
          <w:tcPr>
            <w:tcW w:w="2798" w:type="pct"/>
            <w:gridSpan w:val="2"/>
            <w:vAlign w:val="center"/>
          </w:tcPr>
          <w:p>
            <w:pPr>
              <w:rPr>
                <w:color w:val="auto"/>
                <w:sz w:val="24"/>
                <w:szCs w:val="24"/>
                <w:highlight w:val="none"/>
              </w:rPr>
            </w:pPr>
            <w:r>
              <w:rPr>
                <w:color w:val="auto"/>
                <w:sz w:val="24"/>
                <w:szCs w:val="24"/>
                <w:highlight w:val="none"/>
              </w:rPr>
              <w:t>投标保证金</w:t>
            </w:r>
          </w:p>
        </w:tc>
        <w:tc>
          <w:tcPr>
            <w:tcW w:w="1850" w:type="pct"/>
            <w:vAlign w:val="center"/>
          </w:tcPr>
          <w:p>
            <w:pPr>
              <w:rPr>
                <w:color w:val="auto"/>
                <w:sz w:val="24"/>
                <w:szCs w:val="24"/>
                <w:highlight w:val="none"/>
              </w:rPr>
            </w:pPr>
            <w:r>
              <w:rPr>
                <w:color w:val="auto"/>
                <w:sz w:val="24"/>
                <w:szCs w:val="24"/>
                <w:highlight w:val="none"/>
              </w:rPr>
              <w:t>投标保证金到账截止时间前提交足额投标保证金</w:t>
            </w:r>
          </w:p>
        </w:tc>
      </w:tr>
    </w:tbl>
    <w:p>
      <w:pPr>
        <w:snapToGrid w:val="0"/>
        <w:spacing w:line="360" w:lineRule="auto"/>
        <w:ind w:firstLine="480" w:firstLineChars="200"/>
        <w:rPr>
          <w:color w:val="auto"/>
          <w:kern w:val="0"/>
          <w:sz w:val="24"/>
          <w:szCs w:val="24"/>
          <w:highlight w:val="none"/>
        </w:rPr>
      </w:pPr>
      <w:r>
        <w:rPr>
          <w:color w:val="auto"/>
          <w:kern w:val="0"/>
          <w:sz w:val="24"/>
          <w:szCs w:val="24"/>
          <w:highlight w:val="none"/>
        </w:rPr>
        <w:t>注：</w:t>
      </w:r>
    </w:p>
    <w:p>
      <w:pPr>
        <w:snapToGrid w:val="0"/>
        <w:spacing w:line="360" w:lineRule="auto"/>
        <w:ind w:firstLine="480" w:firstLineChars="200"/>
        <w:rPr>
          <w:color w:val="auto"/>
          <w:kern w:val="0"/>
          <w:sz w:val="24"/>
          <w:szCs w:val="24"/>
          <w:highlight w:val="none"/>
        </w:rPr>
      </w:pPr>
      <w:r>
        <w:rPr>
          <w:color w:val="auto"/>
          <w:kern w:val="0"/>
          <w:sz w:val="24"/>
          <w:szCs w:val="24"/>
          <w:highlight w:val="none"/>
        </w:rPr>
        <w:t>①投标人按“三证合一”登记制度办理营业执照的，组织机构代码证和税务登记证（副本）复印件以投标人所提供的营业执照（副本）复印件为准。</w:t>
      </w:r>
    </w:p>
    <w:p>
      <w:pPr>
        <w:snapToGrid w:val="0"/>
        <w:spacing w:line="360" w:lineRule="auto"/>
        <w:ind w:firstLine="480" w:firstLineChars="200"/>
        <w:rPr>
          <w:color w:val="auto"/>
          <w:kern w:val="0"/>
          <w:sz w:val="24"/>
          <w:szCs w:val="24"/>
          <w:highlight w:val="none"/>
        </w:rPr>
      </w:pPr>
      <w:r>
        <w:rPr>
          <w:color w:val="auto"/>
          <w:kern w:val="0"/>
          <w:sz w:val="24"/>
          <w:szCs w:val="24"/>
          <w:highlight w:val="none"/>
        </w:rPr>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pStyle w:val="4"/>
        <w:spacing w:line="400" w:lineRule="exact"/>
        <w:ind w:firstLine="482" w:firstLineChars="200"/>
        <w:rPr>
          <w:b/>
          <w:color w:val="auto"/>
          <w:sz w:val="24"/>
          <w:szCs w:val="24"/>
          <w:highlight w:val="none"/>
        </w:rPr>
      </w:pPr>
      <w:bookmarkStart w:id="106" w:name="_Toc20533"/>
      <w:bookmarkStart w:id="107" w:name="_Toc25770684"/>
      <w:bookmarkStart w:id="108" w:name="_Toc492721016"/>
      <w:bookmarkStart w:id="109" w:name="_Toc10918"/>
      <w:r>
        <w:rPr>
          <w:rFonts w:hint="eastAsia"/>
          <w:b/>
          <w:color w:val="auto"/>
          <w:sz w:val="24"/>
          <w:szCs w:val="24"/>
          <w:highlight w:val="none"/>
        </w:rPr>
        <w:t>二、评标方法</w:t>
      </w:r>
      <w:bookmarkEnd w:id="106"/>
      <w:bookmarkEnd w:id="107"/>
      <w:bookmarkEnd w:id="108"/>
      <w:bookmarkEnd w:id="109"/>
    </w:p>
    <w:p>
      <w:pPr>
        <w:snapToGrid w:val="0"/>
        <w:spacing w:line="400" w:lineRule="exact"/>
        <w:ind w:firstLine="480" w:firstLineChars="200"/>
        <w:rPr>
          <w:rFonts w:ascii="宋体" w:hAnsi="宋体" w:cs="仿宋"/>
          <w:color w:val="auto"/>
          <w:kern w:val="0"/>
          <w:sz w:val="24"/>
          <w:szCs w:val="24"/>
          <w:highlight w:val="none"/>
        </w:rPr>
      </w:pPr>
      <w:r>
        <w:rPr>
          <w:rFonts w:hint="eastAsia" w:ascii="宋体" w:hAnsi="宋体" w:cs="仿宋"/>
          <w:color w:val="auto"/>
          <w:kern w:val="0"/>
          <w:sz w:val="24"/>
          <w:szCs w:val="24"/>
          <w:highlight w:val="none"/>
        </w:rPr>
        <w:t>本项目采用综合评分法进行评标。</w:t>
      </w:r>
    </w:p>
    <w:p>
      <w:pPr>
        <w:snapToGrid w:val="0"/>
        <w:spacing w:line="440" w:lineRule="exact"/>
        <w:ind w:firstLine="480" w:firstLineChars="200"/>
        <w:rPr>
          <w:rFonts w:ascii="宋体" w:hAnsi="宋体" w:cs="仿宋"/>
          <w:color w:val="auto"/>
          <w:sz w:val="24"/>
          <w:szCs w:val="24"/>
          <w:highlight w:val="none"/>
          <w:u w:val="single"/>
        </w:rPr>
      </w:pPr>
      <w:r>
        <w:rPr>
          <w:rFonts w:hint="eastAsia" w:ascii="宋体" w:hAnsi="宋体" w:cs="仿宋"/>
          <w:color w:val="auto"/>
          <w:kern w:val="0"/>
          <w:sz w:val="24"/>
          <w:szCs w:val="24"/>
          <w:highlight w:val="none"/>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100分。另有5分为政策性加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（一）符合性审查</w:t>
      </w:r>
    </w:p>
    <w:p>
      <w:pPr>
        <w:snapToGrid w:val="0"/>
        <w:spacing w:line="360" w:lineRule="auto"/>
        <w:ind w:firstLine="480" w:firstLineChars="200"/>
        <w:rPr>
          <w:color w:val="auto"/>
          <w:kern w:val="0"/>
          <w:sz w:val="24"/>
          <w:szCs w:val="24"/>
          <w:highlight w:val="none"/>
        </w:rPr>
      </w:pPr>
      <w:r>
        <w:rPr>
          <w:rFonts w:hint="eastAsia" w:ascii="宋体" w:hAnsi="宋体" w:cs="宋体"/>
          <w:color w:val="auto"/>
          <w:kern w:val="0"/>
          <w:sz w:val="24"/>
          <w:szCs w:val="24"/>
          <w:highlight w:val="none"/>
        </w:rPr>
        <w:t>评标委员会应当对符合资格的投标人的投标文件进行符合性审查，以确定其是否满足招标文件的实质性要求。</w:t>
      </w:r>
      <w:r>
        <w:rPr>
          <w:rFonts w:hint="eastAsia" w:ascii="宋体" w:hAnsi="宋体"/>
          <w:color w:val="auto"/>
          <w:kern w:val="0"/>
          <w:sz w:val="24"/>
          <w:szCs w:val="24"/>
          <w:highlight w:val="none"/>
        </w:rPr>
        <w:t>符合性审查资料表如下：</w:t>
      </w:r>
    </w:p>
    <w:tbl>
      <w:tblPr>
        <w:tblStyle w:val="5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380"/>
        <w:gridCol w:w="1758"/>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b/>
                <w:bCs/>
                <w:color w:val="auto"/>
                <w:kern w:val="0"/>
                <w:sz w:val="24"/>
                <w:szCs w:val="24"/>
                <w:highlight w:val="none"/>
              </w:rPr>
            </w:pPr>
            <w:r>
              <w:rPr>
                <w:b/>
                <w:bCs/>
                <w:color w:val="auto"/>
                <w:kern w:val="0"/>
                <w:sz w:val="24"/>
                <w:szCs w:val="24"/>
                <w:highlight w:val="none"/>
              </w:rPr>
              <w:t>序号</w:t>
            </w:r>
          </w:p>
        </w:tc>
        <w:tc>
          <w:tcPr>
            <w:tcW w:w="1840" w:type="pct"/>
            <w:gridSpan w:val="2"/>
            <w:vAlign w:val="center"/>
          </w:tcPr>
          <w:p>
            <w:pPr>
              <w:jc w:val="center"/>
              <w:rPr>
                <w:b/>
                <w:bCs/>
                <w:color w:val="auto"/>
                <w:kern w:val="0"/>
                <w:sz w:val="24"/>
                <w:szCs w:val="24"/>
                <w:highlight w:val="none"/>
              </w:rPr>
            </w:pPr>
            <w:r>
              <w:rPr>
                <w:b/>
                <w:bCs/>
                <w:color w:val="auto"/>
                <w:kern w:val="0"/>
                <w:sz w:val="24"/>
                <w:szCs w:val="24"/>
                <w:highlight w:val="none"/>
              </w:rPr>
              <w:t>评审因素</w:t>
            </w:r>
          </w:p>
        </w:tc>
        <w:tc>
          <w:tcPr>
            <w:tcW w:w="2809" w:type="pct"/>
            <w:vAlign w:val="center"/>
          </w:tcPr>
          <w:p>
            <w:pPr>
              <w:jc w:val="center"/>
              <w:rPr>
                <w:b/>
                <w:bCs/>
                <w:color w:val="auto"/>
                <w:kern w:val="0"/>
                <w:sz w:val="24"/>
                <w:szCs w:val="24"/>
                <w:highlight w:val="none"/>
              </w:rPr>
            </w:pPr>
            <w:r>
              <w:rPr>
                <w:b/>
                <w:bCs/>
                <w:color w:val="auto"/>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0" w:type="pct"/>
            <w:vMerge w:val="restart"/>
            <w:vAlign w:val="center"/>
          </w:tcPr>
          <w:p>
            <w:pPr>
              <w:jc w:val="center"/>
              <w:rPr>
                <w:color w:val="auto"/>
                <w:kern w:val="0"/>
                <w:sz w:val="24"/>
                <w:szCs w:val="24"/>
                <w:highlight w:val="none"/>
              </w:rPr>
            </w:pPr>
            <w:r>
              <w:rPr>
                <w:color w:val="auto"/>
                <w:kern w:val="0"/>
                <w:sz w:val="24"/>
                <w:szCs w:val="24"/>
                <w:highlight w:val="none"/>
              </w:rPr>
              <w:t>1</w:t>
            </w:r>
          </w:p>
        </w:tc>
        <w:tc>
          <w:tcPr>
            <w:tcW w:w="809" w:type="pct"/>
            <w:vMerge w:val="restart"/>
            <w:vAlign w:val="center"/>
          </w:tcPr>
          <w:p>
            <w:pPr>
              <w:rPr>
                <w:color w:val="auto"/>
                <w:sz w:val="24"/>
                <w:szCs w:val="24"/>
                <w:highlight w:val="none"/>
              </w:rPr>
            </w:pPr>
            <w:r>
              <w:rPr>
                <w:color w:val="auto"/>
                <w:sz w:val="24"/>
                <w:szCs w:val="24"/>
                <w:highlight w:val="none"/>
              </w:rPr>
              <w:t>有效性审查</w:t>
            </w:r>
          </w:p>
        </w:tc>
        <w:tc>
          <w:tcPr>
            <w:tcW w:w="1031" w:type="pct"/>
            <w:vAlign w:val="center"/>
          </w:tcPr>
          <w:p>
            <w:pPr>
              <w:rPr>
                <w:color w:val="auto"/>
                <w:sz w:val="24"/>
                <w:szCs w:val="24"/>
                <w:highlight w:val="none"/>
              </w:rPr>
            </w:pPr>
            <w:r>
              <w:rPr>
                <w:color w:val="auto"/>
                <w:sz w:val="24"/>
                <w:szCs w:val="24"/>
                <w:highlight w:val="none"/>
              </w:rPr>
              <w:t>投标文件签署</w:t>
            </w:r>
          </w:p>
        </w:tc>
        <w:tc>
          <w:tcPr>
            <w:tcW w:w="2809" w:type="pct"/>
            <w:vAlign w:val="center"/>
          </w:tcPr>
          <w:p>
            <w:pPr>
              <w:rPr>
                <w:color w:val="auto"/>
                <w:sz w:val="24"/>
                <w:szCs w:val="24"/>
                <w:highlight w:val="none"/>
              </w:rPr>
            </w:pPr>
            <w:r>
              <w:rPr>
                <w:color w:val="auto"/>
                <w:sz w:val="24"/>
                <w:szCs w:val="24"/>
                <w:highlight w:val="none"/>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color w:val="auto"/>
                <w:kern w:val="0"/>
                <w:sz w:val="24"/>
                <w:szCs w:val="24"/>
                <w:highlight w:val="none"/>
              </w:rPr>
            </w:pPr>
          </w:p>
        </w:tc>
        <w:tc>
          <w:tcPr>
            <w:tcW w:w="809" w:type="pct"/>
            <w:vMerge w:val="continue"/>
            <w:vAlign w:val="center"/>
          </w:tcPr>
          <w:p>
            <w:pPr>
              <w:rPr>
                <w:color w:val="auto"/>
                <w:sz w:val="24"/>
                <w:szCs w:val="24"/>
                <w:highlight w:val="none"/>
              </w:rPr>
            </w:pPr>
          </w:p>
        </w:tc>
        <w:tc>
          <w:tcPr>
            <w:tcW w:w="1031" w:type="pct"/>
            <w:vAlign w:val="center"/>
          </w:tcPr>
          <w:p>
            <w:pPr>
              <w:rPr>
                <w:color w:val="auto"/>
                <w:sz w:val="24"/>
                <w:szCs w:val="24"/>
                <w:highlight w:val="none"/>
              </w:rPr>
            </w:pPr>
            <w:r>
              <w:rPr>
                <w:color w:val="auto"/>
                <w:sz w:val="24"/>
                <w:szCs w:val="24"/>
                <w:highlight w:val="none"/>
                <w:lang w:val="zh-CN"/>
              </w:rPr>
              <w:t>投标方案</w:t>
            </w:r>
          </w:p>
        </w:tc>
        <w:tc>
          <w:tcPr>
            <w:tcW w:w="2809" w:type="pct"/>
            <w:vAlign w:val="center"/>
          </w:tcPr>
          <w:p>
            <w:pPr>
              <w:rPr>
                <w:color w:val="auto"/>
                <w:sz w:val="24"/>
                <w:szCs w:val="24"/>
                <w:highlight w:val="none"/>
              </w:rPr>
            </w:pPr>
            <w:r>
              <w:rPr>
                <w:color w:val="auto"/>
                <w:sz w:val="24"/>
                <w:szCs w:val="24"/>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color w:val="auto"/>
                <w:kern w:val="0"/>
                <w:sz w:val="24"/>
                <w:szCs w:val="24"/>
                <w:highlight w:val="none"/>
              </w:rPr>
            </w:pPr>
          </w:p>
        </w:tc>
        <w:tc>
          <w:tcPr>
            <w:tcW w:w="809" w:type="pct"/>
            <w:vMerge w:val="continue"/>
            <w:vAlign w:val="center"/>
          </w:tcPr>
          <w:p>
            <w:pPr>
              <w:rPr>
                <w:color w:val="auto"/>
                <w:sz w:val="24"/>
                <w:szCs w:val="24"/>
                <w:highlight w:val="none"/>
              </w:rPr>
            </w:pPr>
          </w:p>
        </w:tc>
        <w:tc>
          <w:tcPr>
            <w:tcW w:w="1031" w:type="pct"/>
            <w:vAlign w:val="center"/>
          </w:tcPr>
          <w:p>
            <w:pPr>
              <w:rPr>
                <w:color w:val="auto"/>
                <w:sz w:val="24"/>
                <w:szCs w:val="24"/>
                <w:highlight w:val="none"/>
                <w:lang w:val="zh-CN"/>
              </w:rPr>
            </w:pPr>
            <w:r>
              <w:rPr>
                <w:color w:val="auto"/>
                <w:sz w:val="24"/>
                <w:szCs w:val="24"/>
                <w:highlight w:val="none"/>
              </w:rPr>
              <w:t>报价唯一</w:t>
            </w:r>
          </w:p>
        </w:tc>
        <w:tc>
          <w:tcPr>
            <w:tcW w:w="2809" w:type="pct"/>
            <w:vAlign w:val="center"/>
          </w:tcPr>
          <w:p>
            <w:pPr>
              <w:rPr>
                <w:color w:val="auto"/>
                <w:sz w:val="24"/>
                <w:szCs w:val="24"/>
                <w:highlight w:val="none"/>
              </w:rPr>
            </w:pPr>
            <w:r>
              <w:rPr>
                <w:rFonts w:hint="eastAsia"/>
                <w:color w:val="auto"/>
                <w:sz w:val="24"/>
                <w:szCs w:val="24"/>
                <w:highlight w:val="none"/>
                <w:lang w:val="zh-CN"/>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50" w:type="pct"/>
            <w:vAlign w:val="center"/>
          </w:tcPr>
          <w:p>
            <w:pPr>
              <w:jc w:val="center"/>
              <w:rPr>
                <w:color w:val="auto"/>
                <w:kern w:val="0"/>
                <w:sz w:val="24"/>
                <w:szCs w:val="24"/>
                <w:highlight w:val="none"/>
              </w:rPr>
            </w:pPr>
            <w:r>
              <w:rPr>
                <w:rFonts w:hint="eastAsia"/>
                <w:color w:val="auto"/>
                <w:kern w:val="0"/>
                <w:sz w:val="24"/>
                <w:szCs w:val="24"/>
                <w:highlight w:val="none"/>
              </w:rPr>
              <w:t>2</w:t>
            </w:r>
          </w:p>
        </w:tc>
        <w:tc>
          <w:tcPr>
            <w:tcW w:w="809" w:type="pct"/>
            <w:vAlign w:val="center"/>
          </w:tcPr>
          <w:p>
            <w:pPr>
              <w:rPr>
                <w:color w:val="auto"/>
                <w:sz w:val="24"/>
                <w:szCs w:val="24"/>
                <w:highlight w:val="none"/>
              </w:rPr>
            </w:pPr>
            <w:r>
              <w:rPr>
                <w:rFonts w:hint="eastAsia"/>
                <w:color w:val="auto"/>
                <w:sz w:val="24"/>
                <w:szCs w:val="24"/>
                <w:highlight w:val="none"/>
              </w:rPr>
              <w:t>完整性审查</w:t>
            </w:r>
          </w:p>
        </w:tc>
        <w:tc>
          <w:tcPr>
            <w:tcW w:w="1031" w:type="pct"/>
            <w:vAlign w:val="center"/>
          </w:tcPr>
          <w:p>
            <w:pPr>
              <w:rPr>
                <w:color w:val="auto"/>
                <w:sz w:val="24"/>
                <w:szCs w:val="24"/>
                <w:highlight w:val="none"/>
              </w:rPr>
            </w:pPr>
            <w:r>
              <w:rPr>
                <w:rFonts w:hint="eastAsia"/>
                <w:color w:val="auto"/>
                <w:sz w:val="24"/>
                <w:szCs w:val="24"/>
                <w:highlight w:val="none"/>
                <w:lang w:val="zh-CN"/>
              </w:rPr>
              <w:t>投标文件份数</w:t>
            </w:r>
          </w:p>
        </w:tc>
        <w:tc>
          <w:tcPr>
            <w:tcW w:w="2809" w:type="pct"/>
            <w:vAlign w:val="center"/>
          </w:tcPr>
          <w:p>
            <w:pPr>
              <w:rPr>
                <w:color w:val="auto"/>
                <w:sz w:val="24"/>
                <w:szCs w:val="24"/>
                <w:highlight w:val="none"/>
                <w:lang w:val="zh-CN"/>
              </w:rPr>
            </w:pPr>
            <w:r>
              <w:rPr>
                <w:rFonts w:hint="eastAsia"/>
                <w:color w:val="auto"/>
                <w:sz w:val="24"/>
                <w:szCs w:val="24"/>
                <w:highlight w:val="none"/>
                <w:lang w:val="zh-CN"/>
              </w:rPr>
              <w:t>投标文件正、副本数量（含电子文档）符合招标文件要求。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50" w:type="pct"/>
            <w:vAlign w:val="center"/>
          </w:tcPr>
          <w:p>
            <w:pPr>
              <w:jc w:val="center"/>
              <w:rPr>
                <w:color w:val="auto"/>
                <w:kern w:val="0"/>
                <w:sz w:val="24"/>
                <w:szCs w:val="24"/>
                <w:highlight w:val="none"/>
              </w:rPr>
            </w:pPr>
            <w:r>
              <w:rPr>
                <w:rFonts w:hint="eastAsia"/>
                <w:color w:val="auto"/>
                <w:kern w:val="0"/>
                <w:sz w:val="24"/>
                <w:szCs w:val="24"/>
                <w:highlight w:val="none"/>
              </w:rPr>
              <w:t>3</w:t>
            </w:r>
          </w:p>
        </w:tc>
        <w:tc>
          <w:tcPr>
            <w:tcW w:w="809" w:type="pct"/>
            <w:vAlign w:val="center"/>
          </w:tcPr>
          <w:p>
            <w:pPr>
              <w:rPr>
                <w:color w:val="auto"/>
                <w:sz w:val="24"/>
                <w:szCs w:val="24"/>
                <w:highlight w:val="none"/>
              </w:rPr>
            </w:pPr>
            <w:r>
              <w:rPr>
                <w:rFonts w:hint="eastAsia"/>
                <w:color w:val="auto"/>
                <w:sz w:val="24"/>
                <w:szCs w:val="24"/>
                <w:highlight w:val="none"/>
              </w:rPr>
              <w:t>技术部分</w:t>
            </w:r>
          </w:p>
        </w:tc>
        <w:tc>
          <w:tcPr>
            <w:tcW w:w="1031" w:type="pct"/>
            <w:vAlign w:val="center"/>
          </w:tcPr>
          <w:p>
            <w:pPr>
              <w:rPr>
                <w:color w:val="auto"/>
                <w:sz w:val="24"/>
                <w:szCs w:val="24"/>
                <w:highlight w:val="none"/>
              </w:rPr>
            </w:pPr>
            <w:r>
              <w:rPr>
                <w:rFonts w:hint="eastAsia"/>
                <w:color w:val="auto"/>
                <w:sz w:val="24"/>
                <w:szCs w:val="24"/>
                <w:highlight w:val="none"/>
              </w:rPr>
              <w:t>投标文件内容</w:t>
            </w:r>
          </w:p>
        </w:tc>
        <w:tc>
          <w:tcPr>
            <w:tcW w:w="2809" w:type="pct"/>
            <w:vAlign w:val="center"/>
          </w:tcPr>
          <w:p>
            <w:pPr>
              <w:rPr>
                <w:color w:val="auto"/>
                <w:sz w:val="24"/>
                <w:szCs w:val="24"/>
                <w:highlight w:val="none"/>
                <w:lang w:val="zh-CN"/>
              </w:rPr>
            </w:pPr>
            <w:r>
              <w:rPr>
                <w:rFonts w:hint="eastAsia"/>
                <w:color w:val="auto"/>
                <w:sz w:val="24"/>
                <w:szCs w:val="24"/>
                <w:highlight w:val="none"/>
              </w:rPr>
              <w:t>对招标文件第二篇技术部分响应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50" w:type="pct"/>
            <w:vAlign w:val="center"/>
          </w:tcPr>
          <w:p>
            <w:pPr>
              <w:jc w:val="center"/>
              <w:rPr>
                <w:color w:val="auto"/>
                <w:kern w:val="0"/>
                <w:sz w:val="24"/>
                <w:szCs w:val="24"/>
                <w:highlight w:val="none"/>
              </w:rPr>
            </w:pPr>
            <w:r>
              <w:rPr>
                <w:rFonts w:hint="eastAsia"/>
                <w:color w:val="auto"/>
                <w:kern w:val="0"/>
                <w:sz w:val="24"/>
                <w:szCs w:val="24"/>
                <w:highlight w:val="none"/>
              </w:rPr>
              <w:t>4</w:t>
            </w:r>
          </w:p>
        </w:tc>
        <w:tc>
          <w:tcPr>
            <w:tcW w:w="809" w:type="pct"/>
            <w:vAlign w:val="center"/>
          </w:tcPr>
          <w:p>
            <w:pPr>
              <w:rPr>
                <w:color w:val="auto"/>
                <w:sz w:val="24"/>
                <w:szCs w:val="24"/>
                <w:highlight w:val="none"/>
              </w:rPr>
            </w:pPr>
            <w:r>
              <w:rPr>
                <w:rFonts w:hint="eastAsia"/>
                <w:color w:val="auto"/>
                <w:sz w:val="24"/>
                <w:szCs w:val="24"/>
                <w:highlight w:val="none"/>
              </w:rPr>
              <w:t>商务部分</w:t>
            </w:r>
          </w:p>
        </w:tc>
        <w:tc>
          <w:tcPr>
            <w:tcW w:w="1031" w:type="pct"/>
            <w:vAlign w:val="center"/>
          </w:tcPr>
          <w:p>
            <w:pPr>
              <w:rPr>
                <w:color w:val="auto"/>
                <w:sz w:val="24"/>
                <w:szCs w:val="24"/>
                <w:highlight w:val="none"/>
              </w:rPr>
            </w:pPr>
            <w:r>
              <w:rPr>
                <w:rFonts w:hint="eastAsia"/>
                <w:color w:val="auto"/>
                <w:sz w:val="24"/>
                <w:szCs w:val="24"/>
                <w:highlight w:val="none"/>
              </w:rPr>
              <w:t>投标文件内容</w:t>
            </w:r>
          </w:p>
        </w:tc>
        <w:tc>
          <w:tcPr>
            <w:tcW w:w="2809" w:type="pct"/>
            <w:vAlign w:val="center"/>
          </w:tcPr>
          <w:p>
            <w:pPr>
              <w:rPr>
                <w:color w:val="auto"/>
                <w:sz w:val="24"/>
                <w:szCs w:val="24"/>
                <w:highlight w:val="none"/>
                <w:lang w:val="zh-CN"/>
              </w:rPr>
            </w:pPr>
            <w:r>
              <w:rPr>
                <w:rFonts w:hint="eastAsia"/>
                <w:color w:val="auto"/>
                <w:sz w:val="24"/>
                <w:szCs w:val="24"/>
                <w:highlight w:val="none"/>
              </w:rPr>
              <w:t>对招标文件第三篇商务部分响应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50" w:type="pct"/>
            <w:vAlign w:val="center"/>
          </w:tcPr>
          <w:p>
            <w:pPr>
              <w:jc w:val="center"/>
              <w:rPr>
                <w:color w:val="auto"/>
                <w:kern w:val="0"/>
                <w:sz w:val="24"/>
                <w:szCs w:val="24"/>
                <w:highlight w:val="none"/>
              </w:rPr>
            </w:pPr>
            <w:r>
              <w:rPr>
                <w:rFonts w:hint="eastAsia"/>
                <w:color w:val="auto"/>
                <w:kern w:val="0"/>
                <w:sz w:val="24"/>
                <w:szCs w:val="24"/>
                <w:highlight w:val="none"/>
              </w:rPr>
              <w:t>5</w:t>
            </w:r>
          </w:p>
        </w:tc>
        <w:tc>
          <w:tcPr>
            <w:tcW w:w="809" w:type="pct"/>
            <w:vAlign w:val="center"/>
          </w:tcPr>
          <w:p>
            <w:pPr>
              <w:rPr>
                <w:color w:val="auto"/>
                <w:sz w:val="24"/>
                <w:szCs w:val="24"/>
                <w:highlight w:val="none"/>
              </w:rPr>
            </w:pPr>
            <w:r>
              <w:rPr>
                <w:rFonts w:hint="eastAsia"/>
                <w:color w:val="auto"/>
                <w:sz w:val="24"/>
                <w:szCs w:val="24"/>
                <w:highlight w:val="none"/>
              </w:rPr>
              <w:t>投标有效期</w:t>
            </w:r>
          </w:p>
        </w:tc>
        <w:tc>
          <w:tcPr>
            <w:tcW w:w="1031" w:type="pct"/>
            <w:vAlign w:val="center"/>
          </w:tcPr>
          <w:p>
            <w:pPr>
              <w:rPr>
                <w:color w:val="auto"/>
                <w:sz w:val="24"/>
                <w:szCs w:val="24"/>
                <w:highlight w:val="none"/>
              </w:rPr>
            </w:pPr>
            <w:r>
              <w:rPr>
                <w:rFonts w:hint="eastAsia"/>
                <w:color w:val="auto"/>
                <w:sz w:val="24"/>
                <w:szCs w:val="24"/>
                <w:highlight w:val="none"/>
              </w:rPr>
              <w:t>投标文件内容</w:t>
            </w:r>
          </w:p>
        </w:tc>
        <w:tc>
          <w:tcPr>
            <w:tcW w:w="2809" w:type="pct"/>
            <w:vAlign w:val="center"/>
          </w:tcPr>
          <w:p>
            <w:pPr>
              <w:rPr>
                <w:color w:val="auto"/>
                <w:sz w:val="24"/>
                <w:szCs w:val="24"/>
                <w:highlight w:val="none"/>
                <w:lang w:val="zh-CN"/>
              </w:rPr>
            </w:pPr>
            <w:r>
              <w:rPr>
                <w:rFonts w:hint="eastAsia"/>
                <w:color w:val="auto"/>
                <w:sz w:val="24"/>
                <w:szCs w:val="24"/>
                <w:highlight w:val="none"/>
              </w:rPr>
              <w:t>投标有效期为投标截止日期后九十天内</w:t>
            </w:r>
          </w:p>
        </w:tc>
      </w:tr>
    </w:tbl>
    <w:p>
      <w:pPr>
        <w:snapToGrid w:val="0"/>
        <w:spacing w:line="360" w:lineRule="auto"/>
        <w:ind w:firstLine="480" w:firstLineChars="200"/>
        <w:rPr>
          <w:color w:val="auto"/>
          <w:sz w:val="24"/>
          <w:szCs w:val="24"/>
          <w:highlight w:val="none"/>
        </w:rPr>
      </w:pPr>
      <w:r>
        <w:rPr>
          <w:rFonts w:hint="eastAsia" w:ascii="宋体" w:hAnsi="宋体"/>
          <w:color w:val="auto"/>
          <w:sz w:val="24"/>
          <w:szCs w:val="24"/>
          <w:highlight w:val="none"/>
        </w:rPr>
        <w:t>（二）</w:t>
      </w:r>
      <w:r>
        <w:rPr>
          <w:color w:val="auto"/>
          <w:sz w:val="24"/>
          <w:szCs w:val="24"/>
          <w:highlight w:val="none"/>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snapToGrid w:val="0"/>
        <w:spacing w:line="360" w:lineRule="auto"/>
        <w:ind w:firstLine="480" w:firstLineChars="200"/>
        <w:rPr>
          <w:color w:val="auto"/>
          <w:sz w:val="24"/>
          <w:szCs w:val="24"/>
          <w:highlight w:val="none"/>
        </w:rPr>
      </w:pPr>
      <w:r>
        <w:rPr>
          <w:rFonts w:hint="eastAsia" w:ascii="宋体" w:hAnsi="宋体"/>
          <w:color w:val="auto"/>
          <w:sz w:val="24"/>
          <w:szCs w:val="24"/>
          <w:highlight w:val="none"/>
        </w:rPr>
        <w:t>（三）</w:t>
      </w:r>
      <w:r>
        <w:rPr>
          <w:color w:val="auto"/>
          <w:sz w:val="24"/>
          <w:szCs w:val="24"/>
          <w:highlight w:val="none"/>
        </w:rPr>
        <w:t>比较与评价。按招标文件中规定的评标方法和标准，对资格性检查和符合性检查合格的投标文件进行商务和技术评估。</w:t>
      </w:r>
    </w:p>
    <w:p>
      <w:pPr>
        <w:snapToGrid w:val="0"/>
        <w:spacing w:line="360" w:lineRule="auto"/>
        <w:ind w:firstLine="480" w:firstLineChars="200"/>
        <w:rPr>
          <w:color w:val="auto"/>
          <w:sz w:val="24"/>
          <w:szCs w:val="24"/>
          <w:highlight w:val="none"/>
        </w:rPr>
      </w:pPr>
      <w:r>
        <w:rPr>
          <w:color w:val="auto"/>
          <w:sz w:val="24"/>
          <w:szCs w:val="24"/>
          <w:highlight w:val="none"/>
        </w:rPr>
        <w:t>评标委员会各成员独立对每个有效投标人（通过资格性检查、符合性检查的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pPr>
        <w:snapToGrid w:val="0"/>
        <w:spacing w:line="360" w:lineRule="auto"/>
        <w:ind w:firstLine="480" w:firstLineChars="200"/>
        <w:rPr>
          <w:color w:val="auto"/>
          <w:sz w:val="24"/>
          <w:szCs w:val="24"/>
          <w:highlight w:val="none"/>
        </w:rPr>
      </w:pPr>
      <w:r>
        <w:rPr>
          <w:color w:val="auto"/>
          <w:sz w:val="24"/>
          <w:szCs w:val="24"/>
          <w:highlight w:val="none"/>
        </w:rPr>
        <w:t>复核后，评标委员会汇总每个投标人每项评分因素的得分。</w:t>
      </w:r>
    </w:p>
    <w:p>
      <w:pPr>
        <w:snapToGrid w:val="0"/>
        <w:spacing w:line="360" w:lineRule="auto"/>
        <w:ind w:firstLine="480" w:firstLineChars="200"/>
        <w:rPr>
          <w:color w:val="auto"/>
          <w:sz w:val="24"/>
          <w:szCs w:val="24"/>
          <w:highlight w:val="none"/>
        </w:rPr>
      </w:pPr>
      <w:r>
        <w:rPr>
          <w:rFonts w:hint="eastAsia" w:ascii="宋体" w:hAnsi="宋体"/>
          <w:color w:val="auto"/>
          <w:sz w:val="24"/>
          <w:szCs w:val="24"/>
          <w:highlight w:val="none"/>
        </w:rPr>
        <w:t>（四）</w:t>
      </w:r>
      <w:r>
        <w:rPr>
          <w:color w:val="auto"/>
          <w:sz w:val="24"/>
          <w:szCs w:val="24"/>
          <w:highlight w:val="none"/>
        </w:rPr>
        <w:t>推荐中标候选人名单。</w:t>
      </w:r>
    </w:p>
    <w:p>
      <w:pPr>
        <w:snapToGrid w:val="0"/>
        <w:spacing w:line="400" w:lineRule="exact"/>
        <w:ind w:firstLine="480" w:firstLineChars="200"/>
        <w:rPr>
          <w:rFonts w:ascii="宋体" w:hAnsi="宋体" w:cs="宋体"/>
          <w:b/>
          <w:bCs/>
          <w:color w:val="auto"/>
          <w:sz w:val="24"/>
          <w:szCs w:val="24"/>
          <w:highlight w:val="none"/>
        </w:rPr>
      </w:pPr>
      <w:r>
        <w:rPr>
          <w:rFonts w:hint="eastAsia" w:ascii="宋体" w:hAnsi="宋体"/>
          <w:color w:val="auto"/>
          <w:sz w:val="24"/>
          <w:szCs w:val="24"/>
          <w:highlight w:val="none"/>
        </w:rPr>
        <w:t>按评审后得分由高到低的排列顺序</w:t>
      </w:r>
      <w:r>
        <w:rPr>
          <w:rFonts w:hint="eastAsia" w:ascii="宋体" w:hAnsi="宋体" w:cs="宋体"/>
          <w:color w:val="auto"/>
          <w:kern w:val="0"/>
          <w:sz w:val="24"/>
          <w:szCs w:val="24"/>
          <w:highlight w:val="none"/>
        </w:rPr>
        <w:t>推荐综合得分排名前三的投标人为本分包（项目）中标候选人，</w:t>
      </w:r>
      <w:r>
        <w:rPr>
          <w:rFonts w:hint="eastAsia" w:ascii="宋体" w:hAnsi="宋体"/>
          <w:color w:val="auto"/>
          <w:sz w:val="24"/>
          <w:szCs w:val="24"/>
          <w:highlight w:val="none"/>
        </w:rPr>
        <w:t>排名第一的为第一中标候选人。</w:t>
      </w:r>
      <w:r>
        <w:rPr>
          <w:rFonts w:hint="eastAsia"/>
          <w:color w:val="auto"/>
          <w:sz w:val="24"/>
          <w:szCs w:val="24"/>
          <w:highlight w:val="none"/>
        </w:rPr>
        <w:t>若综合得分相同的，按投标报价由低到高顺序排列；若综合得分且投标报价相同的，按技术部分由优到劣顺序排列；若综合得分、投标报价、技术部分均相同的，按商务部分由优到劣顺序排列。</w:t>
      </w:r>
    </w:p>
    <w:p>
      <w:pPr>
        <w:snapToGrid w:val="0"/>
        <w:spacing w:line="360" w:lineRule="auto"/>
        <w:rPr>
          <w:color w:val="auto"/>
          <w:sz w:val="24"/>
          <w:szCs w:val="24"/>
          <w:highlight w:val="none"/>
        </w:rPr>
      </w:pPr>
    </w:p>
    <w:p>
      <w:pPr>
        <w:pStyle w:val="4"/>
        <w:spacing w:line="240" w:lineRule="auto"/>
        <w:ind w:firstLine="562" w:firstLineChars="200"/>
        <w:rPr>
          <w:rFonts w:ascii="Times New Roman"/>
          <w:b/>
          <w:bCs/>
          <w:color w:val="auto"/>
          <w:highlight w:val="none"/>
        </w:rPr>
      </w:pPr>
      <w:bookmarkStart w:id="110" w:name="_Toc9450"/>
      <w:bookmarkStart w:id="111" w:name="_Toc22153"/>
      <w:bookmarkStart w:id="112" w:name="_Toc12083"/>
      <w:bookmarkStart w:id="113" w:name="_Toc530573510"/>
      <w:r>
        <w:rPr>
          <w:rFonts w:hint="eastAsia" w:ascii="Times New Roman"/>
          <w:b/>
          <w:bCs/>
          <w:color w:val="auto"/>
          <w:highlight w:val="none"/>
        </w:rPr>
        <w:t>三</w:t>
      </w:r>
      <w:r>
        <w:rPr>
          <w:rFonts w:ascii="Times New Roman"/>
          <w:b/>
          <w:bCs/>
          <w:color w:val="auto"/>
          <w:highlight w:val="none"/>
        </w:rPr>
        <w:t>、评标标准</w:t>
      </w:r>
      <w:bookmarkEnd w:id="110"/>
      <w:bookmarkEnd w:id="111"/>
      <w:bookmarkEnd w:id="112"/>
      <w:bookmarkEnd w:id="113"/>
    </w:p>
    <w:tbl>
      <w:tblPr>
        <w:tblStyle w:val="5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334"/>
        <w:gridCol w:w="708"/>
        <w:gridCol w:w="506"/>
        <w:gridCol w:w="362"/>
        <w:gridCol w:w="460"/>
        <w:gridCol w:w="158"/>
        <w:gridCol w:w="4111"/>
        <w:gridCol w:w="158"/>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gridSpan w:val="2"/>
            <w:vAlign w:val="center"/>
          </w:tcPr>
          <w:p>
            <w:pPr>
              <w:spacing w:line="240" w:lineRule="atLeast"/>
              <w:ind w:firstLine="28"/>
              <w:jc w:val="center"/>
              <w:rPr>
                <w:color w:val="auto"/>
                <w:sz w:val="24"/>
                <w:szCs w:val="24"/>
                <w:highlight w:val="none"/>
              </w:rPr>
            </w:pPr>
            <w:r>
              <w:rPr>
                <w:color w:val="auto"/>
                <w:sz w:val="24"/>
                <w:szCs w:val="24"/>
                <w:highlight w:val="none"/>
              </w:rPr>
              <w:t>序号</w:t>
            </w:r>
          </w:p>
        </w:tc>
        <w:tc>
          <w:tcPr>
            <w:tcW w:w="712" w:type="pct"/>
            <w:gridSpan w:val="2"/>
            <w:vAlign w:val="center"/>
          </w:tcPr>
          <w:p>
            <w:pPr>
              <w:spacing w:line="240" w:lineRule="atLeast"/>
              <w:ind w:firstLine="28"/>
              <w:jc w:val="center"/>
              <w:rPr>
                <w:color w:val="auto"/>
                <w:sz w:val="24"/>
                <w:szCs w:val="24"/>
                <w:highlight w:val="none"/>
              </w:rPr>
            </w:pPr>
            <w:r>
              <w:rPr>
                <w:color w:val="auto"/>
                <w:sz w:val="24"/>
                <w:szCs w:val="24"/>
                <w:highlight w:val="none"/>
              </w:rPr>
              <w:t>评分因素及权重</w:t>
            </w:r>
          </w:p>
        </w:tc>
        <w:tc>
          <w:tcPr>
            <w:tcW w:w="482" w:type="pct"/>
            <w:gridSpan w:val="2"/>
            <w:vAlign w:val="center"/>
          </w:tcPr>
          <w:p>
            <w:pPr>
              <w:spacing w:line="240" w:lineRule="atLeast"/>
              <w:ind w:firstLine="28"/>
              <w:jc w:val="center"/>
              <w:rPr>
                <w:color w:val="auto"/>
                <w:sz w:val="24"/>
                <w:szCs w:val="24"/>
                <w:highlight w:val="none"/>
              </w:rPr>
            </w:pPr>
            <w:r>
              <w:rPr>
                <w:color w:val="auto"/>
                <w:sz w:val="24"/>
                <w:szCs w:val="24"/>
                <w:highlight w:val="none"/>
              </w:rPr>
              <w:t>分值</w:t>
            </w:r>
          </w:p>
        </w:tc>
        <w:tc>
          <w:tcPr>
            <w:tcW w:w="2505" w:type="pct"/>
            <w:gridSpan w:val="2"/>
            <w:vAlign w:val="center"/>
          </w:tcPr>
          <w:p>
            <w:pPr>
              <w:spacing w:line="240" w:lineRule="atLeast"/>
              <w:ind w:firstLine="28"/>
              <w:jc w:val="center"/>
              <w:rPr>
                <w:color w:val="auto"/>
                <w:sz w:val="24"/>
                <w:szCs w:val="24"/>
                <w:highlight w:val="none"/>
              </w:rPr>
            </w:pPr>
            <w:r>
              <w:rPr>
                <w:color w:val="auto"/>
                <w:sz w:val="24"/>
                <w:szCs w:val="24"/>
                <w:highlight w:val="none"/>
              </w:rPr>
              <w:t>评分标准</w:t>
            </w:r>
          </w:p>
        </w:tc>
        <w:tc>
          <w:tcPr>
            <w:tcW w:w="891" w:type="pct"/>
            <w:gridSpan w:val="2"/>
            <w:vAlign w:val="center"/>
          </w:tcPr>
          <w:p>
            <w:pPr>
              <w:pStyle w:val="214"/>
              <w:spacing w:before="0" w:after="0" w:line="240" w:lineRule="atLeast"/>
              <w:rPr>
                <w:rFonts w:eastAsia="宋体"/>
                <w:b w:val="0"/>
                <w:bCs w:val="0"/>
                <w:color w:val="auto"/>
                <w:highlight w:val="none"/>
              </w:rPr>
            </w:pPr>
            <w:r>
              <w:rPr>
                <w:rFonts w:eastAsia="宋体"/>
                <w:b w:val="0"/>
                <w:bCs w:val="0"/>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gridSpan w:val="2"/>
            <w:vAlign w:val="center"/>
          </w:tcPr>
          <w:p>
            <w:pPr>
              <w:spacing w:line="240" w:lineRule="atLeast"/>
              <w:ind w:firstLine="28"/>
              <w:jc w:val="center"/>
              <w:rPr>
                <w:color w:val="auto"/>
                <w:sz w:val="24"/>
                <w:szCs w:val="24"/>
                <w:highlight w:val="none"/>
              </w:rPr>
            </w:pPr>
            <w:r>
              <w:rPr>
                <w:color w:val="auto"/>
                <w:sz w:val="24"/>
                <w:szCs w:val="24"/>
                <w:highlight w:val="none"/>
              </w:rPr>
              <w:t>1</w:t>
            </w:r>
          </w:p>
        </w:tc>
        <w:tc>
          <w:tcPr>
            <w:tcW w:w="712" w:type="pct"/>
            <w:gridSpan w:val="2"/>
            <w:vAlign w:val="center"/>
          </w:tcPr>
          <w:p>
            <w:pPr>
              <w:spacing w:line="240" w:lineRule="atLeast"/>
              <w:ind w:firstLine="28"/>
              <w:jc w:val="center"/>
              <w:rPr>
                <w:color w:val="auto"/>
                <w:sz w:val="24"/>
                <w:szCs w:val="24"/>
                <w:highlight w:val="none"/>
              </w:rPr>
            </w:pPr>
            <w:r>
              <w:rPr>
                <w:color w:val="auto"/>
                <w:sz w:val="24"/>
                <w:szCs w:val="24"/>
                <w:highlight w:val="none"/>
              </w:rPr>
              <w:t>投标报价</w:t>
            </w:r>
          </w:p>
          <w:p>
            <w:pPr>
              <w:spacing w:line="240" w:lineRule="atLeast"/>
              <w:ind w:firstLine="28"/>
              <w:jc w:val="center"/>
              <w:rPr>
                <w:color w:val="auto"/>
                <w:sz w:val="24"/>
                <w:szCs w:val="24"/>
                <w:highlight w:val="none"/>
              </w:rPr>
            </w:pPr>
            <w:r>
              <w:rPr>
                <w:color w:val="auto"/>
                <w:sz w:val="24"/>
                <w:szCs w:val="24"/>
                <w:highlight w:val="none"/>
              </w:rPr>
              <w:t>（</w:t>
            </w:r>
            <w:r>
              <w:rPr>
                <w:rFonts w:hint="eastAsia"/>
                <w:color w:val="auto"/>
                <w:sz w:val="24"/>
                <w:szCs w:val="24"/>
                <w:highlight w:val="none"/>
              </w:rPr>
              <w:t>20</w:t>
            </w:r>
            <w:r>
              <w:rPr>
                <w:color w:val="auto"/>
                <w:sz w:val="24"/>
                <w:szCs w:val="24"/>
                <w:highlight w:val="none"/>
              </w:rPr>
              <w:t>%）</w:t>
            </w:r>
          </w:p>
        </w:tc>
        <w:tc>
          <w:tcPr>
            <w:tcW w:w="482" w:type="pct"/>
            <w:gridSpan w:val="2"/>
            <w:vAlign w:val="center"/>
          </w:tcPr>
          <w:p>
            <w:pPr>
              <w:spacing w:line="240" w:lineRule="atLeast"/>
              <w:ind w:firstLine="28"/>
              <w:jc w:val="center"/>
              <w:rPr>
                <w:color w:val="auto"/>
                <w:sz w:val="24"/>
                <w:szCs w:val="24"/>
                <w:highlight w:val="none"/>
              </w:rPr>
            </w:pPr>
            <w:r>
              <w:rPr>
                <w:rFonts w:hint="eastAsia"/>
                <w:color w:val="auto"/>
                <w:sz w:val="24"/>
                <w:szCs w:val="24"/>
                <w:highlight w:val="none"/>
              </w:rPr>
              <w:t>20</w:t>
            </w:r>
            <w:r>
              <w:rPr>
                <w:color w:val="auto"/>
                <w:sz w:val="24"/>
                <w:szCs w:val="24"/>
                <w:highlight w:val="none"/>
              </w:rPr>
              <w:t>分</w:t>
            </w:r>
          </w:p>
        </w:tc>
        <w:tc>
          <w:tcPr>
            <w:tcW w:w="2505" w:type="pct"/>
            <w:gridSpan w:val="2"/>
            <w:vAlign w:val="center"/>
          </w:tcPr>
          <w:p>
            <w:pPr>
              <w:spacing w:line="240" w:lineRule="atLeast"/>
              <w:rPr>
                <w:color w:val="auto"/>
                <w:sz w:val="24"/>
                <w:szCs w:val="24"/>
                <w:highlight w:val="none"/>
              </w:rPr>
            </w:pPr>
            <w:r>
              <w:rPr>
                <w:color w:val="auto"/>
                <w:sz w:val="24"/>
                <w:szCs w:val="24"/>
                <w:highlight w:val="none"/>
              </w:rPr>
              <w:t>有效的投标报价中的最低价为评标基准价，按照下列公式计算每个投标人的投标价格得分。</w:t>
            </w:r>
          </w:p>
          <w:p>
            <w:pPr>
              <w:spacing w:line="240" w:lineRule="atLeast"/>
              <w:rPr>
                <w:color w:val="auto"/>
                <w:sz w:val="24"/>
                <w:szCs w:val="24"/>
                <w:highlight w:val="none"/>
              </w:rPr>
            </w:pPr>
            <w:r>
              <w:rPr>
                <w:color w:val="auto"/>
                <w:sz w:val="24"/>
                <w:szCs w:val="24"/>
                <w:highlight w:val="none"/>
              </w:rPr>
              <w:t>投标报价得分＝（评标基准价/投标报价）×</w:t>
            </w:r>
            <w:r>
              <w:rPr>
                <w:rFonts w:hint="eastAsia"/>
                <w:color w:val="auto"/>
                <w:sz w:val="24"/>
                <w:szCs w:val="24"/>
                <w:highlight w:val="none"/>
              </w:rPr>
              <w:t>20</w:t>
            </w:r>
            <w:r>
              <w:rPr>
                <w:color w:val="auto"/>
                <w:sz w:val="24"/>
                <w:szCs w:val="24"/>
                <w:highlight w:val="none"/>
              </w:rPr>
              <w:t>%×100。</w:t>
            </w:r>
          </w:p>
        </w:tc>
        <w:tc>
          <w:tcPr>
            <w:tcW w:w="891" w:type="pct"/>
            <w:gridSpan w:val="2"/>
            <w:vAlign w:val="center"/>
          </w:tcPr>
          <w:p>
            <w:pPr>
              <w:pStyle w:val="19"/>
              <w:spacing w:line="240" w:lineRule="atLeast"/>
              <w:ind w:left="-38"/>
              <w:rPr>
                <w:color w:val="auto"/>
                <w:sz w:val="24"/>
                <w:szCs w:val="24"/>
                <w:highlight w:val="none"/>
              </w:rPr>
            </w:pPr>
            <w:r>
              <w:rPr>
                <w:color w:val="auto"/>
                <w:sz w:val="24"/>
                <w:szCs w:val="24"/>
                <w:highlight w:val="none"/>
              </w:rPr>
              <w:t>对小型和微型企业的价格给予6%-10%的扣除，用扣除后的价格参与评审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gridSpan w:val="2"/>
            <w:vMerge w:val="restart"/>
            <w:vAlign w:val="center"/>
          </w:tcPr>
          <w:p>
            <w:pPr>
              <w:spacing w:line="240" w:lineRule="atLeast"/>
              <w:ind w:firstLine="28"/>
              <w:jc w:val="center"/>
              <w:rPr>
                <w:color w:val="auto"/>
                <w:sz w:val="24"/>
                <w:szCs w:val="24"/>
                <w:highlight w:val="none"/>
              </w:rPr>
            </w:pPr>
            <w:r>
              <w:rPr>
                <w:color w:val="auto"/>
                <w:sz w:val="24"/>
                <w:szCs w:val="24"/>
                <w:highlight w:val="none"/>
              </w:rPr>
              <w:t>2</w:t>
            </w:r>
          </w:p>
        </w:tc>
        <w:tc>
          <w:tcPr>
            <w:tcW w:w="712" w:type="pct"/>
            <w:gridSpan w:val="2"/>
            <w:vMerge w:val="restart"/>
            <w:vAlign w:val="center"/>
          </w:tcPr>
          <w:p>
            <w:pPr>
              <w:spacing w:line="240" w:lineRule="atLeast"/>
              <w:ind w:firstLine="28"/>
              <w:jc w:val="center"/>
              <w:rPr>
                <w:color w:val="auto"/>
                <w:sz w:val="24"/>
                <w:szCs w:val="24"/>
                <w:highlight w:val="none"/>
              </w:rPr>
            </w:pPr>
            <w:r>
              <w:rPr>
                <w:color w:val="auto"/>
                <w:sz w:val="24"/>
                <w:szCs w:val="24"/>
                <w:highlight w:val="none"/>
              </w:rPr>
              <w:t>技术部分</w:t>
            </w:r>
          </w:p>
          <w:p>
            <w:pPr>
              <w:spacing w:line="240" w:lineRule="atLeast"/>
              <w:ind w:firstLine="28"/>
              <w:jc w:val="center"/>
              <w:rPr>
                <w:color w:val="auto"/>
                <w:sz w:val="24"/>
                <w:szCs w:val="24"/>
                <w:highlight w:val="none"/>
              </w:rPr>
            </w:pPr>
            <w:r>
              <w:rPr>
                <w:color w:val="auto"/>
                <w:sz w:val="24"/>
                <w:szCs w:val="24"/>
                <w:highlight w:val="none"/>
              </w:rPr>
              <w:t>（4</w:t>
            </w:r>
            <w:r>
              <w:rPr>
                <w:rFonts w:hint="eastAsia"/>
                <w:color w:val="auto"/>
                <w:sz w:val="24"/>
                <w:szCs w:val="24"/>
                <w:highlight w:val="none"/>
              </w:rPr>
              <w:t>0</w:t>
            </w:r>
            <w:r>
              <w:rPr>
                <w:color w:val="auto"/>
                <w:sz w:val="24"/>
                <w:szCs w:val="24"/>
                <w:highlight w:val="none"/>
              </w:rPr>
              <w:t>%）</w:t>
            </w:r>
          </w:p>
        </w:tc>
        <w:tc>
          <w:tcPr>
            <w:tcW w:w="482" w:type="pct"/>
            <w:gridSpan w:val="2"/>
            <w:vMerge w:val="restart"/>
            <w:vAlign w:val="center"/>
          </w:tcPr>
          <w:p>
            <w:pPr>
              <w:spacing w:line="240" w:lineRule="atLeast"/>
              <w:ind w:firstLine="28"/>
              <w:jc w:val="center"/>
              <w:rPr>
                <w:color w:val="auto"/>
                <w:sz w:val="24"/>
                <w:szCs w:val="24"/>
                <w:highlight w:val="none"/>
              </w:rPr>
            </w:pPr>
            <w:r>
              <w:rPr>
                <w:color w:val="auto"/>
                <w:sz w:val="24"/>
                <w:szCs w:val="24"/>
                <w:highlight w:val="none"/>
              </w:rPr>
              <w:t>4</w:t>
            </w:r>
            <w:r>
              <w:rPr>
                <w:rFonts w:hint="eastAsia"/>
                <w:color w:val="auto"/>
                <w:sz w:val="24"/>
                <w:szCs w:val="24"/>
                <w:highlight w:val="none"/>
              </w:rPr>
              <w:t>0</w:t>
            </w:r>
            <w:r>
              <w:rPr>
                <w:color w:val="auto"/>
                <w:sz w:val="24"/>
                <w:szCs w:val="24"/>
                <w:highlight w:val="none"/>
              </w:rPr>
              <w:t>分</w:t>
            </w:r>
          </w:p>
        </w:tc>
        <w:tc>
          <w:tcPr>
            <w:tcW w:w="2505" w:type="pct"/>
            <w:gridSpan w:val="2"/>
            <w:vAlign w:val="center"/>
          </w:tcPr>
          <w:p>
            <w:pPr>
              <w:spacing w:line="240" w:lineRule="atLeast"/>
              <w:rPr>
                <w:color w:val="auto"/>
                <w:kern w:val="0"/>
                <w:sz w:val="24"/>
                <w:szCs w:val="24"/>
                <w:highlight w:val="none"/>
              </w:rPr>
            </w:pPr>
            <w:r>
              <w:rPr>
                <w:color w:val="auto"/>
                <w:kern w:val="0"/>
                <w:sz w:val="24"/>
                <w:szCs w:val="24"/>
                <w:highlight w:val="none"/>
              </w:rPr>
              <w:t>2.1、对项目的理解（0-</w:t>
            </w:r>
            <w:r>
              <w:rPr>
                <w:rFonts w:hint="eastAsia"/>
                <w:color w:val="auto"/>
                <w:kern w:val="0"/>
                <w:sz w:val="24"/>
                <w:szCs w:val="24"/>
                <w:highlight w:val="none"/>
              </w:rPr>
              <w:t>3</w:t>
            </w:r>
            <w:r>
              <w:rPr>
                <w:color w:val="auto"/>
                <w:kern w:val="0"/>
                <w:sz w:val="24"/>
                <w:szCs w:val="24"/>
                <w:highlight w:val="none"/>
              </w:rPr>
              <w:t>分）</w:t>
            </w:r>
          </w:p>
          <w:p>
            <w:pPr>
              <w:spacing w:line="240" w:lineRule="atLeast"/>
              <w:rPr>
                <w:color w:val="auto"/>
                <w:kern w:val="0"/>
                <w:sz w:val="24"/>
                <w:szCs w:val="24"/>
                <w:highlight w:val="none"/>
              </w:rPr>
            </w:pPr>
            <w:r>
              <w:rPr>
                <w:color w:val="auto"/>
                <w:kern w:val="0"/>
                <w:sz w:val="24"/>
                <w:szCs w:val="24"/>
                <w:highlight w:val="none"/>
              </w:rPr>
              <w:t>2.1.1、对“黑臭水体”的理解（0-</w:t>
            </w:r>
            <w:r>
              <w:rPr>
                <w:rFonts w:hint="eastAsia"/>
                <w:color w:val="auto"/>
                <w:kern w:val="0"/>
                <w:sz w:val="24"/>
                <w:szCs w:val="24"/>
                <w:highlight w:val="none"/>
              </w:rPr>
              <w:t>1</w:t>
            </w:r>
            <w:r>
              <w:rPr>
                <w:color w:val="auto"/>
                <w:kern w:val="0"/>
                <w:sz w:val="24"/>
                <w:szCs w:val="24"/>
                <w:highlight w:val="none"/>
              </w:rPr>
              <w:t>分）：了解黑臭水体项目背景，对本项目黑臭水体流域概况、基本情况描述详实，酌情得分。</w:t>
            </w:r>
          </w:p>
          <w:p>
            <w:pPr>
              <w:spacing w:line="240" w:lineRule="atLeast"/>
              <w:rPr>
                <w:color w:val="auto"/>
                <w:kern w:val="0"/>
                <w:sz w:val="24"/>
                <w:szCs w:val="24"/>
                <w:highlight w:val="none"/>
              </w:rPr>
            </w:pPr>
            <w:r>
              <w:rPr>
                <w:color w:val="auto"/>
                <w:kern w:val="0"/>
                <w:sz w:val="24"/>
                <w:szCs w:val="24"/>
                <w:highlight w:val="none"/>
              </w:rPr>
              <w:t>2.1.2、对“清水绿岸”的理解（0-1分）：</w:t>
            </w:r>
          </w:p>
          <w:p>
            <w:pPr>
              <w:spacing w:line="240" w:lineRule="atLeast"/>
              <w:rPr>
                <w:color w:val="auto"/>
                <w:kern w:val="0"/>
                <w:sz w:val="24"/>
                <w:szCs w:val="24"/>
                <w:highlight w:val="none"/>
              </w:rPr>
            </w:pPr>
            <w:r>
              <w:rPr>
                <w:color w:val="auto"/>
                <w:kern w:val="0"/>
                <w:sz w:val="24"/>
                <w:szCs w:val="24"/>
                <w:highlight w:val="none"/>
              </w:rPr>
              <w:t>了解清水绿岸实施背景得1分，否则不得分。</w:t>
            </w:r>
          </w:p>
          <w:p>
            <w:pPr>
              <w:spacing w:line="240" w:lineRule="atLeast"/>
              <w:rPr>
                <w:color w:val="auto"/>
                <w:kern w:val="0"/>
                <w:sz w:val="24"/>
                <w:szCs w:val="24"/>
                <w:highlight w:val="none"/>
              </w:rPr>
            </w:pPr>
            <w:r>
              <w:rPr>
                <w:color w:val="auto"/>
                <w:kern w:val="0"/>
                <w:sz w:val="24"/>
                <w:szCs w:val="24"/>
                <w:highlight w:val="none"/>
              </w:rPr>
              <w:t>2.1.3、政策的理解（0-</w:t>
            </w:r>
            <w:r>
              <w:rPr>
                <w:rFonts w:hint="eastAsia"/>
                <w:color w:val="auto"/>
                <w:kern w:val="0"/>
                <w:sz w:val="24"/>
                <w:szCs w:val="24"/>
                <w:highlight w:val="none"/>
              </w:rPr>
              <w:t>1</w:t>
            </w:r>
            <w:r>
              <w:rPr>
                <w:color w:val="auto"/>
                <w:kern w:val="0"/>
                <w:sz w:val="24"/>
                <w:szCs w:val="24"/>
                <w:highlight w:val="none"/>
              </w:rPr>
              <w:t>分）：对国家及重庆市相关政策文件理解到位，条理清晰，酌情得分。</w:t>
            </w:r>
          </w:p>
        </w:tc>
        <w:tc>
          <w:tcPr>
            <w:tcW w:w="891" w:type="pct"/>
            <w:gridSpan w:val="2"/>
            <w:vMerge w:val="restart"/>
            <w:vAlign w:val="center"/>
          </w:tcPr>
          <w:p>
            <w:pPr>
              <w:spacing w:line="240" w:lineRule="atLeast"/>
              <w:rPr>
                <w:b/>
                <w:bCs/>
                <w:color w:val="auto"/>
                <w:sz w:val="24"/>
                <w:szCs w:val="24"/>
                <w:highlight w:val="none"/>
              </w:rPr>
            </w:pPr>
            <w:r>
              <w:rPr>
                <w:color w:val="auto"/>
                <w:kern w:val="0"/>
                <w:sz w:val="24"/>
                <w:szCs w:val="24"/>
                <w:highlight w:val="none"/>
              </w:rPr>
              <w:t>注：联合体投标，</w:t>
            </w:r>
            <w:r>
              <w:rPr>
                <w:rFonts w:hint="eastAsia"/>
                <w:color w:val="auto"/>
                <w:kern w:val="0"/>
                <w:sz w:val="24"/>
                <w:szCs w:val="24"/>
                <w:highlight w:val="none"/>
              </w:rPr>
              <w:t>技术部分</w:t>
            </w:r>
            <w:r>
              <w:rPr>
                <w:color w:val="auto"/>
                <w:kern w:val="0"/>
                <w:sz w:val="24"/>
                <w:szCs w:val="24"/>
                <w:highlight w:val="none"/>
              </w:rPr>
              <w:t>由牵头单位提供。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jc w:val="center"/>
        </w:trPr>
        <w:tc>
          <w:tcPr>
            <w:tcW w:w="408" w:type="pct"/>
            <w:gridSpan w:val="2"/>
            <w:vMerge w:val="continue"/>
            <w:vAlign w:val="center"/>
          </w:tcPr>
          <w:p>
            <w:pPr>
              <w:spacing w:line="240" w:lineRule="atLeast"/>
              <w:ind w:firstLine="28"/>
              <w:jc w:val="center"/>
              <w:rPr>
                <w:color w:val="auto"/>
                <w:sz w:val="24"/>
                <w:szCs w:val="24"/>
                <w:highlight w:val="none"/>
              </w:rPr>
            </w:pPr>
          </w:p>
        </w:tc>
        <w:tc>
          <w:tcPr>
            <w:tcW w:w="712" w:type="pct"/>
            <w:gridSpan w:val="2"/>
            <w:vMerge w:val="continue"/>
            <w:vAlign w:val="center"/>
          </w:tcPr>
          <w:p>
            <w:pPr>
              <w:spacing w:line="240" w:lineRule="atLeast"/>
              <w:ind w:firstLine="28"/>
              <w:jc w:val="center"/>
              <w:rPr>
                <w:color w:val="auto"/>
                <w:sz w:val="24"/>
                <w:szCs w:val="24"/>
                <w:highlight w:val="none"/>
              </w:rPr>
            </w:pPr>
          </w:p>
        </w:tc>
        <w:tc>
          <w:tcPr>
            <w:tcW w:w="482" w:type="pct"/>
            <w:gridSpan w:val="2"/>
            <w:vMerge w:val="continue"/>
            <w:vAlign w:val="center"/>
          </w:tcPr>
          <w:p>
            <w:pPr>
              <w:spacing w:line="240" w:lineRule="atLeast"/>
              <w:ind w:firstLine="28"/>
              <w:jc w:val="center"/>
              <w:rPr>
                <w:color w:val="auto"/>
                <w:sz w:val="24"/>
                <w:szCs w:val="24"/>
                <w:highlight w:val="none"/>
              </w:rPr>
            </w:pPr>
          </w:p>
        </w:tc>
        <w:tc>
          <w:tcPr>
            <w:tcW w:w="2505" w:type="pct"/>
            <w:gridSpan w:val="2"/>
            <w:vAlign w:val="center"/>
          </w:tcPr>
          <w:p>
            <w:pPr>
              <w:spacing w:line="240" w:lineRule="atLeast"/>
              <w:rPr>
                <w:color w:val="auto"/>
                <w:kern w:val="0"/>
                <w:sz w:val="24"/>
                <w:szCs w:val="24"/>
                <w:highlight w:val="none"/>
              </w:rPr>
            </w:pPr>
            <w:r>
              <w:rPr>
                <w:color w:val="auto"/>
                <w:kern w:val="0"/>
                <w:sz w:val="24"/>
                <w:szCs w:val="24"/>
                <w:highlight w:val="none"/>
              </w:rPr>
              <w:t>2.2、黑臭水体现场巡查方案（0-14分）</w:t>
            </w:r>
          </w:p>
          <w:p>
            <w:pPr>
              <w:spacing w:line="240" w:lineRule="atLeast"/>
              <w:rPr>
                <w:color w:val="auto"/>
                <w:kern w:val="0"/>
                <w:sz w:val="24"/>
                <w:szCs w:val="24"/>
                <w:highlight w:val="none"/>
              </w:rPr>
            </w:pPr>
            <w:r>
              <w:rPr>
                <w:color w:val="auto"/>
                <w:kern w:val="0"/>
                <w:sz w:val="24"/>
                <w:szCs w:val="24"/>
                <w:highlight w:val="none"/>
              </w:rPr>
              <w:t>2.2.1、现状情况（0-5分）：对黑臭水体沿线情况熟悉、描述详尽得5分，情况较熟悉、描述较详尽得3分，否则不得分。</w:t>
            </w:r>
          </w:p>
          <w:p>
            <w:pPr>
              <w:spacing w:line="240" w:lineRule="atLeast"/>
              <w:rPr>
                <w:color w:val="auto"/>
                <w:kern w:val="0"/>
                <w:sz w:val="24"/>
                <w:szCs w:val="24"/>
                <w:highlight w:val="none"/>
              </w:rPr>
            </w:pPr>
            <w:r>
              <w:rPr>
                <w:color w:val="auto"/>
                <w:kern w:val="0"/>
                <w:sz w:val="24"/>
                <w:szCs w:val="24"/>
                <w:highlight w:val="none"/>
              </w:rPr>
              <w:t>2.2.2、排口情况（0-5分）：对黑臭水体沿线排口熟悉、描述详尽（雨污性质、溢流情况等）得5分，情况较熟悉、描述较详尽得3分，否则不得分。</w:t>
            </w:r>
          </w:p>
          <w:p>
            <w:pPr>
              <w:spacing w:line="240" w:lineRule="atLeast"/>
              <w:rPr>
                <w:color w:val="auto"/>
                <w:kern w:val="0"/>
                <w:sz w:val="24"/>
                <w:szCs w:val="24"/>
                <w:highlight w:val="none"/>
              </w:rPr>
            </w:pPr>
            <w:r>
              <w:rPr>
                <w:color w:val="auto"/>
                <w:kern w:val="0"/>
                <w:sz w:val="24"/>
                <w:szCs w:val="24"/>
                <w:highlight w:val="none"/>
              </w:rPr>
              <w:t>2.2.3、居民诉求及问题分析（0-2分）：采取民意调查、技术分析等手段梳理水体问题。了解周边居民诉求并能准确梳理水体问题得2分，梳理水体问题得1分，否则不得分。</w:t>
            </w:r>
          </w:p>
          <w:p>
            <w:pPr>
              <w:spacing w:line="240" w:lineRule="atLeast"/>
              <w:rPr>
                <w:color w:val="auto"/>
                <w:sz w:val="24"/>
                <w:szCs w:val="24"/>
                <w:highlight w:val="none"/>
              </w:rPr>
            </w:pPr>
            <w:r>
              <w:rPr>
                <w:color w:val="auto"/>
                <w:kern w:val="0"/>
                <w:sz w:val="24"/>
                <w:szCs w:val="24"/>
                <w:highlight w:val="none"/>
              </w:rPr>
              <w:t>2.2.4、巡查方案合理性（0-2分）：巡查方案合理、安全且与现场实际结合紧密得2分，巡查方案合理、安全得1分，否则不得分。</w:t>
            </w:r>
          </w:p>
        </w:tc>
        <w:tc>
          <w:tcPr>
            <w:tcW w:w="891" w:type="pct"/>
            <w:gridSpan w:val="2"/>
            <w:vMerge w:val="continue"/>
            <w:vAlign w:val="center"/>
          </w:tcPr>
          <w:p>
            <w:pPr>
              <w:spacing w:line="240" w:lineRule="atLeas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408" w:type="pct"/>
            <w:gridSpan w:val="2"/>
            <w:vMerge w:val="continue"/>
            <w:vAlign w:val="center"/>
          </w:tcPr>
          <w:p>
            <w:pPr>
              <w:spacing w:line="240" w:lineRule="atLeast"/>
              <w:ind w:firstLine="28"/>
              <w:jc w:val="center"/>
              <w:rPr>
                <w:color w:val="auto"/>
                <w:sz w:val="24"/>
                <w:szCs w:val="24"/>
                <w:highlight w:val="none"/>
              </w:rPr>
            </w:pPr>
          </w:p>
        </w:tc>
        <w:tc>
          <w:tcPr>
            <w:tcW w:w="712" w:type="pct"/>
            <w:gridSpan w:val="2"/>
            <w:vMerge w:val="continue"/>
            <w:vAlign w:val="center"/>
          </w:tcPr>
          <w:p>
            <w:pPr>
              <w:spacing w:line="240" w:lineRule="atLeast"/>
              <w:ind w:firstLine="28"/>
              <w:jc w:val="center"/>
              <w:rPr>
                <w:color w:val="auto"/>
                <w:sz w:val="24"/>
                <w:szCs w:val="24"/>
                <w:highlight w:val="none"/>
              </w:rPr>
            </w:pPr>
          </w:p>
        </w:tc>
        <w:tc>
          <w:tcPr>
            <w:tcW w:w="482" w:type="pct"/>
            <w:gridSpan w:val="2"/>
            <w:vMerge w:val="continue"/>
            <w:vAlign w:val="center"/>
          </w:tcPr>
          <w:p>
            <w:pPr>
              <w:spacing w:line="240" w:lineRule="atLeast"/>
              <w:ind w:firstLine="28"/>
              <w:jc w:val="center"/>
              <w:rPr>
                <w:color w:val="auto"/>
                <w:sz w:val="24"/>
                <w:szCs w:val="24"/>
                <w:highlight w:val="none"/>
              </w:rPr>
            </w:pPr>
          </w:p>
        </w:tc>
        <w:tc>
          <w:tcPr>
            <w:tcW w:w="2505" w:type="pct"/>
            <w:gridSpan w:val="2"/>
            <w:vAlign w:val="center"/>
          </w:tcPr>
          <w:p>
            <w:pPr>
              <w:spacing w:line="240" w:lineRule="atLeast"/>
              <w:rPr>
                <w:color w:val="auto"/>
                <w:kern w:val="0"/>
                <w:sz w:val="24"/>
                <w:szCs w:val="24"/>
                <w:highlight w:val="none"/>
              </w:rPr>
            </w:pPr>
            <w:r>
              <w:rPr>
                <w:color w:val="auto"/>
                <w:kern w:val="0"/>
                <w:sz w:val="24"/>
                <w:szCs w:val="24"/>
                <w:highlight w:val="none"/>
              </w:rPr>
              <w:t>2.3、检测布点（0-1</w:t>
            </w:r>
            <w:r>
              <w:rPr>
                <w:rFonts w:hint="eastAsia"/>
                <w:color w:val="auto"/>
                <w:kern w:val="0"/>
                <w:sz w:val="24"/>
                <w:szCs w:val="24"/>
                <w:highlight w:val="none"/>
              </w:rPr>
              <w:t>5</w:t>
            </w:r>
            <w:r>
              <w:rPr>
                <w:color w:val="auto"/>
                <w:kern w:val="0"/>
                <w:sz w:val="24"/>
                <w:szCs w:val="24"/>
                <w:highlight w:val="none"/>
              </w:rPr>
              <w:t>分）</w:t>
            </w:r>
          </w:p>
          <w:p>
            <w:pPr>
              <w:spacing w:line="240" w:lineRule="atLeast"/>
              <w:rPr>
                <w:color w:val="auto"/>
                <w:kern w:val="0"/>
                <w:sz w:val="24"/>
                <w:szCs w:val="24"/>
                <w:highlight w:val="none"/>
              </w:rPr>
            </w:pPr>
            <w:r>
              <w:rPr>
                <w:color w:val="auto"/>
                <w:kern w:val="0"/>
                <w:sz w:val="24"/>
                <w:szCs w:val="24"/>
                <w:highlight w:val="none"/>
              </w:rPr>
              <w:t>2.3.1、黑臭水体布点方案（0-</w:t>
            </w:r>
            <w:r>
              <w:rPr>
                <w:rFonts w:hint="eastAsia"/>
                <w:color w:val="auto"/>
                <w:kern w:val="0"/>
                <w:sz w:val="24"/>
                <w:szCs w:val="24"/>
                <w:highlight w:val="none"/>
              </w:rPr>
              <w:t>7</w:t>
            </w:r>
            <w:r>
              <w:rPr>
                <w:color w:val="auto"/>
                <w:kern w:val="0"/>
                <w:sz w:val="24"/>
                <w:szCs w:val="24"/>
                <w:highlight w:val="none"/>
              </w:rPr>
              <w:t>分）：布点方案符合“第二篇</w:t>
            </w:r>
            <w:r>
              <w:rPr>
                <w:color w:val="auto"/>
                <w:kern w:val="0"/>
                <w:sz w:val="24"/>
                <w:szCs w:val="24"/>
                <w:highlight w:val="none"/>
              </w:rPr>
              <w:tab/>
            </w:r>
            <w:r>
              <w:rPr>
                <w:color w:val="auto"/>
                <w:kern w:val="0"/>
                <w:sz w:val="24"/>
                <w:szCs w:val="24"/>
                <w:highlight w:val="none"/>
              </w:rPr>
              <w:t>项目技术规格、数量及质量要求”中的“编制黑臭水体监督性检测布点方案”要求以及《城市黑臭水体整治工作指南》，并在地图上清楚标示且布点位置结合现场实际、具有可实施性得</w:t>
            </w:r>
            <w:r>
              <w:rPr>
                <w:rFonts w:hint="eastAsia"/>
                <w:color w:val="auto"/>
                <w:kern w:val="0"/>
                <w:sz w:val="24"/>
                <w:szCs w:val="24"/>
                <w:highlight w:val="none"/>
              </w:rPr>
              <w:t>7</w:t>
            </w:r>
            <w:r>
              <w:rPr>
                <w:color w:val="auto"/>
                <w:kern w:val="0"/>
                <w:sz w:val="24"/>
                <w:szCs w:val="24"/>
                <w:highlight w:val="none"/>
              </w:rPr>
              <w:t>分；布点方案符合“编制黑臭水体监督性检测布点方案”要求以及《城市黑臭水体整治工作指南》，且在地图上清楚标示布点位置得</w:t>
            </w:r>
            <w:r>
              <w:rPr>
                <w:rFonts w:hint="eastAsia"/>
                <w:color w:val="auto"/>
                <w:kern w:val="0"/>
                <w:sz w:val="24"/>
                <w:szCs w:val="24"/>
                <w:highlight w:val="none"/>
              </w:rPr>
              <w:t>4</w:t>
            </w:r>
            <w:r>
              <w:rPr>
                <w:color w:val="auto"/>
                <w:kern w:val="0"/>
                <w:sz w:val="24"/>
                <w:szCs w:val="24"/>
                <w:highlight w:val="none"/>
              </w:rPr>
              <w:t>分；布点方案符合“编制黑臭水体监督性检测布点方案”要求以及《城市黑臭水体整治工作指南》得2分，否则不得分。</w:t>
            </w:r>
          </w:p>
          <w:p>
            <w:pPr>
              <w:spacing w:line="240" w:lineRule="atLeast"/>
              <w:rPr>
                <w:color w:val="auto"/>
                <w:kern w:val="0"/>
                <w:sz w:val="24"/>
                <w:szCs w:val="24"/>
                <w:highlight w:val="none"/>
              </w:rPr>
            </w:pPr>
            <w:r>
              <w:rPr>
                <w:color w:val="auto"/>
                <w:kern w:val="0"/>
                <w:sz w:val="24"/>
                <w:szCs w:val="24"/>
                <w:highlight w:val="none"/>
              </w:rPr>
              <w:t>2.3.2、湖库布点方案（0-5分）：布点方案符合“第二篇</w:t>
            </w:r>
            <w:r>
              <w:rPr>
                <w:color w:val="auto"/>
                <w:kern w:val="0"/>
                <w:sz w:val="24"/>
                <w:szCs w:val="24"/>
                <w:highlight w:val="none"/>
              </w:rPr>
              <w:tab/>
            </w:r>
            <w:r>
              <w:rPr>
                <w:color w:val="auto"/>
                <w:kern w:val="0"/>
                <w:sz w:val="24"/>
                <w:szCs w:val="24"/>
                <w:highlight w:val="none"/>
              </w:rPr>
              <w:t>项目技术规格、数量及质量要求”中的“编制56个湖库监督性检测布点方案”要求以及《地表水和污水监测技术规范》HJ/T91-2002，并在地图上清楚标示且布点位置结合现场实际、具有可实施性得5分；布点方案符合“编制56个湖库监督性检测布点方案”要求以及《地表水和污水监测技术规范》HJ/T91-2002，并在地图上清楚标示布点位置得3分，布点方案符合“编制56个湖库监督性检测布点方案”要求得1分，否则不得分。</w:t>
            </w:r>
          </w:p>
          <w:p>
            <w:pPr>
              <w:spacing w:line="240" w:lineRule="atLeast"/>
              <w:rPr>
                <w:color w:val="auto"/>
                <w:kern w:val="0"/>
                <w:sz w:val="24"/>
                <w:szCs w:val="24"/>
                <w:highlight w:val="none"/>
              </w:rPr>
            </w:pPr>
            <w:r>
              <w:rPr>
                <w:color w:val="auto"/>
                <w:kern w:val="0"/>
                <w:sz w:val="24"/>
                <w:szCs w:val="24"/>
                <w:highlight w:val="none"/>
              </w:rPr>
              <w:t>2.3.3、“清水绿岸”布点方案（0-3分）：布点方案符合“第二篇</w:t>
            </w:r>
            <w:r>
              <w:rPr>
                <w:color w:val="auto"/>
                <w:kern w:val="0"/>
                <w:sz w:val="24"/>
                <w:szCs w:val="24"/>
                <w:highlight w:val="none"/>
              </w:rPr>
              <w:tab/>
            </w:r>
            <w:r>
              <w:rPr>
                <w:color w:val="auto"/>
                <w:kern w:val="0"/>
                <w:sz w:val="24"/>
                <w:szCs w:val="24"/>
                <w:highlight w:val="none"/>
              </w:rPr>
              <w:t>项目技术规格、数量及质量要求”中“‘清水绿岸’20条河流水质监督性</w:t>
            </w:r>
            <w:r>
              <w:rPr>
                <w:rFonts w:hint="eastAsia"/>
                <w:color w:val="auto"/>
                <w:kern w:val="0"/>
                <w:sz w:val="24"/>
                <w:szCs w:val="24"/>
                <w:highlight w:val="none"/>
              </w:rPr>
              <w:t>检测</w:t>
            </w:r>
            <w:r>
              <w:rPr>
                <w:color w:val="auto"/>
                <w:kern w:val="0"/>
                <w:sz w:val="24"/>
                <w:szCs w:val="24"/>
                <w:highlight w:val="none"/>
              </w:rPr>
              <w:t>布点方案”要求，并在地图上清楚标示且布点位置结合现场实际、具有可实施性得3分；布点方案符合“‘清水绿岸’20条河流水质监督性</w:t>
            </w:r>
            <w:r>
              <w:rPr>
                <w:rFonts w:hint="eastAsia"/>
                <w:color w:val="auto"/>
                <w:kern w:val="0"/>
                <w:sz w:val="24"/>
                <w:szCs w:val="24"/>
                <w:highlight w:val="none"/>
              </w:rPr>
              <w:t>检测</w:t>
            </w:r>
            <w:r>
              <w:rPr>
                <w:color w:val="auto"/>
                <w:kern w:val="0"/>
                <w:sz w:val="24"/>
                <w:szCs w:val="24"/>
                <w:highlight w:val="none"/>
              </w:rPr>
              <w:t>布点方案”要求，并在地图上清楚标示布点位置得2分，布点方案符合“‘清水绿岸’20条河流水质监督性</w:t>
            </w:r>
            <w:r>
              <w:rPr>
                <w:rFonts w:hint="eastAsia"/>
                <w:color w:val="auto"/>
                <w:kern w:val="0"/>
                <w:sz w:val="24"/>
                <w:szCs w:val="24"/>
                <w:highlight w:val="none"/>
              </w:rPr>
              <w:t>检测</w:t>
            </w:r>
            <w:r>
              <w:rPr>
                <w:color w:val="auto"/>
                <w:kern w:val="0"/>
                <w:sz w:val="24"/>
                <w:szCs w:val="24"/>
                <w:highlight w:val="none"/>
              </w:rPr>
              <w:t>布点方案”要求得1分，否则不得分。</w:t>
            </w:r>
          </w:p>
        </w:tc>
        <w:tc>
          <w:tcPr>
            <w:tcW w:w="891" w:type="pct"/>
            <w:gridSpan w:val="2"/>
            <w:vMerge w:val="continue"/>
            <w:vAlign w:val="center"/>
          </w:tcPr>
          <w:p>
            <w:pPr>
              <w:spacing w:line="240" w:lineRule="atLeas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gridSpan w:val="2"/>
            <w:vMerge w:val="continue"/>
            <w:vAlign w:val="center"/>
          </w:tcPr>
          <w:p>
            <w:pPr>
              <w:spacing w:line="240" w:lineRule="atLeast"/>
              <w:ind w:firstLine="28"/>
              <w:jc w:val="center"/>
              <w:rPr>
                <w:color w:val="auto"/>
                <w:sz w:val="24"/>
                <w:szCs w:val="24"/>
                <w:highlight w:val="none"/>
              </w:rPr>
            </w:pPr>
          </w:p>
        </w:tc>
        <w:tc>
          <w:tcPr>
            <w:tcW w:w="712" w:type="pct"/>
            <w:gridSpan w:val="2"/>
            <w:vMerge w:val="continue"/>
            <w:vAlign w:val="center"/>
          </w:tcPr>
          <w:p>
            <w:pPr>
              <w:spacing w:line="240" w:lineRule="atLeast"/>
              <w:ind w:firstLine="28"/>
              <w:jc w:val="center"/>
              <w:rPr>
                <w:color w:val="auto"/>
                <w:sz w:val="24"/>
                <w:szCs w:val="24"/>
                <w:highlight w:val="none"/>
              </w:rPr>
            </w:pPr>
          </w:p>
        </w:tc>
        <w:tc>
          <w:tcPr>
            <w:tcW w:w="482" w:type="pct"/>
            <w:gridSpan w:val="2"/>
            <w:vMerge w:val="continue"/>
            <w:vAlign w:val="center"/>
          </w:tcPr>
          <w:p>
            <w:pPr>
              <w:spacing w:line="240" w:lineRule="atLeast"/>
              <w:ind w:firstLine="28"/>
              <w:jc w:val="center"/>
              <w:rPr>
                <w:color w:val="auto"/>
                <w:sz w:val="24"/>
                <w:szCs w:val="24"/>
                <w:highlight w:val="none"/>
              </w:rPr>
            </w:pPr>
          </w:p>
        </w:tc>
        <w:tc>
          <w:tcPr>
            <w:tcW w:w="2505" w:type="pct"/>
            <w:gridSpan w:val="2"/>
            <w:vAlign w:val="center"/>
          </w:tcPr>
          <w:p>
            <w:pPr>
              <w:spacing w:line="240" w:lineRule="atLeast"/>
              <w:rPr>
                <w:color w:val="auto"/>
                <w:kern w:val="0"/>
                <w:sz w:val="24"/>
                <w:szCs w:val="24"/>
                <w:highlight w:val="none"/>
              </w:rPr>
            </w:pPr>
            <w:r>
              <w:rPr>
                <w:color w:val="auto"/>
                <w:kern w:val="0"/>
                <w:sz w:val="24"/>
                <w:szCs w:val="24"/>
                <w:highlight w:val="none"/>
              </w:rPr>
              <w:t>2.4、水质检测</w:t>
            </w:r>
            <w:r>
              <w:rPr>
                <w:rFonts w:hint="eastAsia"/>
                <w:color w:val="auto"/>
                <w:kern w:val="0"/>
                <w:sz w:val="24"/>
                <w:szCs w:val="24"/>
                <w:highlight w:val="none"/>
              </w:rPr>
              <w:t>与分析</w:t>
            </w:r>
            <w:r>
              <w:rPr>
                <w:color w:val="auto"/>
                <w:kern w:val="0"/>
                <w:sz w:val="24"/>
                <w:szCs w:val="24"/>
                <w:highlight w:val="none"/>
              </w:rPr>
              <w:t xml:space="preserve"> (0-</w:t>
            </w:r>
            <w:r>
              <w:rPr>
                <w:rFonts w:hint="eastAsia"/>
                <w:color w:val="auto"/>
                <w:kern w:val="0"/>
                <w:sz w:val="24"/>
                <w:szCs w:val="24"/>
                <w:highlight w:val="none"/>
              </w:rPr>
              <w:t>8</w:t>
            </w:r>
            <w:r>
              <w:rPr>
                <w:color w:val="auto"/>
                <w:kern w:val="0"/>
                <w:sz w:val="24"/>
                <w:szCs w:val="24"/>
                <w:highlight w:val="none"/>
              </w:rPr>
              <w:t>分)</w:t>
            </w:r>
          </w:p>
          <w:p>
            <w:pPr>
              <w:spacing w:line="240" w:lineRule="atLeast"/>
              <w:rPr>
                <w:color w:val="auto"/>
                <w:kern w:val="0"/>
                <w:sz w:val="24"/>
                <w:szCs w:val="24"/>
                <w:highlight w:val="none"/>
              </w:rPr>
            </w:pPr>
            <w:r>
              <w:rPr>
                <w:color w:val="auto"/>
                <w:kern w:val="0"/>
                <w:sz w:val="24"/>
                <w:szCs w:val="24"/>
                <w:highlight w:val="none"/>
              </w:rPr>
              <w:t>2.4.1、工作进度安排（0-</w:t>
            </w:r>
            <w:r>
              <w:rPr>
                <w:rFonts w:hint="eastAsia"/>
                <w:color w:val="auto"/>
                <w:kern w:val="0"/>
                <w:sz w:val="24"/>
                <w:szCs w:val="24"/>
                <w:highlight w:val="none"/>
              </w:rPr>
              <w:t>2</w:t>
            </w:r>
            <w:r>
              <w:rPr>
                <w:color w:val="auto"/>
                <w:kern w:val="0"/>
                <w:sz w:val="24"/>
                <w:szCs w:val="24"/>
                <w:highlight w:val="none"/>
              </w:rPr>
              <w:t>分）：进度安排合理，人员、车辆及检测设备配置充足。酌情得分。</w:t>
            </w:r>
          </w:p>
          <w:p>
            <w:pPr>
              <w:spacing w:line="240" w:lineRule="atLeast"/>
              <w:rPr>
                <w:color w:val="auto"/>
                <w:kern w:val="0"/>
                <w:sz w:val="24"/>
                <w:szCs w:val="24"/>
                <w:highlight w:val="none"/>
              </w:rPr>
            </w:pPr>
            <w:r>
              <w:rPr>
                <w:color w:val="auto"/>
                <w:kern w:val="0"/>
                <w:sz w:val="24"/>
                <w:szCs w:val="24"/>
                <w:highlight w:val="none"/>
              </w:rPr>
              <w:t>2.4.2、水质检测（0-</w:t>
            </w:r>
            <w:r>
              <w:rPr>
                <w:rFonts w:hint="eastAsia"/>
                <w:color w:val="auto"/>
                <w:kern w:val="0"/>
                <w:sz w:val="24"/>
                <w:szCs w:val="24"/>
                <w:highlight w:val="none"/>
              </w:rPr>
              <w:t>3</w:t>
            </w:r>
            <w:r>
              <w:rPr>
                <w:color w:val="auto"/>
                <w:kern w:val="0"/>
                <w:sz w:val="24"/>
                <w:szCs w:val="24"/>
                <w:highlight w:val="none"/>
              </w:rPr>
              <w:t>分）：采取规范的方法对水质进行采样、检测、分析、判定。酌情得分。</w:t>
            </w:r>
          </w:p>
          <w:p>
            <w:pPr>
              <w:spacing w:line="240" w:lineRule="atLeast"/>
              <w:rPr>
                <w:color w:val="auto"/>
                <w:kern w:val="0"/>
                <w:sz w:val="24"/>
                <w:szCs w:val="24"/>
                <w:highlight w:val="none"/>
              </w:rPr>
            </w:pPr>
            <w:r>
              <w:rPr>
                <w:color w:val="auto"/>
                <w:kern w:val="0"/>
                <w:sz w:val="24"/>
                <w:szCs w:val="24"/>
                <w:highlight w:val="none"/>
              </w:rPr>
              <w:t>2.4.3、水质数据分析</w:t>
            </w:r>
            <w:r>
              <w:rPr>
                <w:rFonts w:hint="eastAsia"/>
                <w:color w:val="auto"/>
                <w:kern w:val="0"/>
                <w:sz w:val="24"/>
                <w:szCs w:val="24"/>
                <w:highlight w:val="none"/>
              </w:rPr>
              <w:t>方案</w:t>
            </w:r>
            <w:r>
              <w:rPr>
                <w:color w:val="auto"/>
                <w:kern w:val="0"/>
                <w:sz w:val="24"/>
                <w:szCs w:val="24"/>
                <w:highlight w:val="none"/>
              </w:rPr>
              <w:t>（0-3分）：分析依据准确、分析内容及思路清晰、分析方法科学合理。酌情得分。</w:t>
            </w:r>
          </w:p>
        </w:tc>
        <w:tc>
          <w:tcPr>
            <w:tcW w:w="891" w:type="pct"/>
            <w:gridSpan w:val="2"/>
            <w:vAlign w:val="center"/>
          </w:tcPr>
          <w:p>
            <w:pPr>
              <w:spacing w:line="240" w:lineRule="atLeas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00" w:type="pct"/>
            <w:gridSpan w:val="10"/>
            <w:vAlign w:val="center"/>
          </w:tcPr>
          <w:p>
            <w:pPr>
              <w:spacing w:line="240" w:lineRule="atLeast"/>
              <w:rPr>
                <w:color w:val="auto"/>
                <w:sz w:val="24"/>
                <w:szCs w:val="24"/>
                <w:highlight w:val="none"/>
              </w:rPr>
            </w:pPr>
            <w:r>
              <w:rPr>
                <w:color w:val="auto"/>
                <w:kern w:val="0"/>
                <w:sz w:val="24"/>
                <w:szCs w:val="24"/>
                <w:highlight w:val="none"/>
              </w:rPr>
              <w:t>投标人的应答应满足招标文件“第三篇项目商务要求”，实施时间、付款方式不满足招标文件要求的为无效投标，其它商务要求有一条不满足的，商务部分得分为0分。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212" w:type="pct"/>
            <w:vAlign w:val="center"/>
          </w:tcPr>
          <w:p>
            <w:pPr>
              <w:spacing w:line="240" w:lineRule="atLeast"/>
              <w:ind w:firstLine="28"/>
              <w:jc w:val="center"/>
              <w:rPr>
                <w:color w:val="auto"/>
                <w:sz w:val="24"/>
                <w:szCs w:val="24"/>
                <w:highlight w:val="none"/>
              </w:rPr>
            </w:pPr>
            <w:r>
              <w:rPr>
                <w:color w:val="auto"/>
                <w:sz w:val="24"/>
                <w:szCs w:val="24"/>
                <w:highlight w:val="none"/>
              </w:rPr>
              <w:t>3</w:t>
            </w:r>
          </w:p>
        </w:tc>
        <w:tc>
          <w:tcPr>
            <w:tcW w:w="611" w:type="pct"/>
            <w:gridSpan w:val="2"/>
            <w:vAlign w:val="center"/>
          </w:tcPr>
          <w:p>
            <w:pPr>
              <w:spacing w:line="240" w:lineRule="atLeast"/>
              <w:ind w:firstLine="28"/>
              <w:jc w:val="center"/>
              <w:rPr>
                <w:color w:val="auto"/>
                <w:sz w:val="24"/>
                <w:szCs w:val="24"/>
                <w:highlight w:val="none"/>
              </w:rPr>
            </w:pPr>
            <w:r>
              <w:rPr>
                <w:color w:val="auto"/>
                <w:sz w:val="24"/>
                <w:szCs w:val="24"/>
                <w:highlight w:val="none"/>
              </w:rPr>
              <w:t>商务部分（</w:t>
            </w:r>
            <w:r>
              <w:rPr>
                <w:rFonts w:hint="eastAsia"/>
                <w:color w:val="auto"/>
                <w:sz w:val="24"/>
                <w:szCs w:val="24"/>
                <w:highlight w:val="none"/>
              </w:rPr>
              <w:t>40</w:t>
            </w:r>
            <w:r>
              <w:rPr>
                <w:color w:val="auto"/>
                <w:sz w:val="24"/>
                <w:szCs w:val="24"/>
                <w:highlight w:val="none"/>
              </w:rPr>
              <w:t>%）</w:t>
            </w:r>
          </w:p>
        </w:tc>
        <w:tc>
          <w:tcPr>
            <w:tcW w:w="509" w:type="pct"/>
            <w:gridSpan w:val="2"/>
            <w:vAlign w:val="center"/>
          </w:tcPr>
          <w:p>
            <w:pPr>
              <w:spacing w:line="240" w:lineRule="atLeast"/>
              <w:ind w:firstLine="28"/>
              <w:jc w:val="center"/>
              <w:rPr>
                <w:color w:val="auto"/>
                <w:sz w:val="24"/>
                <w:szCs w:val="24"/>
                <w:highlight w:val="none"/>
              </w:rPr>
            </w:pPr>
            <w:r>
              <w:rPr>
                <w:color w:val="auto"/>
                <w:sz w:val="24"/>
                <w:szCs w:val="24"/>
                <w:highlight w:val="none"/>
              </w:rPr>
              <w:t>业绩</w:t>
            </w:r>
          </w:p>
          <w:p>
            <w:pPr>
              <w:spacing w:line="240" w:lineRule="atLeast"/>
              <w:ind w:firstLine="28"/>
              <w:jc w:val="center"/>
              <w:rPr>
                <w:color w:val="auto"/>
                <w:sz w:val="24"/>
                <w:szCs w:val="24"/>
                <w:highlight w:val="none"/>
              </w:rPr>
            </w:pPr>
            <w:r>
              <w:rPr>
                <w:color w:val="auto"/>
                <w:sz w:val="24"/>
                <w:szCs w:val="24"/>
                <w:highlight w:val="none"/>
              </w:rPr>
              <w:t>（</w:t>
            </w:r>
            <w:r>
              <w:rPr>
                <w:rFonts w:hint="eastAsia"/>
                <w:color w:val="auto"/>
                <w:sz w:val="24"/>
                <w:szCs w:val="24"/>
                <w:highlight w:val="none"/>
              </w:rPr>
              <w:t>40</w:t>
            </w:r>
            <w:r>
              <w:rPr>
                <w:color w:val="auto"/>
                <w:sz w:val="24"/>
                <w:szCs w:val="24"/>
                <w:highlight w:val="none"/>
              </w:rPr>
              <w:t>%）</w:t>
            </w:r>
          </w:p>
        </w:tc>
        <w:tc>
          <w:tcPr>
            <w:tcW w:w="363" w:type="pct"/>
            <w:gridSpan w:val="2"/>
            <w:vAlign w:val="center"/>
          </w:tcPr>
          <w:p>
            <w:pPr>
              <w:spacing w:line="240" w:lineRule="atLeast"/>
              <w:ind w:firstLine="28"/>
              <w:jc w:val="center"/>
              <w:rPr>
                <w:color w:val="auto"/>
                <w:sz w:val="24"/>
                <w:szCs w:val="24"/>
                <w:highlight w:val="none"/>
              </w:rPr>
            </w:pPr>
            <w:r>
              <w:rPr>
                <w:rFonts w:hint="eastAsia"/>
                <w:color w:val="auto"/>
                <w:sz w:val="24"/>
                <w:szCs w:val="24"/>
                <w:highlight w:val="none"/>
              </w:rPr>
              <w:t>40</w:t>
            </w:r>
            <w:r>
              <w:rPr>
                <w:color w:val="auto"/>
                <w:sz w:val="24"/>
                <w:szCs w:val="24"/>
                <w:highlight w:val="none"/>
              </w:rPr>
              <w:t>分</w:t>
            </w:r>
          </w:p>
        </w:tc>
        <w:tc>
          <w:tcPr>
            <w:tcW w:w="2505" w:type="pct"/>
            <w:gridSpan w:val="2"/>
            <w:vAlign w:val="center"/>
          </w:tcPr>
          <w:p>
            <w:pPr>
              <w:numPr>
                <w:ilvl w:val="255"/>
                <w:numId w:val="0"/>
              </w:numPr>
              <w:spacing w:line="240" w:lineRule="atLeast"/>
              <w:rPr>
                <w:color w:val="auto"/>
                <w:kern w:val="0"/>
                <w:sz w:val="24"/>
                <w:szCs w:val="24"/>
                <w:highlight w:val="none"/>
              </w:rPr>
            </w:pPr>
            <w:r>
              <w:rPr>
                <w:color w:val="auto"/>
                <w:kern w:val="0"/>
                <w:sz w:val="24"/>
                <w:szCs w:val="24"/>
                <w:highlight w:val="none"/>
              </w:rPr>
              <w:t>3.1、管理体系认证证书（0-</w:t>
            </w:r>
            <w:r>
              <w:rPr>
                <w:rFonts w:hint="eastAsia"/>
                <w:color w:val="auto"/>
                <w:kern w:val="0"/>
                <w:sz w:val="24"/>
                <w:szCs w:val="24"/>
                <w:highlight w:val="none"/>
              </w:rPr>
              <w:t>3</w:t>
            </w:r>
            <w:r>
              <w:rPr>
                <w:color w:val="auto"/>
                <w:kern w:val="0"/>
                <w:sz w:val="24"/>
                <w:szCs w:val="24"/>
                <w:highlight w:val="none"/>
              </w:rPr>
              <w:t>分）：具备有效的质量管理体系认证证书、职业健康安全管理体系证书、环境管理体系证书的，有一项得</w:t>
            </w:r>
            <w:r>
              <w:rPr>
                <w:rFonts w:hint="eastAsia"/>
                <w:color w:val="auto"/>
                <w:kern w:val="0"/>
                <w:sz w:val="24"/>
                <w:szCs w:val="24"/>
                <w:highlight w:val="none"/>
              </w:rPr>
              <w:t>1</w:t>
            </w:r>
            <w:r>
              <w:rPr>
                <w:color w:val="auto"/>
                <w:kern w:val="0"/>
                <w:sz w:val="24"/>
                <w:szCs w:val="24"/>
                <w:highlight w:val="none"/>
              </w:rPr>
              <w:t>分。</w:t>
            </w:r>
          </w:p>
          <w:p>
            <w:pPr>
              <w:numPr>
                <w:ilvl w:val="255"/>
                <w:numId w:val="0"/>
              </w:numPr>
              <w:spacing w:line="240" w:lineRule="atLeast"/>
              <w:ind w:firstLine="480" w:firstLineChars="200"/>
              <w:rPr>
                <w:color w:val="auto"/>
                <w:kern w:val="0"/>
                <w:sz w:val="24"/>
                <w:szCs w:val="24"/>
                <w:highlight w:val="none"/>
              </w:rPr>
            </w:pPr>
            <w:r>
              <w:rPr>
                <w:color w:val="auto"/>
                <w:kern w:val="0"/>
                <w:sz w:val="24"/>
                <w:szCs w:val="24"/>
                <w:highlight w:val="none"/>
              </w:rPr>
              <w:t>注：须在投标文件中</w:t>
            </w:r>
            <w:r>
              <w:rPr>
                <w:rFonts w:hint="eastAsia" w:ascii="宋体" w:hAnsi="宋体" w:cs="宋体"/>
                <w:color w:val="auto"/>
                <w:kern w:val="0"/>
                <w:sz w:val="24"/>
                <w:szCs w:val="24"/>
                <w:highlight w:val="none"/>
              </w:rPr>
              <w:t>提供证书复印件并加盖单位公章</w:t>
            </w:r>
            <w:r>
              <w:rPr>
                <w:color w:val="auto"/>
                <w:kern w:val="0"/>
                <w:sz w:val="24"/>
                <w:szCs w:val="24"/>
                <w:highlight w:val="none"/>
              </w:rPr>
              <w:t>，原件备查</w:t>
            </w:r>
            <w:r>
              <w:rPr>
                <w:rFonts w:hint="eastAsia" w:ascii="宋体" w:hAnsi="宋体" w:cs="宋体"/>
                <w:color w:val="auto"/>
                <w:kern w:val="0"/>
                <w:sz w:val="24"/>
                <w:szCs w:val="24"/>
                <w:highlight w:val="none"/>
              </w:rPr>
              <w:t>。</w:t>
            </w:r>
            <w:r>
              <w:rPr>
                <w:color w:val="auto"/>
                <w:kern w:val="0"/>
                <w:sz w:val="24"/>
                <w:szCs w:val="24"/>
                <w:highlight w:val="none"/>
              </w:rPr>
              <w:t>联合体投标，管理体系认证证书由牵头单位提供。</w:t>
            </w:r>
          </w:p>
          <w:p>
            <w:pPr>
              <w:widowControl/>
              <w:rPr>
                <w:rFonts w:ascii="宋体" w:hAnsi="宋体" w:cs="宋体"/>
                <w:color w:val="auto"/>
                <w:kern w:val="0"/>
                <w:sz w:val="24"/>
                <w:szCs w:val="24"/>
                <w:highlight w:val="none"/>
              </w:rPr>
            </w:pPr>
            <w:r>
              <w:rPr>
                <w:color w:val="auto"/>
                <w:kern w:val="0"/>
                <w:sz w:val="24"/>
                <w:szCs w:val="24"/>
                <w:highlight w:val="none"/>
              </w:rPr>
              <w:t>3.2、</w:t>
            </w:r>
            <w:r>
              <w:rPr>
                <w:rFonts w:hint="eastAsia" w:ascii="宋体" w:hAnsi="宋体" w:cs="宋体"/>
                <w:color w:val="auto"/>
                <w:kern w:val="0"/>
                <w:sz w:val="24"/>
                <w:szCs w:val="24"/>
                <w:highlight w:val="none"/>
              </w:rPr>
              <w:t>项目负责人</w:t>
            </w:r>
            <w:r>
              <w:rPr>
                <w:color w:val="auto"/>
                <w:kern w:val="0"/>
                <w:sz w:val="24"/>
                <w:szCs w:val="24"/>
                <w:highlight w:val="none"/>
              </w:rPr>
              <w:t>（0-</w:t>
            </w:r>
            <w:r>
              <w:rPr>
                <w:rFonts w:hint="eastAsia"/>
                <w:color w:val="auto"/>
                <w:kern w:val="0"/>
                <w:sz w:val="24"/>
                <w:szCs w:val="24"/>
                <w:highlight w:val="none"/>
              </w:rPr>
              <w:t>3</w:t>
            </w:r>
            <w:r>
              <w:rPr>
                <w:color w:val="auto"/>
                <w:kern w:val="0"/>
                <w:sz w:val="24"/>
                <w:szCs w:val="24"/>
                <w:highlight w:val="none"/>
              </w:rPr>
              <w:t>分）：</w:t>
            </w:r>
            <w:r>
              <w:rPr>
                <w:rFonts w:hint="eastAsia" w:ascii="宋体" w:hAnsi="宋体" w:cs="宋体"/>
                <w:color w:val="auto"/>
                <w:kern w:val="0"/>
                <w:sz w:val="24"/>
                <w:szCs w:val="24"/>
                <w:highlight w:val="none"/>
              </w:rPr>
              <w:t>投标人拟派驻本项目的项目负责人具有注册公用设备工程师（给排水）、注册工程咨询师、教授级高级工程师职称的证书，有1项得1分，最高得3分。</w:t>
            </w:r>
          </w:p>
          <w:p>
            <w:pPr>
              <w:pStyle w:val="55"/>
              <w:spacing w:line="240" w:lineRule="auto"/>
              <w:ind w:firstLine="480" w:firstLineChars="200"/>
              <w:rPr>
                <w:color w:val="auto"/>
                <w:sz w:val="24"/>
                <w:szCs w:val="24"/>
                <w:highlight w:val="none"/>
              </w:rPr>
            </w:pPr>
            <w:r>
              <w:rPr>
                <w:rFonts w:hint="eastAsia" w:ascii="宋体" w:hAnsi="宋体" w:cs="宋体"/>
                <w:color w:val="auto"/>
                <w:sz w:val="24"/>
                <w:szCs w:val="24"/>
                <w:highlight w:val="none"/>
              </w:rPr>
              <w:t>注：</w:t>
            </w:r>
            <w:r>
              <w:rPr>
                <w:color w:val="auto"/>
                <w:sz w:val="24"/>
                <w:szCs w:val="24"/>
                <w:highlight w:val="none"/>
              </w:rPr>
              <w:t>须在投标文件中</w:t>
            </w:r>
            <w:r>
              <w:rPr>
                <w:rFonts w:hint="eastAsia" w:ascii="宋体" w:hAnsi="宋体" w:cs="宋体"/>
                <w:color w:val="auto"/>
                <w:sz w:val="24"/>
                <w:szCs w:val="24"/>
                <w:highlight w:val="none"/>
              </w:rPr>
              <w:t>提供证书复印件并加盖单位公章</w:t>
            </w:r>
            <w:r>
              <w:rPr>
                <w:color w:val="auto"/>
                <w:sz w:val="24"/>
                <w:szCs w:val="24"/>
                <w:highlight w:val="none"/>
              </w:rPr>
              <w:t>，原件备查</w:t>
            </w:r>
            <w:r>
              <w:rPr>
                <w:rFonts w:hint="eastAsia" w:ascii="宋体" w:hAnsi="宋体" w:cs="宋体"/>
                <w:color w:val="auto"/>
                <w:sz w:val="24"/>
                <w:szCs w:val="24"/>
                <w:highlight w:val="none"/>
              </w:rPr>
              <w:t>。</w:t>
            </w:r>
          </w:p>
          <w:p>
            <w:pPr>
              <w:numPr>
                <w:ilvl w:val="255"/>
                <w:numId w:val="0"/>
              </w:numPr>
              <w:spacing w:line="240" w:lineRule="atLeast"/>
              <w:rPr>
                <w:color w:val="auto"/>
                <w:kern w:val="0"/>
                <w:sz w:val="24"/>
                <w:szCs w:val="24"/>
                <w:highlight w:val="none"/>
              </w:rPr>
            </w:pPr>
          </w:p>
          <w:p>
            <w:pPr>
              <w:numPr>
                <w:ilvl w:val="255"/>
                <w:numId w:val="0"/>
              </w:numPr>
              <w:spacing w:line="240" w:lineRule="atLeast"/>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3</w:t>
            </w:r>
            <w:r>
              <w:rPr>
                <w:color w:val="auto"/>
                <w:kern w:val="0"/>
                <w:sz w:val="24"/>
                <w:szCs w:val="24"/>
                <w:highlight w:val="none"/>
              </w:rPr>
              <w:t>、评估能力（0-</w:t>
            </w:r>
            <w:r>
              <w:rPr>
                <w:rFonts w:hint="eastAsia"/>
                <w:color w:val="auto"/>
                <w:kern w:val="0"/>
                <w:sz w:val="24"/>
                <w:szCs w:val="24"/>
                <w:highlight w:val="none"/>
              </w:rPr>
              <w:t>12</w:t>
            </w:r>
            <w:r>
              <w:rPr>
                <w:color w:val="auto"/>
                <w:kern w:val="0"/>
                <w:sz w:val="24"/>
                <w:szCs w:val="24"/>
                <w:highlight w:val="none"/>
              </w:rPr>
              <w:t>分）：</w:t>
            </w:r>
            <w:r>
              <w:rPr>
                <w:rFonts w:hint="eastAsia"/>
                <w:color w:val="auto"/>
                <w:kern w:val="0"/>
                <w:sz w:val="24"/>
                <w:szCs w:val="24"/>
                <w:highlight w:val="none"/>
              </w:rPr>
              <w:t>自</w:t>
            </w:r>
            <w:r>
              <w:rPr>
                <w:color w:val="auto"/>
                <w:kern w:val="0"/>
                <w:sz w:val="24"/>
                <w:szCs w:val="24"/>
                <w:highlight w:val="none"/>
              </w:rPr>
              <w:t>201</w:t>
            </w:r>
            <w:r>
              <w:rPr>
                <w:rFonts w:hint="eastAsia"/>
                <w:color w:val="auto"/>
                <w:kern w:val="0"/>
                <w:sz w:val="24"/>
                <w:szCs w:val="24"/>
                <w:highlight w:val="none"/>
              </w:rPr>
              <w:t>6</w:t>
            </w:r>
            <w:r>
              <w:rPr>
                <w:color w:val="auto"/>
                <w:kern w:val="0"/>
                <w:sz w:val="24"/>
                <w:szCs w:val="24"/>
                <w:highlight w:val="none"/>
              </w:rPr>
              <w:t>年1月1日起至今，投标人开展过黑臭水体整治</w:t>
            </w:r>
            <w:r>
              <w:rPr>
                <w:rFonts w:hint="eastAsia"/>
                <w:color w:val="auto"/>
                <w:kern w:val="0"/>
                <w:sz w:val="24"/>
                <w:szCs w:val="24"/>
                <w:highlight w:val="none"/>
              </w:rPr>
              <w:t>初见成效或长制久清</w:t>
            </w:r>
            <w:r>
              <w:rPr>
                <w:color w:val="auto"/>
                <w:kern w:val="0"/>
                <w:sz w:val="24"/>
                <w:szCs w:val="24"/>
                <w:highlight w:val="none"/>
              </w:rPr>
              <w:t>效果评估工作的，每一个业绩得1分，累计得分不超过</w:t>
            </w:r>
            <w:r>
              <w:rPr>
                <w:rFonts w:hint="eastAsia"/>
                <w:color w:val="auto"/>
                <w:kern w:val="0"/>
                <w:sz w:val="24"/>
                <w:szCs w:val="24"/>
                <w:highlight w:val="none"/>
              </w:rPr>
              <w:t>12</w:t>
            </w:r>
            <w:r>
              <w:rPr>
                <w:color w:val="auto"/>
                <w:kern w:val="0"/>
                <w:sz w:val="24"/>
                <w:szCs w:val="24"/>
                <w:highlight w:val="none"/>
              </w:rPr>
              <w:t>分。</w:t>
            </w:r>
          </w:p>
          <w:p>
            <w:pPr>
              <w:numPr>
                <w:ilvl w:val="255"/>
                <w:numId w:val="0"/>
              </w:numPr>
              <w:spacing w:line="240" w:lineRule="atLeast"/>
              <w:ind w:firstLine="480" w:firstLineChars="200"/>
              <w:rPr>
                <w:color w:val="auto"/>
                <w:kern w:val="0"/>
                <w:sz w:val="24"/>
                <w:szCs w:val="24"/>
                <w:highlight w:val="none"/>
              </w:rPr>
            </w:pPr>
            <w:r>
              <w:rPr>
                <w:color w:val="auto"/>
                <w:kern w:val="0"/>
                <w:sz w:val="24"/>
                <w:szCs w:val="24"/>
                <w:highlight w:val="none"/>
              </w:rPr>
              <w:t>注：须在投标文件中提供上述评估合同复印件并加盖公章，原件备查。</w:t>
            </w:r>
          </w:p>
          <w:p>
            <w:pPr>
              <w:numPr>
                <w:ilvl w:val="255"/>
                <w:numId w:val="0"/>
              </w:numPr>
              <w:spacing w:line="240" w:lineRule="atLeast"/>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4</w:t>
            </w:r>
            <w:r>
              <w:rPr>
                <w:color w:val="auto"/>
                <w:kern w:val="0"/>
                <w:sz w:val="24"/>
                <w:szCs w:val="24"/>
                <w:highlight w:val="none"/>
              </w:rPr>
              <w:t>、检测能力（0-1</w:t>
            </w:r>
            <w:r>
              <w:rPr>
                <w:rFonts w:hint="eastAsia"/>
                <w:color w:val="auto"/>
                <w:kern w:val="0"/>
                <w:sz w:val="24"/>
                <w:szCs w:val="24"/>
                <w:highlight w:val="none"/>
              </w:rPr>
              <w:t>2</w:t>
            </w:r>
            <w:r>
              <w:rPr>
                <w:color w:val="auto"/>
                <w:kern w:val="0"/>
                <w:sz w:val="24"/>
                <w:szCs w:val="24"/>
                <w:highlight w:val="none"/>
              </w:rPr>
              <w:t>分）：</w:t>
            </w:r>
            <w:r>
              <w:rPr>
                <w:rFonts w:hint="eastAsia"/>
                <w:color w:val="auto"/>
                <w:kern w:val="0"/>
                <w:sz w:val="24"/>
                <w:szCs w:val="24"/>
                <w:highlight w:val="none"/>
              </w:rPr>
              <w:t>自</w:t>
            </w:r>
            <w:r>
              <w:rPr>
                <w:color w:val="auto"/>
                <w:kern w:val="0"/>
                <w:sz w:val="24"/>
                <w:szCs w:val="24"/>
                <w:highlight w:val="none"/>
              </w:rPr>
              <w:t>201</w:t>
            </w:r>
            <w:r>
              <w:rPr>
                <w:rFonts w:hint="eastAsia"/>
                <w:color w:val="auto"/>
                <w:kern w:val="0"/>
                <w:sz w:val="24"/>
                <w:szCs w:val="24"/>
                <w:highlight w:val="none"/>
              </w:rPr>
              <w:t>6</w:t>
            </w:r>
            <w:r>
              <w:rPr>
                <w:color w:val="auto"/>
                <w:kern w:val="0"/>
                <w:sz w:val="24"/>
                <w:szCs w:val="24"/>
                <w:highlight w:val="none"/>
              </w:rPr>
              <w:t>年1月1日起至今，投标人开展过黑臭水体水质检测的，每一个业绩得2分，累计得分不超过1</w:t>
            </w:r>
            <w:r>
              <w:rPr>
                <w:rFonts w:hint="eastAsia"/>
                <w:color w:val="auto"/>
                <w:kern w:val="0"/>
                <w:sz w:val="24"/>
                <w:szCs w:val="24"/>
                <w:highlight w:val="none"/>
              </w:rPr>
              <w:t>2</w:t>
            </w:r>
            <w:r>
              <w:rPr>
                <w:color w:val="auto"/>
                <w:kern w:val="0"/>
                <w:sz w:val="24"/>
                <w:szCs w:val="24"/>
                <w:highlight w:val="none"/>
              </w:rPr>
              <w:t>分。</w:t>
            </w:r>
          </w:p>
          <w:p>
            <w:pPr>
              <w:numPr>
                <w:ilvl w:val="255"/>
                <w:numId w:val="0"/>
              </w:numPr>
              <w:spacing w:line="240" w:lineRule="atLeast"/>
              <w:ind w:firstLine="480" w:firstLineChars="200"/>
              <w:rPr>
                <w:color w:val="auto"/>
                <w:kern w:val="0"/>
                <w:sz w:val="24"/>
                <w:szCs w:val="24"/>
                <w:highlight w:val="none"/>
              </w:rPr>
            </w:pPr>
            <w:r>
              <w:rPr>
                <w:color w:val="auto"/>
                <w:kern w:val="0"/>
                <w:sz w:val="24"/>
                <w:szCs w:val="24"/>
                <w:highlight w:val="none"/>
              </w:rPr>
              <w:t>注：须在投标文件中提供上述水质检测合同复印件并加盖公章，原件备查。</w:t>
            </w:r>
          </w:p>
          <w:p>
            <w:pPr>
              <w:numPr>
                <w:ilvl w:val="255"/>
                <w:numId w:val="0"/>
              </w:numPr>
              <w:spacing w:line="240" w:lineRule="atLeast"/>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5</w:t>
            </w:r>
            <w:r>
              <w:rPr>
                <w:color w:val="auto"/>
                <w:kern w:val="0"/>
                <w:sz w:val="24"/>
                <w:szCs w:val="24"/>
                <w:highlight w:val="none"/>
              </w:rPr>
              <w:t>、技术能力（0-10分）</w:t>
            </w:r>
          </w:p>
          <w:p>
            <w:pPr>
              <w:numPr>
                <w:ilvl w:val="255"/>
                <w:numId w:val="0"/>
              </w:numPr>
              <w:spacing w:line="240" w:lineRule="atLeast"/>
              <w:rPr>
                <w:color w:val="auto"/>
                <w:kern w:val="0"/>
                <w:sz w:val="24"/>
                <w:szCs w:val="24"/>
                <w:highlight w:val="none"/>
              </w:rPr>
            </w:pPr>
            <w:r>
              <w:rPr>
                <w:rFonts w:hint="eastAsia"/>
                <w:color w:val="auto"/>
                <w:kern w:val="0"/>
                <w:sz w:val="24"/>
                <w:szCs w:val="24"/>
                <w:highlight w:val="none"/>
              </w:rPr>
              <w:t>3.5.1、</w:t>
            </w:r>
            <w:r>
              <w:rPr>
                <w:color w:val="auto"/>
                <w:kern w:val="0"/>
                <w:sz w:val="24"/>
                <w:szCs w:val="24"/>
                <w:highlight w:val="none"/>
              </w:rPr>
              <w:t>投标人主编过水体治理</w:t>
            </w:r>
            <w:r>
              <w:rPr>
                <w:rFonts w:hint="eastAsia"/>
                <w:color w:val="auto"/>
                <w:kern w:val="0"/>
                <w:sz w:val="24"/>
                <w:szCs w:val="24"/>
                <w:highlight w:val="none"/>
              </w:rPr>
              <w:t>、</w:t>
            </w:r>
            <w:r>
              <w:rPr>
                <w:color w:val="auto"/>
                <w:kern w:val="0"/>
                <w:sz w:val="24"/>
                <w:szCs w:val="24"/>
                <w:highlight w:val="none"/>
              </w:rPr>
              <w:t>排水相关省市（直辖市）级及以上行业标准、图集并已公开发布的，每一个得1分，累计得分不超过5分。</w:t>
            </w:r>
          </w:p>
          <w:p>
            <w:pPr>
              <w:pStyle w:val="55"/>
              <w:spacing w:line="240" w:lineRule="auto"/>
              <w:rPr>
                <w:color w:val="auto"/>
                <w:highlight w:val="none"/>
              </w:rPr>
            </w:pPr>
            <w:r>
              <w:rPr>
                <w:color w:val="auto"/>
                <w:sz w:val="24"/>
                <w:szCs w:val="24"/>
                <w:highlight w:val="none"/>
              </w:rPr>
              <w:t>注：提供已发布行业标准、图集（提供能证明参编或者主编的封面、目录、封底等截图）相关证明加盖单位公章，原件带至投标现场备查。</w:t>
            </w:r>
          </w:p>
          <w:p>
            <w:pPr>
              <w:pStyle w:val="55"/>
              <w:spacing w:line="240" w:lineRule="auto"/>
              <w:ind w:firstLine="0"/>
              <w:rPr>
                <w:color w:val="auto"/>
                <w:sz w:val="24"/>
                <w:szCs w:val="24"/>
                <w:highlight w:val="none"/>
              </w:rPr>
            </w:pPr>
            <w:r>
              <w:rPr>
                <w:rFonts w:hint="eastAsia"/>
                <w:color w:val="auto"/>
                <w:sz w:val="24"/>
                <w:szCs w:val="24"/>
                <w:highlight w:val="none"/>
              </w:rPr>
              <w:t>3.5.2、</w:t>
            </w:r>
            <w:r>
              <w:rPr>
                <w:color w:val="auto"/>
                <w:sz w:val="24"/>
                <w:szCs w:val="24"/>
                <w:highlight w:val="none"/>
              </w:rPr>
              <w:t>投标人主持过水体治理</w:t>
            </w:r>
            <w:r>
              <w:rPr>
                <w:rFonts w:hint="eastAsia"/>
                <w:color w:val="auto"/>
                <w:sz w:val="24"/>
                <w:szCs w:val="24"/>
                <w:highlight w:val="none"/>
              </w:rPr>
              <w:t>、排水</w:t>
            </w:r>
            <w:r>
              <w:rPr>
                <w:color w:val="auto"/>
                <w:sz w:val="24"/>
                <w:szCs w:val="24"/>
                <w:highlight w:val="none"/>
              </w:rPr>
              <w:t>相关省市（直辖市）级及以上课题并已取得课题结题证书的，每一个得1分，累计得分不超过5分。</w:t>
            </w:r>
          </w:p>
          <w:p>
            <w:pPr>
              <w:numPr>
                <w:ilvl w:val="255"/>
                <w:numId w:val="0"/>
              </w:numPr>
              <w:spacing w:line="240" w:lineRule="atLeast"/>
              <w:ind w:firstLine="480" w:firstLineChars="200"/>
              <w:rPr>
                <w:color w:val="auto"/>
                <w:kern w:val="0"/>
                <w:sz w:val="24"/>
                <w:szCs w:val="24"/>
                <w:highlight w:val="none"/>
              </w:rPr>
            </w:pPr>
            <w:r>
              <w:rPr>
                <w:color w:val="auto"/>
                <w:kern w:val="0"/>
                <w:sz w:val="24"/>
                <w:szCs w:val="24"/>
                <w:highlight w:val="none"/>
              </w:rPr>
              <w:t>注：提供已结题课题的结题证书复印件，加盖单位公章，原件带至投标现场备查。</w:t>
            </w:r>
          </w:p>
        </w:tc>
        <w:tc>
          <w:tcPr>
            <w:tcW w:w="797" w:type="pct"/>
            <w:vAlign w:val="center"/>
          </w:tcPr>
          <w:p>
            <w:pPr>
              <w:spacing w:line="240" w:lineRule="atLeas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212" w:type="pct"/>
            <w:vAlign w:val="center"/>
          </w:tcPr>
          <w:p>
            <w:pPr>
              <w:spacing w:line="240" w:lineRule="atLeast"/>
              <w:rPr>
                <w:color w:val="auto"/>
                <w:kern w:val="0"/>
                <w:sz w:val="24"/>
                <w:szCs w:val="24"/>
                <w:highlight w:val="none"/>
              </w:rPr>
            </w:pPr>
            <w:r>
              <w:rPr>
                <w:color w:val="auto"/>
                <w:kern w:val="0"/>
                <w:sz w:val="24"/>
                <w:szCs w:val="24"/>
                <w:highlight w:val="none"/>
              </w:rPr>
              <w:t>4</w:t>
            </w:r>
          </w:p>
        </w:tc>
        <w:tc>
          <w:tcPr>
            <w:tcW w:w="611" w:type="pct"/>
            <w:gridSpan w:val="2"/>
            <w:vAlign w:val="center"/>
          </w:tcPr>
          <w:p>
            <w:pPr>
              <w:spacing w:line="240" w:lineRule="atLeast"/>
              <w:rPr>
                <w:color w:val="auto"/>
                <w:kern w:val="0"/>
                <w:sz w:val="24"/>
                <w:szCs w:val="24"/>
                <w:highlight w:val="none"/>
              </w:rPr>
            </w:pPr>
            <w:r>
              <w:rPr>
                <w:color w:val="auto"/>
                <w:kern w:val="0"/>
                <w:sz w:val="24"/>
                <w:szCs w:val="24"/>
                <w:highlight w:val="none"/>
              </w:rPr>
              <w:t>政策性加分（5%）</w:t>
            </w:r>
          </w:p>
        </w:tc>
        <w:tc>
          <w:tcPr>
            <w:tcW w:w="509" w:type="pct"/>
            <w:gridSpan w:val="2"/>
            <w:vAlign w:val="center"/>
          </w:tcPr>
          <w:p>
            <w:pPr>
              <w:spacing w:line="240" w:lineRule="atLeast"/>
              <w:jc w:val="center"/>
              <w:rPr>
                <w:color w:val="auto"/>
                <w:kern w:val="0"/>
                <w:sz w:val="24"/>
                <w:szCs w:val="24"/>
                <w:highlight w:val="none"/>
              </w:rPr>
            </w:pPr>
            <w:r>
              <w:rPr>
                <w:color w:val="auto"/>
                <w:kern w:val="0"/>
                <w:sz w:val="24"/>
                <w:szCs w:val="24"/>
                <w:highlight w:val="none"/>
              </w:rPr>
              <w:t>政策性加分（5%）</w:t>
            </w:r>
          </w:p>
        </w:tc>
        <w:tc>
          <w:tcPr>
            <w:tcW w:w="363" w:type="pct"/>
            <w:gridSpan w:val="2"/>
            <w:vAlign w:val="center"/>
          </w:tcPr>
          <w:p>
            <w:pPr>
              <w:spacing w:line="240" w:lineRule="atLeast"/>
              <w:rPr>
                <w:color w:val="auto"/>
                <w:kern w:val="0"/>
                <w:sz w:val="24"/>
                <w:szCs w:val="24"/>
                <w:highlight w:val="none"/>
              </w:rPr>
            </w:pPr>
            <w:r>
              <w:rPr>
                <w:color w:val="auto"/>
                <w:kern w:val="0"/>
                <w:sz w:val="24"/>
                <w:szCs w:val="24"/>
                <w:highlight w:val="none"/>
              </w:rPr>
              <w:t>5分</w:t>
            </w:r>
          </w:p>
        </w:tc>
        <w:tc>
          <w:tcPr>
            <w:tcW w:w="2505" w:type="pct"/>
            <w:gridSpan w:val="2"/>
            <w:vAlign w:val="center"/>
          </w:tcPr>
          <w:p>
            <w:pPr>
              <w:spacing w:line="240" w:lineRule="atLeast"/>
              <w:rPr>
                <w:color w:val="auto"/>
                <w:kern w:val="0"/>
                <w:sz w:val="24"/>
                <w:szCs w:val="24"/>
                <w:highlight w:val="none"/>
              </w:rPr>
            </w:pPr>
            <w:r>
              <w:rPr>
                <w:rFonts w:hint="eastAsia"/>
                <w:color w:val="auto"/>
                <w:kern w:val="0"/>
                <w:sz w:val="24"/>
                <w:szCs w:val="24"/>
                <w:highlight w:val="none"/>
              </w:rPr>
              <w:t>1.投标产品属于《财政部 发展改革委关于印发节能产品政府采购品目清单的通知》（财库〔2019〕19号）范围内的节能产品，且“节能产品政府采购品目清单”中未标注“*”的，有一款得0.5分，最多得2分（清单中以“*”标注为政府强制采购的节能产品）。</w:t>
            </w:r>
          </w:p>
          <w:p>
            <w:pPr>
              <w:spacing w:line="240" w:lineRule="atLeast"/>
              <w:rPr>
                <w:color w:val="auto"/>
                <w:kern w:val="0"/>
                <w:sz w:val="24"/>
                <w:szCs w:val="24"/>
                <w:highlight w:val="none"/>
              </w:rPr>
            </w:pPr>
            <w:r>
              <w:rPr>
                <w:rFonts w:hint="eastAsia"/>
                <w:color w:val="auto"/>
                <w:kern w:val="0"/>
                <w:sz w:val="24"/>
                <w:szCs w:val="24"/>
                <w:highlight w:val="none"/>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240" w:lineRule="atLeast"/>
              <w:rPr>
                <w:color w:val="auto"/>
                <w:kern w:val="0"/>
                <w:sz w:val="24"/>
                <w:szCs w:val="24"/>
                <w:highlight w:val="none"/>
              </w:rPr>
            </w:pPr>
            <w:r>
              <w:rPr>
                <w:rFonts w:hint="eastAsia"/>
                <w:color w:val="auto"/>
                <w:kern w:val="0"/>
                <w:sz w:val="24"/>
                <w:szCs w:val="24"/>
                <w:highlight w:val="none"/>
              </w:rPr>
              <w:t>2.投标产品属于《财政部 生态环境部关于印发环境标志产品政府采购品目清单的通知》（财库〔2019〕18号）范围内的环境标志产品的，有一款得0.5分，最多得2分。</w:t>
            </w:r>
          </w:p>
          <w:p>
            <w:pPr>
              <w:spacing w:line="240" w:lineRule="atLeast"/>
              <w:rPr>
                <w:color w:val="auto"/>
                <w:kern w:val="0"/>
                <w:sz w:val="24"/>
                <w:szCs w:val="24"/>
                <w:highlight w:val="none"/>
              </w:rPr>
            </w:pPr>
            <w:r>
              <w:rPr>
                <w:rFonts w:hint="eastAsia"/>
                <w:color w:val="auto"/>
                <w:kern w:val="0"/>
                <w:sz w:val="24"/>
                <w:szCs w:val="24"/>
                <w:highlight w:val="none"/>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spacing w:line="240" w:lineRule="atLeast"/>
              <w:rPr>
                <w:color w:val="auto"/>
                <w:kern w:val="0"/>
                <w:sz w:val="24"/>
                <w:szCs w:val="24"/>
                <w:highlight w:val="none"/>
              </w:rPr>
            </w:pPr>
            <w:r>
              <w:rPr>
                <w:rFonts w:hint="eastAsia"/>
                <w:color w:val="auto"/>
                <w:kern w:val="0"/>
                <w:sz w:val="24"/>
                <w:szCs w:val="24"/>
                <w:highlight w:val="none"/>
              </w:rPr>
              <w:t>3.所投分包的所有投标产品的原产地在西部地区的，得1分。</w:t>
            </w:r>
          </w:p>
        </w:tc>
        <w:tc>
          <w:tcPr>
            <w:tcW w:w="797" w:type="pct"/>
            <w:vAlign w:val="center"/>
          </w:tcPr>
          <w:p>
            <w:pPr>
              <w:spacing w:line="240" w:lineRule="atLeast"/>
              <w:rPr>
                <w:color w:val="auto"/>
                <w:sz w:val="24"/>
                <w:szCs w:val="24"/>
                <w:highlight w:val="none"/>
              </w:rPr>
            </w:pPr>
          </w:p>
        </w:tc>
      </w:tr>
    </w:tbl>
    <w:p>
      <w:pPr>
        <w:snapToGrid w:val="0"/>
        <w:spacing w:line="360" w:lineRule="auto"/>
        <w:ind w:firstLine="480" w:firstLineChars="200"/>
        <w:rPr>
          <w:color w:val="auto"/>
          <w:sz w:val="24"/>
          <w:szCs w:val="24"/>
          <w:highlight w:val="none"/>
        </w:rPr>
      </w:pPr>
      <w:r>
        <w:rPr>
          <w:rFonts w:hint="eastAsia"/>
          <w:color w:val="auto"/>
          <w:sz w:val="24"/>
          <w:szCs w:val="24"/>
          <w:highlight w:val="none"/>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360" w:lineRule="auto"/>
        <w:ind w:firstLine="480" w:firstLineChars="200"/>
        <w:rPr>
          <w:color w:val="auto"/>
          <w:sz w:val="24"/>
          <w:szCs w:val="24"/>
          <w:highlight w:val="none"/>
        </w:rPr>
      </w:pPr>
      <w:r>
        <w:rPr>
          <w:rFonts w:hint="eastAsia"/>
          <w:color w:val="auto"/>
          <w:sz w:val="24"/>
          <w:szCs w:val="24"/>
          <w:highlight w:val="none"/>
        </w:rPr>
        <w:t>投标报价政策性扣减</w:t>
      </w:r>
    </w:p>
    <w:p>
      <w:pPr>
        <w:snapToGrid w:val="0"/>
        <w:spacing w:line="360" w:lineRule="auto"/>
        <w:ind w:firstLine="480" w:firstLineChars="200"/>
        <w:rPr>
          <w:color w:val="auto"/>
          <w:sz w:val="24"/>
          <w:szCs w:val="24"/>
          <w:highlight w:val="none"/>
        </w:rPr>
      </w:pPr>
      <w:r>
        <w:rPr>
          <w:rFonts w:hint="eastAsia"/>
          <w:color w:val="auto"/>
          <w:sz w:val="24"/>
          <w:szCs w:val="24"/>
          <w:highlight w:val="none"/>
        </w:rPr>
        <w:t>1.投标人为非联合体投标的，对小型企业给予6%的扣除，微型企业给予8%的扣除（注册资金十五万及以下的微型企业给予10%的扣除），以扣除后的报价参与评审。</w:t>
      </w:r>
    </w:p>
    <w:p>
      <w:pPr>
        <w:snapToGrid w:val="0"/>
        <w:spacing w:line="360" w:lineRule="auto"/>
        <w:ind w:firstLine="480" w:firstLineChars="200"/>
        <w:rPr>
          <w:color w:val="auto"/>
          <w:sz w:val="24"/>
          <w:szCs w:val="24"/>
          <w:highlight w:val="none"/>
        </w:rPr>
      </w:pPr>
      <w:r>
        <w:rPr>
          <w:rFonts w:hint="eastAsia"/>
          <w:color w:val="auto"/>
          <w:sz w:val="24"/>
          <w:szCs w:val="24"/>
          <w:highlight w:val="none"/>
        </w:rPr>
        <w:t>2.投标人为联合体投标的，在联合协议中小型企业、微型企业的协议合同金额占到联合体协议合同总金额30％以上的，与小型企业联合的可给予联合体2%的报价扣除，与微型企业联合的可给予联合体3%的报价扣除。</w:t>
      </w:r>
    </w:p>
    <w:p>
      <w:pPr>
        <w:snapToGrid w:val="0"/>
        <w:spacing w:line="360" w:lineRule="auto"/>
        <w:ind w:firstLine="480" w:firstLineChars="200"/>
        <w:rPr>
          <w:color w:val="auto"/>
          <w:kern w:val="0"/>
          <w:sz w:val="24"/>
          <w:szCs w:val="24"/>
          <w:highlight w:val="none"/>
        </w:rPr>
      </w:pPr>
      <w:r>
        <w:rPr>
          <w:rFonts w:hint="eastAsia"/>
          <w:color w:val="auto"/>
          <w:sz w:val="24"/>
          <w:szCs w:val="24"/>
          <w:highlight w:val="none"/>
        </w:rPr>
        <w:t>3.监狱企业、残疾人福利性单位属于微型企业的，应提供企业所在地的县级以上中小企业主管部门本年度出具的证明文件复印件和小微企业声明函（详见第七篇 四、其他“小微企业声</w:t>
      </w:r>
      <w:r>
        <w:rPr>
          <w:rFonts w:hint="eastAsia"/>
          <w:color w:val="auto"/>
          <w:kern w:val="0"/>
          <w:sz w:val="24"/>
          <w:szCs w:val="24"/>
          <w:highlight w:val="none"/>
        </w:rPr>
        <w:t>明函”）。未提供以上资料的监狱企业、残疾人福利性单位视同小型企业。</w:t>
      </w:r>
    </w:p>
    <w:p>
      <w:pPr>
        <w:pStyle w:val="4"/>
        <w:ind w:firstLine="482" w:firstLineChars="200"/>
        <w:rPr>
          <w:rFonts w:ascii="Times New Roman"/>
          <w:b/>
          <w:bCs/>
          <w:color w:val="auto"/>
          <w:sz w:val="24"/>
          <w:szCs w:val="24"/>
          <w:highlight w:val="none"/>
        </w:rPr>
      </w:pPr>
      <w:bookmarkStart w:id="114" w:name="_Toc2369"/>
      <w:bookmarkStart w:id="115" w:name="_Toc17091"/>
      <w:bookmarkStart w:id="116" w:name="_Toc20858"/>
      <w:bookmarkStart w:id="117" w:name="_Toc530573511"/>
      <w:r>
        <w:rPr>
          <w:rFonts w:hint="eastAsia" w:ascii="Times New Roman"/>
          <w:b/>
          <w:bCs/>
          <w:color w:val="auto"/>
          <w:sz w:val="24"/>
          <w:szCs w:val="24"/>
          <w:highlight w:val="none"/>
        </w:rPr>
        <w:t>四</w:t>
      </w:r>
      <w:r>
        <w:rPr>
          <w:rFonts w:ascii="Times New Roman"/>
          <w:b/>
          <w:bCs/>
          <w:color w:val="auto"/>
          <w:sz w:val="24"/>
          <w:szCs w:val="24"/>
          <w:highlight w:val="none"/>
        </w:rPr>
        <w:t>、无效投标条款</w:t>
      </w:r>
      <w:bookmarkEnd w:id="114"/>
      <w:bookmarkEnd w:id="115"/>
      <w:bookmarkEnd w:id="116"/>
      <w:bookmarkEnd w:id="117"/>
    </w:p>
    <w:p>
      <w:pPr>
        <w:snapToGrid w:val="0"/>
        <w:spacing w:line="360" w:lineRule="auto"/>
        <w:ind w:firstLine="480" w:firstLineChars="200"/>
        <w:rPr>
          <w:color w:val="auto"/>
          <w:sz w:val="24"/>
          <w:szCs w:val="24"/>
          <w:highlight w:val="none"/>
        </w:rPr>
      </w:pPr>
      <w:r>
        <w:rPr>
          <w:color w:val="auto"/>
          <w:sz w:val="24"/>
          <w:szCs w:val="24"/>
          <w:highlight w:val="none"/>
        </w:rPr>
        <w:t>投标人或其投标文件出现下列情况之一者，应为无效投标：</w:t>
      </w:r>
    </w:p>
    <w:p>
      <w:pPr>
        <w:snapToGrid w:val="0"/>
        <w:spacing w:line="360" w:lineRule="auto"/>
        <w:ind w:firstLine="480" w:firstLineChars="200"/>
        <w:rPr>
          <w:color w:val="auto"/>
          <w:sz w:val="24"/>
          <w:szCs w:val="24"/>
          <w:highlight w:val="none"/>
        </w:rPr>
      </w:pPr>
      <w:bookmarkStart w:id="118" w:name="_Toc29556"/>
      <w:bookmarkStart w:id="119" w:name="_Toc530573512"/>
      <w:bookmarkStart w:id="120" w:name="_Toc30180"/>
      <w:r>
        <w:rPr>
          <w:rFonts w:hint="eastAsia"/>
          <w:color w:val="auto"/>
          <w:sz w:val="24"/>
          <w:szCs w:val="24"/>
          <w:highlight w:val="none"/>
        </w:rPr>
        <w:t>（一）未按照招标文件的规定提交投标保证金的；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（二）投标文件未按招标文件要求签署、盖章的；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（三）不具备招标文件中规定的资格要求的；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（四）报价超过招标文件中规定的预算金额或者最高限价的；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（五）投标文件含有采购人不能接受的附加条件的；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（六）投标人串通投标的；</w:t>
      </w:r>
    </w:p>
    <w:p>
      <w:pPr>
        <w:snapToGrid w:val="0"/>
        <w:spacing w:line="360" w:lineRule="auto"/>
        <w:ind w:firstLine="480" w:firstLineChars="200"/>
        <w:rPr>
          <w:color w:val="auto"/>
          <w:sz w:val="24"/>
          <w:szCs w:val="24"/>
          <w:highlight w:val="none"/>
        </w:rPr>
      </w:pPr>
      <w:r>
        <w:rPr>
          <w:rFonts w:hint="eastAsia"/>
          <w:color w:val="auto"/>
          <w:sz w:val="24"/>
          <w:szCs w:val="24"/>
          <w:highlight w:val="none"/>
        </w:rPr>
        <w:t>（七）法律、法规和招标文件规定的其他无效情形。</w:t>
      </w:r>
    </w:p>
    <w:p>
      <w:pPr>
        <w:pStyle w:val="4"/>
        <w:ind w:firstLine="482" w:firstLineChars="200"/>
        <w:rPr>
          <w:rFonts w:ascii="Times New Roman"/>
          <w:b/>
          <w:bCs/>
          <w:color w:val="auto"/>
          <w:sz w:val="24"/>
          <w:szCs w:val="24"/>
          <w:highlight w:val="none"/>
        </w:rPr>
      </w:pPr>
      <w:bookmarkStart w:id="121" w:name="_Toc6443"/>
      <w:r>
        <w:rPr>
          <w:rFonts w:hint="eastAsia" w:ascii="Times New Roman"/>
          <w:b/>
          <w:bCs/>
          <w:color w:val="auto"/>
          <w:sz w:val="24"/>
          <w:szCs w:val="24"/>
          <w:highlight w:val="none"/>
        </w:rPr>
        <w:t>五</w:t>
      </w:r>
      <w:r>
        <w:rPr>
          <w:rFonts w:ascii="Times New Roman"/>
          <w:b/>
          <w:bCs/>
          <w:color w:val="auto"/>
          <w:sz w:val="24"/>
          <w:szCs w:val="24"/>
          <w:highlight w:val="none"/>
        </w:rPr>
        <w:t>、废标条款</w:t>
      </w:r>
      <w:bookmarkEnd w:id="118"/>
      <w:bookmarkEnd w:id="119"/>
      <w:bookmarkEnd w:id="120"/>
      <w:bookmarkEnd w:id="121"/>
    </w:p>
    <w:p>
      <w:pPr>
        <w:snapToGrid w:val="0"/>
        <w:spacing w:line="360" w:lineRule="auto"/>
        <w:ind w:firstLine="480" w:firstLineChars="200"/>
        <w:rPr>
          <w:color w:val="auto"/>
          <w:sz w:val="24"/>
          <w:szCs w:val="24"/>
          <w:highlight w:val="none"/>
        </w:rPr>
      </w:pPr>
      <w:r>
        <w:rPr>
          <w:color w:val="auto"/>
          <w:sz w:val="24"/>
          <w:szCs w:val="24"/>
          <w:highlight w:val="none"/>
        </w:rPr>
        <w:t>评标委员会评审时出现以下情况之一的，应予废标：</w:t>
      </w:r>
    </w:p>
    <w:p>
      <w:pPr>
        <w:snapToGrid w:val="0"/>
        <w:spacing w:line="360" w:lineRule="auto"/>
        <w:ind w:firstLine="480" w:firstLineChars="200"/>
        <w:rPr>
          <w:color w:val="auto"/>
          <w:sz w:val="24"/>
          <w:szCs w:val="24"/>
          <w:highlight w:val="none"/>
        </w:rPr>
      </w:pPr>
      <w:r>
        <w:rPr>
          <w:color w:val="auto"/>
          <w:sz w:val="24"/>
          <w:szCs w:val="24"/>
          <w:highlight w:val="none"/>
        </w:rPr>
        <w:t>（一）符合专业条件的供应商或者对招标文件作实质响应的供应商不足三家的；</w:t>
      </w:r>
    </w:p>
    <w:p>
      <w:pPr>
        <w:snapToGrid w:val="0"/>
        <w:spacing w:line="360" w:lineRule="auto"/>
        <w:ind w:firstLine="480" w:firstLineChars="200"/>
        <w:rPr>
          <w:color w:val="auto"/>
          <w:sz w:val="24"/>
          <w:szCs w:val="24"/>
          <w:highlight w:val="none"/>
        </w:rPr>
      </w:pPr>
      <w:r>
        <w:rPr>
          <w:color w:val="auto"/>
          <w:sz w:val="24"/>
          <w:szCs w:val="24"/>
          <w:highlight w:val="none"/>
        </w:rPr>
        <w:t>（二）投标人的报价均超过了采购预算，采购人不能支付的；</w:t>
      </w:r>
    </w:p>
    <w:p>
      <w:pPr>
        <w:snapToGrid w:val="0"/>
        <w:spacing w:line="360" w:lineRule="auto"/>
        <w:ind w:firstLine="480" w:firstLineChars="200"/>
        <w:rPr>
          <w:color w:val="auto"/>
          <w:sz w:val="24"/>
          <w:szCs w:val="24"/>
          <w:highlight w:val="none"/>
        </w:rPr>
      </w:pPr>
      <w:r>
        <w:rPr>
          <w:color w:val="auto"/>
          <w:sz w:val="24"/>
          <w:szCs w:val="24"/>
          <w:highlight w:val="none"/>
        </w:rPr>
        <w:t>（三）出现影响采购公正的违法、违规行为的；</w:t>
      </w:r>
    </w:p>
    <w:p>
      <w:pPr>
        <w:snapToGrid w:val="0"/>
        <w:spacing w:line="360" w:lineRule="auto"/>
        <w:ind w:firstLine="480" w:firstLineChars="200"/>
        <w:rPr>
          <w:color w:val="auto"/>
          <w:sz w:val="24"/>
          <w:szCs w:val="24"/>
          <w:highlight w:val="none"/>
        </w:rPr>
      </w:pPr>
      <w:r>
        <w:rPr>
          <w:color w:val="auto"/>
          <w:sz w:val="24"/>
          <w:szCs w:val="24"/>
          <w:highlight w:val="none"/>
        </w:rPr>
        <w:t>（四）因重大变故，采购任务取消的。</w:t>
      </w:r>
    </w:p>
    <w:p>
      <w:pPr>
        <w:snapToGrid w:val="0"/>
        <w:spacing w:line="360" w:lineRule="auto"/>
        <w:ind w:firstLine="480" w:firstLineChars="200"/>
        <w:rPr>
          <w:color w:val="auto"/>
          <w:sz w:val="24"/>
          <w:szCs w:val="24"/>
          <w:highlight w:val="none"/>
        </w:rPr>
      </w:pPr>
      <w:r>
        <w:rPr>
          <w:color w:val="auto"/>
          <w:sz w:val="24"/>
          <w:szCs w:val="24"/>
          <w:highlight w:val="none"/>
        </w:rPr>
        <w:t>废标后，除采购任务取消情形外，应当重新组织采购。</w:t>
      </w:r>
    </w:p>
    <w:p>
      <w:pPr>
        <w:pStyle w:val="3"/>
        <w:spacing w:beforeLines="0" w:afterLines="0" w:line="360" w:lineRule="auto"/>
        <w:ind w:firstLine="141" w:firstLineChars="50"/>
        <w:rPr>
          <w:color w:val="auto"/>
          <w:highlight w:val="none"/>
        </w:rPr>
      </w:pPr>
      <w:r>
        <w:rPr>
          <w:color w:val="auto"/>
          <w:sz w:val="28"/>
          <w:szCs w:val="28"/>
          <w:highlight w:val="none"/>
        </w:rPr>
        <w:br w:type="page"/>
      </w:r>
      <w:bookmarkStart w:id="122" w:name="_Toc20381"/>
      <w:bookmarkStart w:id="123" w:name="_Toc1219"/>
      <w:bookmarkStart w:id="124" w:name="_Toc530573513"/>
      <w:r>
        <w:rPr>
          <w:color w:val="auto"/>
          <w:highlight w:val="none"/>
        </w:rPr>
        <w:t>第五篇投标人须知</w:t>
      </w:r>
      <w:bookmarkEnd w:id="122"/>
      <w:bookmarkEnd w:id="123"/>
      <w:bookmarkEnd w:id="124"/>
    </w:p>
    <w:p>
      <w:pPr>
        <w:pStyle w:val="4"/>
        <w:spacing w:line="400" w:lineRule="exact"/>
        <w:ind w:firstLine="482" w:firstLineChars="200"/>
        <w:rPr>
          <w:rFonts w:cs="宋体"/>
          <w:b/>
          <w:color w:val="auto"/>
          <w:sz w:val="24"/>
          <w:highlight w:val="none"/>
        </w:rPr>
      </w:pPr>
      <w:bookmarkStart w:id="125" w:name="_Toc30824"/>
      <w:bookmarkStart w:id="126" w:name="_Toc25770688"/>
      <w:bookmarkStart w:id="127" w:name="_Toc441065679"/>
      <w:r>
        <w:rPr>
          <w:rFonts w:hint="eastAsia" w:cs="宋体"/>
          <w:b/>
          <w:color w:val="auto"/>
          <w:sz w:val="24"/>
          <w:highlight w:val="none"/>
        </w:rPr>
        <w:t>一、投标人</w:t>
      </w:r>
      <w:bookmarkEnd w:id="125"/>
      <w:bookmarkEnd w:id="126"/>
      <w:bookmarkEnd w:id="127"/>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（一）投标人</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投标人是指响应招标、参加投标竞争的法人、其他组织或者自然人。</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（二）合格投标人条件</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合格投标人应完全符合招标文件第一篇中规定的投标人资格条件，并对招标文件作出实质性响应。</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（三）投标人的风险</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投标人没有按照招标文件要求提供全部资料，或者投标人没有对招标文件在各方面作出实质性响应，可能导致投标被拒绝或评定为无效投标。</w:t>
      </w:r>
    </w:p>
    <w:p>
      <w:pP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（四）法律责任</w:t>
      </w:r>
    </w:p>
    <w:p>
      <w:pPr>
        <w:snapToGrid w:val="0"/>
        <w:spacing w:line="400" w:lineRule="exact"/>
        <w:ind w:firstLine="720" w:firstLineChars="300"/>
        <w:rPr>
          <w:rFonts w:ascii="宋体" w:hAnsi="宋体" w:cs="宋体"/>
          <w:color w:val="auto"/>
          <w:sz w:val="24"/>
          <w:highlight w:val="none"/>
        </w:rPr>
      </w:pPr>
      <w:r>
        <w:rPr>
          <w:rFonts w:hint="eastAsia" w:ascii="宋体" w:hAnsi="宋体" w:cs="宋体"/>
          <w:color w:val="auto"/>
          <w:sz w:val="24"/>
          <w:highlight w:val="none"/>
        </w:rPr>
        <w:t>投标人违反《中华人民共和国政府采购法》、《中华人民共和国政府采购实施条例》等相关规定，将按规定追究投标人法律责任。</w:t>
      </w:r>
    </w:p>
    <w:p>
      <w:pPr>
        <w:pStyle w:val="4"/>
        <w:spacing w:line="400" w:lineRule="exact"/>
        <w:ind w:firstLine="482" w:firstLineChars="200"/>
        <w:rPr>
          <w:rFonts w:cs="宋体"/>
          <w:b/>
          <w:color w:val="auto"/>
          <w:sz w:val="24"/>
          <w:highlight w:val="none"/>
        </w:rPr>
      </w:pPr>
      <w:bookmarkStart w:id="128" w:name="_Toc441065680"/>
      <w:bookmarkStart w:id="129" w:name="_Toc25770689"/>
      <w:bookmarkStart w:id="130" w:name="_Toc23958"/>
      <w:r>
        <w:rPr>
          <w:rFonts w:hint="eastAsia" w:cs="宋体"/>
          <w:b/>
          <w:color w:val="auto"/>
          <w:sz w:val="24"/>
          <w:highlight w:val="none"/>
        </w:rPr>
        <w:t>二、招标文件</w:t>
      </w:r>
      <w:bookmarkEnd w:id="128"/>
      <w:bookmarkEnd w:id="129"/>
      <w:bookmarkEnd w:id="130"/>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招标文件是投标人编制投标文件的依据，是评标委员会评判依据和标准。招标文件也是采购人与中标人签订合同的基础。</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（一）招标文件由投标邀请书；项目技术规格、数量及质量要求；商务条款；投标人须知；评标方法、评标标准、无效投标条款和废标条款；合同主要条款和格式合同；投标文件格式等七部分组成。</w:t>
      </w:r>
    </w:p>
    <w:p>
      <w:pPr>
        <w:snapToGrid w:val="0"/>
        <w:spacing w:line="400" w:lineRule="exact"/>
        <w:ind w:firstLine="480"/>
        <w:rPr>
          <w:rFonts w:ascii="宋体" w:hAnsi="宋体" w:cs="宋体"/>
          <w:color w:val="auto"/>
          <w:sz w:val="24"/>
          <w:highlight w:val="none"/>
        </w:rPr>
      </w:pPr>
      <w:r>
        <w:rPr>
          <w:rFonts w:hint="eastAsia" w:ascii="宋体" w:hAnsi="宋体" w:cs="宋体"/>
          <w:color w:val="auto"/>
          <w:sz w:val="24"/>
          <w:highlight w:val="none"/>
        </w:rPr>
        <w:t>（二）采购代理机构对招标文件所作的一切有效的书面通知、修改及补充，都是招标文件不可分割的部分。无论投标人下载或领取与否，均视同投标人已知晓本项目招标文件、补遗文件的内容。</w:t>
      </w:r>
    </w:p>
    <w:p>
      <w:pPr>
        <w:snapToGrid w:val="0"/>
        <w:spacing w:line="400" w:lineRule="exact"/>
        <w:ind w:firstLine="480"/>
        <w:rPr>
          <w:rFonts w:ascii="宋体" w:hAnsi="宋体" w:cs="宋体"/>
          <w:color w:val="auto"/>
          <w:sz w:val="24"/>
          <w:szCs w:val="24"/>
          <w:highlight w:val="none"/>
        </w:rPr>
      </w:pPr>
      <w:r>
        <w:rPr>
          <w:rFonts w:hint="eastAsia" w:ascii="宋体" w:hAnsi="宋体" w:cs="宋体"/>
          <w:color w:val="auto"/>
          <w:sz w:val="24"/>
          <w:highlight w:val="none"/>
        </w:rPr>
        <w:t>（三）本招标项目的招标文件、补遗文件（如果有）、通知一律在重庆市政府采购网（https://www.ccgp-chongqing.gov.cn）上发布，请各投标人注意及时下载；无论投标人下载与否，均视同投标人已知晓本项目招标文件、补遗文件（如果有）、通知的内容。</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（四）采购代理机构对已发出的招标文件需要进行澄清或修改的，应以书面形式或公告形式通知所有招标文件收受人。该澄清或者修改的内容为招标文件的组成部分。</w:t>
      </w:r>
    </w:p>
    <w:p>
      <w:pPr>
        <w:pStyle w:val="4"/>
        <w:spacing w:line="400" w:lineRule="exact"/>
        <w:ind w:firstLine="482" w:firstLineChars="200"/>
        <w:rPr>
          <w:rFonts w:cs="宋体"/>
          <w:b/>
          <w:color w:val="auto"/>
          <w:sz w:val="24"/>
          <w:highlight w:val="none"/>
        </w:rPr>
      </w:pPr>
      <w:bookmarkStart w:id="131" w:name="_Toc25770690"/>
      <w:bookmarkStart w:id="132" w:name="_Toc441065681"/>
      <w:bookmarkStart w:id="133" w:name="_Toc910"/>
      <w:r>
        <w:rPr>
          <w:rFonts w:hint="eastAsia" w:cs="宋体"/>
          <w:b/>
          <w:color w:val="auto"/>
          <w:sz w:val="24"/>
          <w:highlight w:val="none"/>
        </w:rPr>
        <w:t>三、投标文件</w:t>
      </w:r>
      <w:bookmarkEnd w:id="131"/>
      <w:bookmarkEnd w:id="132"/>
      <w:bookmarkEnd w:id="133"/>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（一）投标文件组成</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（二）联合体投标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本项目接受联合体投标。</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（三）投标有效期</w:t>
      </w:r>
    </w:p>
    <w:p>
      <w:pPr>
        <w:spacing w:line="4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投标有效期为投标截止日期后九十天内。</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（四）投标保证金</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1、投标人应在投标截止时间前，按招标文件第一篇规定缴纳投标保证金。</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2、投标保证金为投标的有效约束条件。</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3、投标保证金的有效期限在投标有效期过后三十天内继续有效。</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4、投标保证金币种应与投标报价币种相同。</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5、采购代理机构在《中标通知书》发出后五个工作日内无息退还未中标人的投标保证金；在采购合同签订后五个工作日无息退还中标人的投标保证金。</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6、供应商有下列情形之一的，投标保证金将不予退还，由采购代理机构上缴国库：</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（1）投标人在投标有效期内撤回投标文件的；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（2）投标人未按规定提交履约保证金的；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（3）投标人在投标过程中弄虚作假，提供虚假材料的；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（4）中标人无正当理由不与采购人签订合同的；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（5）中标人将中标项目转让给他人或者在投标文件中未说明且未经采购人同意，将中标项目分包给他人的；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（6）中标人拒绝履行合同义务的；</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（7）其他严重扰乱招投标程序的。</w:t>
      </w:r>
    </w:p>
    <w:p>
      <w:pPr>
        <w:snapToGrid w:val="0"/>
        <w:spacing w:line="400" w:lineRule="exact"/>
        <w:ind w:firstLine="470" w:firstLineChars="196"/>
        <w:jc w:val="left"/>
        <w:rPr>
          <w:rFonts w:ascii="宋体" w:hAnsi="宋体" w:cs="宋体"/>
          <w:bCs/>
          <w:color w:val="auto"/>
          <w:sz w:val="24"/>
          <w:highlight w:val="none"/>
        </w:rPr>
      </w:pPr>
      <w:r>
        <w:rPr>
          <w:rFonts w:hint="eastAsia" w:ascii="宋体" w:hAnsi="宋体" w:cs="宋体"/>
          <w:bCs/>
          <w:color w:val="auto"/>
          <w:sz w:val="24"/>
          <w:highlight w:val="none"/>
        </w:rPr>
        <w:t>（五）投标文件的份数和签署</w:t>
      </w:r>
    </w:p>
    <w:p>
      <w:pPr>
        <w:tabs>
          <w:tab w:val="left" w:pos="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投标文件一式三份，其中正本一份，副本二份，电子文档两份（电子文档内容应与投标文件正本一致，推荐采用光盘或U盘为文件载体）。</w:t>
      </w:r>
      <w:r>
        <w:rPr>
          <w:rFonts w:hint="eastAsia" w:ascii="宋体" w:hAnsi="宋体" w:cs="宋体"/>
          <w:color w:val="auto"/>
          <w:sz w:val="24"/>
          <w:highlight w:val="none"/>
        </w:rPr>
        <w:t>每套纸质投标文件须在封面清楚地标明项目名称、投标人名称和地址，“正本”或“副本”，副本应为正本的完整复印件，副本与正本不一致时以正本为准。</w:t>
      </w:r>
    </w:p>
    <w:p>
      <w:pPr>
        <w:tabs>
          <w:tab w:val="left" w:pos="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投标文件正本中，招标文件第七篇投标文件格式中规定签字、盖章的地方必须按其规定签字、盖章。（注：如投标人为联合体投标，联合体各成员单位资料需各自加盖单位公章，所有投标资料均需加盖牵头单位公章）。</w:t>
      </w:r>
    </w:p>
    <w:p>
      <w:pPr>
        <w:tabs>
          <w:tab w:val="left" w:pos="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3、若投标人对投标文件的错处作必要修改，则应在修改处加盖投标人公章或由法定代表人或法定代表人授权代表签字确认。</w:t>
      </w:r>
    </w:p>
    <w:p>
      <w:pPr>
        <w:snapToGrid w:val="0"/>
        <w:spacing w:line="400" w:lineRule="exact"/>
        <w:ind w:firstLine="470" w:firstLineChars="196"/>
        <w:jc w:val="left"/>
        <w:rPr>
          <w:rFonts w:ascii="宋体" w:hAnsi="宋体" w:cs="宋体"/>
          <w:bCs/>
          <w:color w:val="auto"/>
          <w:sz w:val="24"/>
          <w:highlight w:val="none"/>
        </w:rPr>
      </w:pPr>
      <w:r>
        <w:rPr>
          <w:rFonts w:hint="eastAsia" w:ascii="宋体" w:hAnsi="宋体" w:cs="宋体"/>
          <w:color w:val="auto"/>
          <w:sz w:val="24"/>
          <w:highlight w:val="none"/>
        </w:rPr>
        <w:t>4、电报、电话、传真形式的投标文件概不接受。</w:t>
      </w:r>
    </w:p>
    <w:p>
      <w:pPr>
        <w:snapToGrid w:val="0"/>
        <w:spacing w:line="400" w:lineRule="exact"/>
        <w:ind w:firstLine="470" w:firstLineChars="196"/>
        <w:jc w:val="left"/>
        <w:rPr>
          <w:rFonts w:ascii="宋体" w:hAnsi="宋体" w:cs="宋体"/>
          <w:bCs/>
          <w:color w:val="auto"/>
          <w:sz w:val="24"/>
          <w:highlight w:val="none"/>
        </w:rPr>
      </w:pPr>
      <w:r>
        <w:rPr>
          <w:rFonts w:hint="eastAsia" w:ascii="宋体" w:hAnsi="宋体" w:cs="宋体"/>
          <w:bCs/>
          <w:color w:val="auto"/>
          <w:sz w:val="24"/>
          <w:highlight w:val="none"/>
        </w:rPr>
        <w:t>（六）投标报价</w:t>
      </w:r>
    </w:p>
    <w:p>
      <w:pPr>
        <w:snapToGrid w:val="0"/>
        <w:spacing w:line="400" w:lineRule="exact"/>
        <w:ind w:firstLine="470" w:firstLineChars="196"/>
        <w:jc w:val="left"/>
        <w:rPr>
          <w:rFonts w:ascii="宋体" w:hAnsi="宋体" w:cs="宋体"/>
          <w:color w:val="auto"/>
          <w:sz w:val="24"/>
          <w:highlight w:val="none"/>
        </w:rPr>
      </w:pPr>
      <w:r>
        <w:rPr>
          <w:rFonts w:hint="eastAsia" w:ascii="宋体" w:hAnsi="宋体" w:cs="宋体"/>
          <w:bCs/>
          <w:color w:val="auto"/>
          <w:sz w:val="24"/>
          <w:highlight w:val="none"/>
        </w:rPr>
        <w:t>1、投标人应严格按照“投标文件格式”中“开标一览表”和“分项报价明细表”</w:t>
      </w:r>
      <w:r>
        <w:rPr>
          <w:rFonts w:hint="eastAsia" w:ascii="宋体" w:hAnsi="宋体" w:cs="宋体"/>
          <w:color w:val="auto"/>
          <w:sz w:val="24"/>
          <w:highlight w:val="none"/>
        </w:rPr>
        <w:t>的格式填写报价。</w:t>
      </w:r>
    </w:p>
    <w:p>
      <w:pPr>
        <w:snapToGrid w:val="0"/>
        <w:spacing w:line="400" w:lineRule="exact"/>
        <w:ind w:left="3" w:leftChars="1" w:firstLine="480" w:firstLineChars="200"/>
        <w:rPr>
          <w:rFonts w:ascii="宋体" w:hAnsi="宋体" w:cs="宋体"/>
          <w:color w:val="auto"/>
          <w:sz w:val="24"/>
          <w:highlight w:val="none"/>
        </w:rPr>
      </w:pPr>
      <w:r>
        <w:rPr>
          <w:rFonts w:hint="eastAsia" w:ascii="宋体" w:hAnsi="宋体" w:cs="宋体"/>
          <w:color w:val="auto"/>
          <w:sz w:val="24"/>
          <w:highlight w:val="none"/>
        </w:rPr>
        <w:t>2、投标人的报价为一次性报价，即在投标有效期内投标价格固定不变。</w:t>
      </w:r>
    </w:p>
    <w:p>
      <w:pPr>
        <w:snapToGrid w:val="0"/>
        <w:spacing w:line="400" w:lineRule="exact"/>
        <w:ind w:left="3" w:leftChars="1" w:firstLine="480" w:firstLineChars="200"/>
        <w:rPr>
          <w:rFonts w:ascii="宋体" w:hAnsi="宋体" w:cs="宋体"/>
          <w:color w:val="auto"/>
          <w:sz w:val="24"/>
          <w:highlight w:val="none"/>
        </w:rPr>
      </w:pPr>
      <w:r>
        <w:rPr>
          <w:rFonts w:hint="eastAsia" w:ascii="宋体" w:hAnsi="宋体" w:cs="宋体"/>
          <w:color w:val="auto"/>
          <w:sz w:val="24"/>
          <w:highlight w:val="none"/>
        </w:rPr>
        <w:t>3、本项目只接受一个投标报价，有选择的或有条件的报价将不予接受。</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（七）修正错误</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若投标文件出现计算或表达上的错误，修正错误的原则如下：</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1、开标一览表总价与投标报价明细表汇总数不一致的，</w:t>
      </w:r>
      <w:r>
        <w:rPr>
          <w:rFonts w:hint="eastAsia" w:ascii="宋体" w:hAnsi="宋体" w:cs="宋体"/>
          <w:color w:val="auto"/>
          <w:kern w:val="0"/>
          <w:sz w:val="24"/>
          <w:highlight w:val="none"/>
        </w:rPr>
        <w:t>以开标一览表为准；</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2、投标文件的大写金额和小写金额不一致的，以大写金额为准；</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3、总价金额与按单价汇总金额不一致的，以单价金额计算结果为准；</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4、单价金额小数点有明显错位的，应以总价为准，并修正单价；</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5、对不同文字文本投标文件的解释发生异议的，以中文文本为准。</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评标委员会按上述修正错误的原则及方法调整或修正投标人投标报价，投标人同意并签字确认后，调整后的投标报价对投标人具有约束作用。如果投标人不接受修正后的报价，则其投标将作为无效投标处理。</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（八）投标文件的递交</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1、投标文件的密封与标记</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1.1投标文件的正本、副本及电子文档均应密封送达投标地点，应在封套上注明项目名称、投标人名称。若正本、副本及电子文档分别进行密封的，还应在封套上注明“正本”、“副本”及“电子文档”字样。</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1.2封套的封口处应加盖投标人公章或由法定代表人授权代表签字。</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1.3如果未按上述规定进行密封和标记，采购代理机构对投标文件误投、丢失或提前拆封不负责任。</w:t>
      </w:r>
    </w:p>
    <w:p>
      <w:pPr>
        <w:pStyle w:val="4"/>
        <w:spacing w:line="400" w:lineRule="exact"/>
        <w:ind w:firstLine="482" w:firstLineChars="200"/>
        <w:rPr>
          <w:rFonts w:cs="宋体"/>
          <w:b/>
          <w:color w:val="auto"/>
          <w:sz w:val="24"/>
          <w:highlight w:val="none"/>
        </w:rPr>
      </w:pPr>
      <w:bookmarkStart w:id="134" w:name="_Toc441065682"/>
      <w:bookmarkStart w:id="135" w:name="_Toc25770691"/>
      <w:bookmarkStart w:id="136" w:name="_Toc29838"/>
      <w:r>
        <w:rPr>
          <w:rFonts w:hint="eastAsia" w:cs="宋体"/>
          <w:b/>
          <w:color w:val="auto"/>
          <w:sz w:val="24"/>
          <w:highlight w:val="none"/>
        </w:rPr>
        <w:t>四、开标</w:t>
      </w:r>
      <w:bookmarkEnd w:id="134"/>
      <w:bookmarkEnd w:id="135"/>
      <w:bookmarkEnd w:id="136"/>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（一）开标应当在招标文件中“投标邀请书”确定的时间和地点公开进行。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（二）采购代理机构可视采购具体情况，延长投标截止时间和开标时间，但至少在招标文件要求提交投标文件的截止时间三日前，将变更时间书面通知所有招标文件收受人。</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（三）开标由采购代理机构主持，邀请采购人、投标人、财政部门和有关监督部门代表参加，财政部门和有关监督部门可视情况派员现场监督。</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开标时，由投标人或者其推选的代表检查投标文件的密封情况，也可以由采购人委托的公证机构人员检查投标文件密封情况并公证；经确认密封完好的投标文件，由采购代理机构工作人员当众拆封，宣读投标文件正本“开标一览表”的投标人名称和投标报价，以及招标文件允许的备选投标方案和投标文件的其他主要内容并记录。</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（五）未宣读的投标价格、价格折扣和招标文件允许提供的备选投标人案等实质性内容等，评标时不予承认。</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（六）开标过程应由招标采购单位指定专人负责记录，并存档备查。</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（七）投标人未参加开标的，视同认可开标结果。</w:t>
      </w:r>
    </w:p>
    <w:p>
      <w:pPr>
        <w:pStyle w:val="4"/>
        <w:spacing w:line="400" w:lineRule="exact"/>
        <w:ind w:firstLine="482" w:firstLineChars="200"/>
        <w:rPr>
          <w:rFonts w:cs="宋体"/>
          <w:b/>
          <w:color w:val="auto"/>
          <w:sz w:val="24"/>
          <w:highlight w:val="none"/>
        </w:rPr>
      </w:pPr>
      <w:bookmarkStart w:id="137" w:name="_Toc25770692"/>
      <w:bookmarkStart w:id="138" w:name="_Toc441065683"/>
      <w:bookmarkStart w:id="139" w:name="_Toc3713"/>
      <w:r>
        <w:rPr>
          <w:rFonts w:hint="eastAsia" w:cs="宋体"/>
          <w:b/>
          <w:color w:val="auto"/>
          <w:sz w:val="24"/>
          <w:highlight w:val="none"/>
        </w:rPr>
        <w:t>五、评标</w:t>
      </w:r>
      <w:bookmarkEnd w:id="137"/>
      <w:bookmarkEnd w:id="138"/>
      <w:bookmarkEnd w:id="139"/>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见第四篇“评标”内容。</w:t>
      </w:r>
    </w:p>
    <w:p>
      <w:pPr>
        <w:pStyle w:val="4"/>
        <w:spacing w:line="400" w:lineRule="exact"/>
        <w:ind w:firstLine="482" w:firstLineChars="200"/>
        <w:rPr>
          <w:rFonts w:cs="宋体"/>
          <w:b/>
          <w:color w:val="auto"/>
          <w:sz w:val="24"/>
          <w:highlight w:val="none"/>
        </w:rPr>
      </w:pPr>
      <w:bookmarkStart w:id="140" w:name="_Toc25770693"/>
      <w:bookmarkStart w:id="141" w:name="_Toc441065684"/>
      <w:bookmarkStart w:id="142" w:name="_Toc30913"/>
      <w:r>
        <w:rPr>
          <w:rFonts w:hint="eastAsia" w:cs="宋体"/>
          <w:b/>
          <w:color w:val="auto"/>
          <w:sz w:val="24"/>
          <w:highlight w:val="none"/>
        </w:rPr>
        <w:t>六、定标</w:t>
      </w:r>
      <w:bookmarkEnd w:id="140"/>
      <w:bookmarkEnd w:id="141"/>
      <w:bookmarkEnd w:id="142"/>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（一）定标原则</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采购人或其授权的评标委员会应按照评标报告中推荐的中标候选人排名顺序确定中标人。</w:t>
      </w:r>
    </w:p>
    <w:p>
      <w:pPr>
        <w:pStyle w:val="30"/>
        <w:spacing w:line="400" w:lineRule="exact"/>
        <w:ind w:firstLine="480" w:firstLineChars="200"/>
        <w:rPr>
          <w:rFonts w:hAnsi="宋体" w:cs="宋体"/>
          <w:color w:val="auto"/>
          <w:sz w:val="24"/>
          <w:highlight w:val="none"/>
        </w:rPr>
      </w:pPr>
      <w:r>
        <w:rPr>
          <w:rFonts w:hint="eastAsia" w:hAnsi="宋体" w:cs="宋体"/>
          <w:color w:val="auto"/>
          <w:sz w:val="24"/>
          <w:highlight w:val="none"/>
        </w:rPr>
        <w:t>（二）定标程序</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2、采购人在收到评标报告后5个工作日内确定中标人，确认后，采购代理机构在“重庆市政府采购网”对评标结果进行公告。中标公告期限为1个工作日。</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3、公告内容包括招标项目名称、中标人名单、评标委员会成员名单、采购代理机构联系人和电话。</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4、如有投标人对评标结果提出质疑的，在质疑处理完毕后发出中标通知书。</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5、中标人变更</w:t>
      </w:r>
    </w:p>
    <w:p>
      <w:pPr>
        <w:pStyle w:val="30"/>
        <w:spacing w:line="560" w:lineRule="exact"/>
        <w:ind w:firstLine="480" w:firstLineChars="200"/>
        <w:rPr>
          <w:rFonts w:hAnsi="宋体" w:cs="宋体"/>
          <w:color w:val="auto"/>
          <w:sz w:val="24"/>
          <w:highlight w:val="none"/>
        </w:rPr>
      </w:pPr>
      <w:r>
        <w:rPr>
          <w:rFonts w:hint="eastAsia" w:hAnsi="宋体" w:cs="宋体"/>
          <w:color w:val="auto"/>
          <w:sz w:val="24"/>
          <w:highlight w:val="none"/>
        </w:rPr>
        <w:t>⑴中标人拒绝与采购人签订合同的，采购人可以按照评审报告推荐的中标候选人名单排序，确定下一候选人为中标人，也可以重新开展政府采购活动。</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⑵中标人无充分理由放弃中标的，采购人将会同采购代理机构把相关情况报财政部门，财政部门将根据财政部十八号令第七十五条的规定对违规供应商进行处罚。</w:t>
      </w:r>
    </w:p>
    <w:p>
      <w:pPr>
        <w:pStyle w:val="4"/>
        <w:spacing w:line="400" w:lineRule="exact"/>
        <w:ind w:firstLine="482" w:firstLineChars="200"/>
        <w:rPr>
          <w:rFonts w:cs="宋体"/>
          <w:b/>
          <w:color w:val="auto"/>
          <w:sz w:val="24"/>
          <w:highlight w:val="none"/>
        </w:rPr>
      </w:pPr>
      <w:bookmarkStart w:id="143" w:name="_Toc25770694"/>
      <w:bookmarkStart w:id="144" w:name="_Toc441065685"/>
      <w:bookmarkStart w:id="145" w:name="_Toc21738"/>
      <w:r>
        <w:rPr>
          <w:rFonts w:hint="eastAsia" w:cs="宋体"/>
          <w:b/>
          <w:color w:val="auto"/>
          <w:sz w:val="24"/>
          <w:highlight w:val="none"/>
        </w:rPr>
        <w:t>七、中标通知书</w:t>
      </w:r>
      <w:bookmarkEnd w:id="143"/>
      <w:bookmarkEnd w:id="144"/>
      <w:bookmarkEnd w:id="145"/>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1、采购人依法确定中标人后，采购代理机构以书面形式发出中标通知书。</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2、中标通知书发出后，采购人改变中标结果，或者中标人放弃中标，应当承担相应的法律责任。</w:t>
      </w:r>
    </w:p>
    <w:p>
      <w:pPr>
        <w:pStyle w:val="4"/>
        <w:spacing w:line="400" w:lineRule="exact"/>
        <w:ind w:firstLine="482" w:firstLineChars="200"/>
        <w:rPr>
          <w:rFonts w:cs="宋体"/>
          <w:b/>
          <w:color w:val="auto"/>
          <w:sz w:val="24"/>
          <w:highlight w:val="none"/>
        </w:rPr>
      </w:pPr>
      <w:bookmarkStart w:id="146" w:name="_Toc441065686"/>
      <w:bookmarkStart w:id="147" w:name="_Toc25770695"/>
      <w:bookmarkStart w:id="148" w:name="_Toc26143"/>
      <w:r>
        <w:rPr>
          <w:rFonts w:hint="eastAsia" w:cs="宋体"/>
          <w:b/>
          <w:color w:val="auto"/>
          <w:sz w:val="24"/>
          <w:highlight w:val="none"/>
        </w:rPr>
        <w:t>八、关于质疑和投诉</w:t>
      </w:r>
      <w:bookmarkEnd w:id="146"/>
      <w:bookmarkEnd w:id="147"/>
      <w:bookmarkEnd w:id="148"/>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（一）质疑内容、时限</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投标人对中标结果有异议的，应当在中标预公示发布之日起七个工作日内以书面形式向采购人、采购代理机构提出质疑，并附相关证明材料。</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（二）质疑答复时限</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采购人、采购代理机构在收到投标人书面质疑后七个工作日内，对质疑内容作出答复。</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（三）不予受理或暂缓受理</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1、质疑有下列情形之一的，不予受理：</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1.1质疑供应商参与了投标活动后，再对招标文件内容提出质疑的；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1.2质疑超过有效期的；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1.3对同一事项重复质疑的。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2、质疑有下列情形之一的，应暂不受理并告知投标人补充材料。投标人及时补充材料的，应予受理；逾期未补充的，不予受理：</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2.1质疑书格式和内容不符合国家或重庆市相关规定的；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2.2质疑书提供的依据或证明材料不全的；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2.3质疑书副本数量不足的。</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（四）投诉</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1、投标人对采购人、采购代理机构的答复不满意，或者采购人、采购代理机构未在规定时间内答复的，可在答复期满后十五个工作日内按有关规定，向同级财政部门投诉。</w:t>
      </w:r>
    </w:p>
    <w:p>
      <w:pPr>
        <w:spacing w:line="400" w:lineRule="exact"/>
        <w:ind w:right="12" w:firstLine="480"/>
        <w:rPr>
          <w:rFonts w:ascii="宋体" w:hAnsi="宋体" w:cs="宋体"/>
          <w:color w:val="auto"/>
          <w:sz w:val="24"/>
          <w:highlight w:val="none"/>
        </w:rPr>
      </w:pPr>
      <w:r>
        <w:rPr>
          <w:rFonts w:hint="eastAsia" w:ascii="宋体" w:hAnsi="宋体" w:cs="宋体"/>
          <w:color w:val="auto"/>
          <w:sz w:val="24"/>
          <w:highlight w:val="none"/>
        </w:rPr>
        <w:t>2、在提出投诉时，应附送相关证明材料。投诉书及证明材料为外文的，应同时提供其中文译本；中文与外文意思不一致的，以中文为准。</w:t>
      </w:r>
    </w:p>
    <w:p>
      <w:pPr>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4"/>
        <w:spacing w:line="400" w:lineRule="exact"/>
        <w:ind w:firstLine="482" w:firstLineChars="200"/>
        <w:rPr>
          <w:b/>
          <w:color w:val="auto"/>
          <w:sz w:val="24"/>
          <w:highlight w:val="none"/>
        </w:rPr>
      </w:pPr>
      <w:bookmarkStart w:id="149" w:name="_Toc25770696"/>
      <w:bookmarkStart w:id="150" w:name="_Toc530691034"/>
      <w:bookmarkStart w:id="151" w:name="_Toc7715"/>
      <w:r>
        <w:rPr>
          <w:rFonts w:hint="eastAsia"/>
          <w:b/>
          <w:color w:val="auto"/>
          <w:sz w:val="24"/>
          <w:highlight w:val="none"/>
        </w:rPr>
        <w:t>九、采购代理服务费</w:t>
      </w:r>
      <w:bookmarkEnd w:id="149"/>
      <w:bookmarkEnd w:id="150"/>
      <w:bookmarkEnd w:id="151"/>
    </w:p>
    <w:p>
      <w:pPr>
        <w:spacing w:line="400" w:lineRule="exact"/>
        <w:ind w:right="12" w:firstLine="480"/>
        <w:rPr>
          <w:rFonts w:ascii="宋体" w:hAnsi="宋体" w:cs="仿宋"/>
          <w:color w:val="auto"/>
          <w:sz w:val="24"/>
          <w:highlight w:val="none"/>
        </w:rPr>
      </w:pPr>
      <w:r>
        <w:rPr>
          <w:rFonts w:hint="eastAsia" w:ascii="宋体" w:hAnsi="宋体" w:cs="仿宋"/>
          <w:color w:val="auto"/>
          <w:sz w:val="24"/>
          <w:highlight w:val="none"/>
        </w:rPr>
        <w:t>（一）本项目由中标人在中标结果公示后向采购代理机构缴纳采购代理服务费，采购代理服务费标准按如下服务招标标准执行:</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10" w:type="dxa"/>
            <w:tcBorders>
              <w:tl2br w:val="single" w:color="auto" w:sz="4" w:space="0"/>
            </w:tcBorders>
            <w:noWrap/>
          </w:tcPr>
          <w:p>
            <w:pPr>
              <w:spacing w:line="240" w:lineRule="atLeast"/>
              <w:jc w:val="right"/>
              <w:rPr>
                <w:rFonts w:ascii="宋体" w:hAnsi="宋体"/>
                <w:color w:val="auto"/>
                <w:sz w:val="24"/>
                <w:highlight w:val="none"/>
              </w:rPr>
            </w:pPr>
            <w:r>
              <w:rPr>
                <w:rFonts w:ascii="宋体" w:hAnsi="宋体"/>
                <w:color w:val="auto"/>
                <w:sz w:val="24"/>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7620" t="6350" r="10795" b="12065"/>
                      <wp:wrapNone/>
                      <wp:docPr id="2" name="Line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z75g9YAAAAIAQAADwAAAAAAAAABACAAAAAiAAAAZHJzL2Rvd25y&#10;ZXYueG1sUEsBAhQAFAAAAAgAh07iQAYdEPLHAQAAnQMAAA4AAAAAAAAAAQAgAAAAJQEAAGRycy9l&#10;Mm9Eb2MueG1sUEsFBgAAAAAGAAYAWQEAAF4FAAAAAA==&#10;">
                      <v:fill on="f" focussize="0,0"/>
                      <v:stroke color="#000000" joinstyle="round"/>
                      <v:imagedata o:title=""/>
                      <o:lock v:ext="edit" aspectratio="f"/>
                    </v:line>
                  </w:pict>
                </mc:Fallback>
              </mc:AlternateContent>
            </w:r>
            <w:r>
              <w:rPr>
                <w:rFonts w:hint="eastAsia" w:ascii="宋体" w:hAnsi="宋体"/>
                <w:color w:val="auto"/>
                <w:sz w:val="24"/>
                <w:highlight w:val="none"/>
              </w:rPr>
              <w:t>招标类型</w:t>
            </w:r>
          </w:p>
          <w:p>
            <w:pPr>
              <w:spacing w:line="240" w:lineRule="atLeast"/>
              <w:rPr>
                <w:rFonts w:ascii="宋体" w:hAnsi="宋体"/>
                <w:color w:val="auto"/>
                <w:sz w:val="24"/>
                <w:highlight w:val="none"/>
              </w:rPr>
            </w:pPr>
            <w:r>
              <w:rPr>
                <w:rFonts w:hint="eastAsia" w:ascii="宋体" w:hAnsi="宋体"/>
                <w:color w:val="auto"/>
                <w:sz w:val="24"/>
                <w:highlight w:val="none"/>
              </w:rPr>
              <w:t>中标金额（万元）</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货物招标</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服务招标</w:t>
            </w:r>
          </w:p>
        </w:tc>
        <w:tc>
          <w:tcPr>
            <w:tcW w:w="2272" w:type="dxa"/>
            <w:noWrap/>
            <w:vAlign w:val="center"/>
          </w:tcPr>
          <w:p>
            <w:pPr>
              <w:pStyle w:val="247"/>
              <w:widowControl w:val="0"/>
              <w:pBdr>
                <w:left w:val="none" w:color="auto" w:sz="0" w:space="0"/>
                <w:right w:val="none" w:color="auto" w:sz="0" w:space="0"/>
              </w:pBdr>
              <w:spacing w:before="0" w:beforeAutospacing="0" w:after="0" w:afterAutospacing="0" w:line="240" w:lineRule="atLeast"/>
              <w:rPr>
                <w:color w:val="auto"/>
                <w:kern w:val="2"/>
                <w:highlight w:val="none"/>
              </w:rPr>
            </w:pPr>
            <w:r>
              <w:rPr>
                <w:rFonts w:hint="eastAsia"/>
                <w:color w:val="auto"/>
                <w:kern w:val="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100以下</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1.5%</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1.5%</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100-500</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1.1%</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0.8%</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500-1000</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0.8%</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0.45%</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1000-5000</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0.5%</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0.25%</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5000-10000</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0.25%</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0.1%</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10000-100000</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0.05%</w:t>
            </w:r>
          </w:p>
        </w:tc>
        <w:tc>
          <w:tcPr>
            <w:tcW w:w="2273"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0.05%</w:t>
            </w:r>
          </w:p>
        </w:tc>
        <w:tc>
          <w:tcPr>
            <w:tcW w:w="2272" w:type="dxa"/>
            <w:noWrap/>
            <w:vAlign w:val="center"/>
          </w:tcPr>
          <w:p>
            <w:pPr>
              <w:spacing w:line="240" w:lineRule="atLeast"/>
              <w:jc w:val="center"/>
              <w:rPr>
                <w:rFonts w:ascii="宋体" w:hAnsi="宋体"/>
                <w:color w:val="auto"/>
                <w:sz w:val="24"/>
                <w:highlight w:val="none"/>
              </w:rPr>
            </w:pPr>
            <w:r>
              <w:rPr>
                <w:rFonts w:hint="eastAsia" w:ascii="宋体" w:hAnsi="宋体"/>
                <w:color w:val="auto"/>
                <w:sz w:val="24"/>
                <w:highlight w:val="none"/>
              </w:rPr>
              <w:t>0.05%</w:t>
            </w:r>
          </w:p>
        </w:tc>
      </w:tr>
    </w:tbl>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注：代理服务收费按差额定率累进法计算。例如：某服务代理业务成交金额为500万元，计算代理服务收费额如下：</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100万元×1.5%=1.5万元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（500-100）万元×0.8%=3.2万元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合计收费=1.5+3.2=4.7（万元）</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（二）采购代理服务费缴纳账号：</w:t>
      </w:r>
    </w:p>
    <w:p>
      <w:pPr>
        <w:pStyle w:val="4"/>
        <w:spacing w:line="400" w:lineRule="exact"/>
        <w:ind w:firstLine="480" w:firstLineChars="200"/>
        <w:rPr>
          <w:rFonts w:hAnsi="宋体"/>
          <w:color w:val="auto"/>
          <w:sz w:val="24"/>
          <w:highlight w:val="none"/>
        </w:rPr>
      </w:pPr>
      <w:bookmarkStart w:id="152" w:name="_Toc27518"/>
      <w:bookmarkStart w:id="153" w:name="_Toc23842"/>
      <w:bookmarkStart w:id="154" w:name="_Toc4211"/>
      <w:bookmarkStart w:id="155" w:name="_Toc25770697"/>
      <w:r>
        <w:rPr>
          <w:rFonts w:hint="eastAsia" w:hAnsi="宋体"/>
          <w:color w:val="auto"/>
          <w:sz w:val="24"/>
          <w:highlight w:val="none"/>
        </w:rPr>
        <w:t>户  名：重庆精聚达建筑工程咨询有限公司</w:t>
      </w:r>
      <w:bookmarkEnd w:id="152"/>
      <w:bookmarkEnd w:id="153"/>
      <w:bookmarkEnd w:id="154"/>
    </w:p>
    <w:p>
      <w:pPr>
        <w:pStyle w:val="4"/>
        <w:spacing w:line="400" w:lineRule="exact"/>
        <w:ind w:firstLine="480" w:firstLineChars="200"/>
        <w:rPr>
          <w:rFonts w:hAnsi="宋体"/>
          <w:color w:val="auto"/>
          <w:sz w:val="24"/>
          <w:highlight w:val="none"/>
        </w:rPr>
      </w:pPr>
      <w:bookmarkStart w:id="156" w:name="_Toc6187"/>
      <w:bookmarkStart w:id="157" w:name="_Toc17861"/>
      <w:bookmarkStart w:id="158" w:name="_Toc11571"/>
      <w:r>
        <w:rPr>
          <w:rFonts w:hint="eastAsia" w:hAnsi="宋体"/>
          <w:color w:val="auto"/>
          <w:sz w:val="24"/>
          <w:highlight w:val="none"/>
        </w:rPr>
        <w:t>开户行：建行重庆观音桥支行新牌坊分理处</w:t>
      </w:r>
      <w:bookmarkEnd w:id="156"/>
      <w:bookmarkEnd w:id="157"/>
      <w:bookmarkEnd w:id="158"/>
    </w:p>
    <w:p>
      <w:pPr>
        <w:pStyle w:val="4"/>
        <w:spacing w:line="400" w:lineRule="exact"/>
        <w:ind w:firstLine="480" w:firstLineChars="200"/>
        <w:rPr>
          <w:rFonts w:hAnsi="宋体"/>
          <w:color w:val="auto"/>
          <w:sz w:val="24"/>
          <w:highlight w:val="none"/>
        </w:rPr>
      </w:pPr>
      <w:bookmarkStart w:id="159" w:name="_Toc13188"/>
      <w:bookmarkStart w:id="160" w:name="_Toc12107"/>
      <w:bookmarkStart w:id="161" w:name="_Toc3904"/>
      <w:r>
        <w:rPr>
          <w:rFonts w:hint="eastAsia" w:hAnsi="宋体"/>
          <w:color w:val="auto"/>
          <w:sz w:val="24"/>
          <w:highlight w:val="none"/>
        </w:rPr>
        <w:t>账  号：5000 1060  0450 5250 0714</w:t>
      </w:r>
      <w:bookmarkEnd w:id="159"/>
      <w:bookmarkEnd w:id="160"/>
      <w:bookmarkEnd w:id="161"/>
    </w:p>
    <w:p>
      <w:pPr>
        <w:pStyle w:val="4"/>
        <w:spacing w:line="400" w:lineRule="exact"/>
        <w:ind w:firstLine="482" w:firstLineChars="200"/>
        <w:rPr>
          <w:b/>
          <w:color w:val="auto"/>
          <w:sz w:val="24"/>
          <w:highlight w:val="none"/>
        </w:rPr>
      </w:pPr>
      <w:bookmarkStart w:id="162" w:name="_Toc17926"/>
      <w:r>
        <w:rPr>
          <w:rFonts w:hint="eastAsia"/>
          <w:b/>
          <w:color w:val="auto"/>
          <w:sz w:val="24"/>
          <w:highlight w:val="none"/>
        </w:rPr>
        <w:t>十、交易服务费</w:t>
      </w:r>
      <w:bookmarkEnd w:id="155"/>
      <w:bookmarkEnd w:id="162"/>
    </w:p>
    <w:p>
      <w:pPr>
        <w:spacing w:line="400" w:lineRule="exact"/>
        <w:ind w:firstLine="560" w:firstLineChars="200"/>
        <w:rPr>
          <w:rFonts w:ascii="宋体" w:hAnsi="宋体" w:cs="宋体"/>
          <w:color w:val="auto"/>
          <w:sz w:val="24"/>
          <w:highlight w:val="none"/>
        </w:rPr>
      </w:pPr>
      <w:r>
        <w:rPr>
          <w:rFonts w:hint="eastAsia" w:ascii="宋体" w:hAnsi="宋体" w:cs="宋体"/>
          <w:color w:val="auto"/>
          <w:spacing w:val="20"/>
          <w:kern w:val="21"/>
          <w:sz w:val="24"/>
          <w:szCs w:val="21"/>
          <w:highlight w:val="none"/>
        </w:rPr>
        <w:t>投标人中标后向“重庆联合产权交易所集团股份有限公司”缴纳交易服务费，服务费的收取标准按渝价[2018]54号执行。</w:t>
      </w:r>
    </w:p>
    <w:p>
      <w:pPr>
        <w:pStyle w:val="4"/>
        <w:spacing w:line="400" w:lineRule="exact"/>
        <w:ind w:firstLine="482" w:firstLineChars="200"/>
        <w:rPr>
          <w:rFonts w:cs="宋体"/>
          <w:b/>
          <w:color w:val="auto"/>
          <w:sz w:val="24"/>
          <w:highlight w:val="none"/>
        </w:rPr>
      </w:pPr>
      <w:bookmarkStart w:id="163" w:name="_Toc441065689"/>
      <w:bookmarkStart w:id="164" w:name="_Toc25770698"/>
      <w:bookmarkStart w:id="165" w:name="_Toc20448"/>
      <w:r>
        <w:rPr>
          <w:rFonts w:hint="eastAsia" w:cs="宋体"/>
          <w:b/>
          <w:color w:val="auto"/>
          <w:sz w:val="24"/>
          <w:highlight w:val="none"/>
        </w:rPr>
        <w:t>十一、签订合同</w:t>
      </w:r>
      <w:bookmarkEnd w:id="163"/>
      <w:bookmarkEnd w:id="164"/>
      <w:bookmarkEnd w:id="165"/>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（一）采购人应当自中标通知书发出之日起三十日内，按照招标文件和中标人投标文件的约定，与中标人签订书面合同。所签订的合同不得对招标文件和中标人投标文件作实质性修改。</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（二）采购人应当自政府采购合同签订之日起2个工作日内，将政府采购合同在重庆市政府采购网上公告，但政府采购合同中涉及国家秘密、商业秘密的内容除外。</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（三）招标文件、中标人的投标文件及澄清文件等，均为签订政府采购合同的依据。</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（四）合同生效条款由供需双方约定，法律、行政法规规定应当办理批准、登记等手续后生效的合同，依照其规定。</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（五）合同原则上应按照《重庆市政府采购合同》签订，相关单位要求适用合同通用格式版本的，应按其要求另行签订其他合同。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（六）采购人要求中标人提供履约保证金的，应当在招标文件中予以约定。中标人履约完毕后，采购人应于五日内无息退还其履约保证金。</w:t>
      </w:r>
    </w:p>
    <w:p>
      <w:pPr>
        <w:widowControl/>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十、政府采购信用融资</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人参与重庆市政府采购活动，成为中标、中标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beforeLines="0" w:afterLines="0" w:line="360" w:lineRule="auto"/>
        <w:rPr>
          <w:color w:val="auto"/>
          <w:highlight w:val="none"/>
        </w:rPr>
      </w:pPr>
      <w:r>
        <w:rPr>
          <w:rFonts w:ascii="宋体" w:hAnsi="宋体" w:cs="宋体"/>
          <w:color w:val="auto"/>
          <w:sz w:val="24"/>
          <w:highlight w:val="none"/>
        </w:rPr>
        <w:br w:type="page"/>
      </w:r>
      <w:bookmarkStart w:id="166" w:name="_Toc530573525"/>
      <w:bookmarkStart w:id="167" w:name="_Toc25931"/>
      <w:bookmarkStart w:id="168" w:name="_Toc17134"/>
      <w:bookmarkStart w:id="169" w:name="_Toc6403"/>
      <w:r>
        <w:rPr>
          <w:color w:val="auto"/>
          <w:highlight w:val="none"/>
        </w:rPr>
        <w:t>第六篇</w:t>
      </w:r>
      <w:r>
        <w:rPr>
          <w:rFonts w:hint="eastAsia"/>
          <w:color w:val="auto"/>
          <w:highlight w:val="none"/>
        </w:rPr>
        <w:t xml:space="preserve">  </w:t>
      </w:r>
      <w:r>
        <w:rPr>
          <w:color w:val="auto"/>
          <w:highlight w:val="none"/>
        </w:rPr>
        <w:t>合同主要条款和格式合同（样本）</w:t>
      </w:r>
      <w:bookmarkEnd w:id="166"/>
      <w:bookmarkEnd w:id="167"/>
      <w:bookmarkEnd w:id="168"/>
      <w:bookmarkEnd w:id="169"/>
    </w:p>
    <w:p>
      <w:pPr>
        <w:pStyle w:val="4"/>
        <w:ind w:firstLine="482" w:firstLineChars="200"/>
        <w:rPr>
          <w:rFonts w:ascii="Times New Roman"/>
          <w:b/>
          <w:bCs/>
          <w:color w:val="auto"/>
          <w:sz w:val="24"/>
          <w:szCs w:val="24"/>
          <w:highlight w:val="none"/>
        </w:rPr>
      </w:pPr>
      <w:bookmarkStart w:id="170" w:name="_Toc12933"/>
      <w:bookmarkStart w:id="171" w:name="_Toc23628"/>
      <w:bookmarkStart w:id="172" w:name="_Toc20372"/>
      <w:bookmarkStart w:id="173" w:name="_Toc285722712"/>
      <w:bookmarkStart w:id="174" w:name="_Toc9469"/>
      <w:bookmarkStart w:id="175" w:name="_Toc277084870"/>
      <w:bookmarkStart w:id="176" w:name="_Toc530573526"/>
      <w:bookmarkStart w:id="177" w:name="_Toc30201"/>
      <w:r>
        <w:rPr>
          <w:rFonts w:ascii="Times New Roman"/>
          <w:b/>
          <w:bCs/>
          <w:color w:val="auto"/>
          <w:sz w:val="24"/>
          <w:szCs w:val="24"/>
          <w:highlight w:val="none"/>
        </w:rPr>
        <w:t>一、合同主要条款</w:t>
      </w:r>
      <w:bookmarkEnd w:id="170"/>
      <w:bookmarkEnd w:id="171"/>
      <w:bookmarkEnd w:id="172"/>
      <w:bookmarkEnd w:id="173"/>
      <w:bookmarkEnd w:id="174"/>
      <w:bookmarkEnd w:id="175"/>
      <w:bookmarkEnd w:id="176"/>
      <w:bookmarkEnd w:id="177"/>
    </w:p>
    <w:p>
      <w:pPr>
        <w:snapToGrid w:val="0"/>
        <w:spacing w:line="360" w:lineRule="auto"/>
        <w:ind w:firstLine="480" w:firstLineChars="200"/>
        <w:outlineLvl w:val="0"/>
        <w:rPr>
          <w:color w:val="auto"/>
          <w:sz w:val="24"/>
          <w:szCs w:val="24"/>
          <w:highlight w:val="none"/>
        </w:rPr>
      </w:pPr>
      <w:r>
        <w:rPr>
          <w:color w:val="auto"/>
          <w:sz w:val="24"/>
          <w:szCs w:val="24"/>
          <w:highlight w:val="none"/>
        </w:rPr>
        <w:t>1、定义</w:t>
      </w:r>
    </w:p>
    <w:p>
      <w:pPr>
        <w:snapToGrid w:val="0"/>
        <w:spacing w:line="360" w:lineRule="auto"/>
        <w:ind w:firstLine="480" w:firstLineChars="200"/>
        <w:outlineLvl w:val="0"/>
        <w:rPr>
          <w:color w:val="auto"/>
          <w:sz w:val="24"/>
          <w:szCs w:val="24"/>
          <w:highlight w:val="none"/>
        </w:rPr>
      </w:pPr>
      <w:r>
        <w:rPr>
          <w:color w:val="auto"/>
          <w:sz w:val="24"/>
          <w:szCs w:val="24"/>
          <w:highlight w:val="none"/>
        </w:rPr>
        <w:t>（1）甲方（需方）即采购人，是指通过招标采购，接受合同服务及服务的各级国家机关、事业单位和团体组织。</w:t>
      </w:r>
    </w:p>
    <w:p>
      <w:pPr>
        <w:snapToGrid w:val="0"/>
        <w:spacing w:line="360" w:lineRule="auto"/>
        <w:ind w:firstLine="480" w:firstLineChars="200"/>
        <w:outlineLvl w:val="0"/>
        <w:rPr>
          <w:color w:val="auto"/>
          <w:sz w:val="24"/>
          <w:szCs w:val="24"/>
          <w:highlight w:val="none"/>
        </w:rPr>
      </w:pPr>
      <w:r>
        <w:rPr>
          <w:color w:val="auto"/>
          <w:sz w:val="24"/>
          <w:szCs w:val="24"/>
          <w:highlight w:val="none"/>
        </w:rPr>
        <w:t>（2）乙方（供方）即中标人，是指中标后提供合同服务和服务的自然人、法人及其他组织。</w:t>
      </w:r>
    </w:p>
    <w:p>
      <w:pPr>
        <w:snapToGrid w:val="0"/>
        <w:spacing w:line="360" w:lineRule="auto"/>
        <w:ind w:firstLine="480" w:firstLineChars="200"/>
        <w:outlineLvl w:val="0"/>
        <w:rPr>
          <w:color w:val="auto"/>
          <w:sz w:val="24"/>
          <w:szCs w:val="24"/>
          <w:highlight w:val="none"/>
        </w:rPr>
      </w:pPr>
      <w:r>
        <w:rPr>
          <w:color w:val="auto"/>
          <w:sz w:val="24"/>
          <w:szCs w:val="24"/>
          <w:highlight w:val="none"/>
        </w:rPr>
        <w:t>（3）合同是指由甲乙双方按照招标文件和投标文件的实质性内容，通过协商一致达成的书面协议。</w:t>
      </w:r>
    </w:p>
    <w:p>
      <w:pPr>
        <w:snapToGrid w:val="0"/>
        <w:spacing w:line="360" w:lineRule="auto"/>
        <w:ind w:firstLine="480" w:firstLineChars="200"/>
        <w:outlineLvl w:val="0"/>
        <w:rPr>
          <w:color w:val="auto"/>
          <w:sz w:val="24"/>
          <w:szCs w:val="24"/>
          <w:highlight w:val="none"/>
        </w:rPr>
      </w:pPr>
      <w:r>
        <w:rPr>
          <w:color w:val="auto"/>
          <w:sz w:val="24"/>
          <w:szCs w:val="24"/>
          <w:highlight w:val="none"/>
        </w:rPr>
        <w:t>（4）合同价格指以中标价格为依据，在供方全面履行合同义务后，需方（或财政部门）应支付给供方的金额。</w:t>
      </w:r>
    </w:p>
    <w:p>
      <w:pPr>
        <w:snapToGrid w:val="0"/>
        <w:spacing w:line="360" w:lineRule="auto"/>
        <w:ind w:firstLine="480" w:firstLineChars="200"/>
        <w:outlineLvl w:val="0"/>
        <w:rPr>
          <w:color w:val="auto"/>
          <w:sz w:val="24"/>
          <w:szCs w:val="24"/>
          <w:highlight w:val="none"/>
        </w:rPr>
      </w:pPr>
      <w:r>
        <w:rPr>
          <w:color w:val="auto"/>
          <w:sz w:val="24"/>
          <w:szCs w:val="24"/>
          <w:highlight w:val="none"/>
        </w:rPr>
        <w:t>（5）技术资料是指合同服务及其相关的设计、制造、监造、检验、验收等文件（包括图纸、各种文字说明、标准）。</w:t>
      </w:r>
    </w:p>
    <w:p>
      <w:pPr>
        <w:snapToGrid w:val="0"/>
        <w:spacing w:line="360" w:lineRule="auto"/>
        <w:ind w:firstLine="480" w:firstLineChars="200"/>
        <w:outlineLvl w:val="0"/>
        <w:rPr>
          <w:color w:val="auto"/>
          <w:sz w:val="24"/>
          <w:szCs w:val="24"/>
          <w:highlight w:val="none"/>
        </w:rPr>
      </w:pPr>
      <w:r>
        <w:rPr>
          <w:color w:val="auto"/>
          <w:sz w:val="24"/>
          <w:szCs w:val="24"/>
          <w:highlight w:val="none"/>
        </w:rPr>
        <w:t>2、服务内容</w:t>
      </w:r>
    </w:p>
    <w:p>
      <w:pPr>
        <w:snapToGrid w:val="0"/>
        <w:spacing w:line="360" w:lineRule="auto"/>
        <w:ind w:firstLine="480" w:firstLineChars="200"/>
        <w:outlineLvl w:val="0"/>
        <w:rPr>
          <w:color w:val="auto"/>
          <w:sz w:val="24"/>
          <w:szCs w:val="24"/>
          <w:highlight w:val="none"/>
        </w:rPr>
      </w:pPr>
      <w:r>
        <w:rPr>
          <w:color w:val="auto"/>
          <w:sz w:val="24"/>
          <w:szCs w:val="24"/>
          <w:highlight w:val="none"/>
        </w:rPr>
        <w:t>合同包括以下内容：服务名称、</w:t>
      </w:r>
      <w:r>
        <w:rPr>
          <w:rFonts w:hint="eastAsia"/>
          <w:color w:val="auto"/>
          <w:sz w:val="24"/>
          <w:szCs w:val="24"/>
          <w:highlight w:val="none"/>
        </w:rPr>
        <w:t>检测</w:t>
      </w:r>
      <w:r>
        <w:rPr>
          <w:color w:val="auto"/>
          <w:sz w:val="24"/>
          <w:szCs w:val="24"/>
          <w:highlight w:val="none"/>
        </w:rPr>
        <w:t>内容、技术参数、数量（单位）等内容。</w:t>
      </w:r>
    </w:p>
    <w:p>
      <w:pPr>
        <w:snapToGrid w:val="0"/>
        <w:spacing w:line="360" w:lineRule="auto"/>
        <w:ind w:firstLine="480" w:firstLineChars="200"/>
        <w:outlineLvl w:val="0"/>
        <w:rPr>
          <w:color w:val="auto"/>
          <w:sz w:val="24"/>
          <w:szCs w:val="24"/>
          <w:highlight w:val="none"/>
        </w:rPr>
      </w:pPr>
      <w:r>
        <w:rPr>
          <w:color w:val="auto"/>
          <w:sz w:val="24"/>
          <w:szCs w:val="24"/>
          <w:highlight w:val="none"/>
        </w:rPr>
        <w:t>3、合同价格</w:t>
      </w:r>
    </w:p>
    <w:p>
      <w:pPr>
        <w:snapToGrid w:val="0"/>
        <w:spacing w:line="360" w:lineRule="auto"/>
        <w:ind w:firstLine="480" w:firstLineChars="200"/>
        <w:outlineLvl w:val="0"/>
        <w:rPr>
          <w:color w:val="auto"/>
          <w:sz w:val="24"/>
          <w:szCs w:val="24"/>
          <w:highlight w:val="none"/>
        </w:rPr>
      </w:pPr>
      <w:r>
        <w:rPr>
          <w:color w:val="auto"/>
          <w:sz w:val="24"/>
          <w:szCs w:val="24"/>
          <w:highlight w:val="none"/>
        </w:rPr>
        <w:t>（1）合同价格即合同总价。</w:t>
      </w:r>
    </w:p>
    <w:p>
      <w:pPr>
        <w:snapToGrid w:val="0"/>
        <w:spacing w:line="360" w:lineRule="auto"/>
        <w:ind w:firstLine="480" w:firstLineChars="200"/>
        <w:outlineLvl w:val="0"/>
        <w:rPr>
          <w:color w:val="auto"/>
          <w:sz w:val="24"/>
          <w:szCs w:val="24"/>
          <w:highlight w:val="none"/>
        </w:rPr>
      </w:pPr>
      <w:r>
        <w:rPr>
          <w:color w:val="auto"/>
          <w:sz w:val="24"/>
          <w:szCs w:val="24"/>
          <w:highlight w:val="none"/>
        </w:rPr>
        <w:t>（2）合同价格包括合同服务、技术资料、合同服务的税费、运杂费、保险费、包装费、装卸费及与服务有关的供方应纳的税费，所有税费由乙方负担。</w:t>
      </w:r>
    </w:p>
    <w:p>
      <w:pPr>
        <w:snapToGrid w:val="0"/>
        <w:spacing w:line="360" w:lineRule="auto"/>
        <w:ind w:firstLine="480" w:firstLineChars="200"/>
        <w:outlineLvl w:val="0"/>
        <w:rPr>
          <w:color w:val="auto"/>
          <w:sz w:val="24"/>
          <w:szCs w:val="24"/>
          <w:highlight w:val="none"/>
        </w:rPr>
      </w:pPr>
      <w:r>
        <w:rPr>
          <w:color w:val="auto"/>
          <w:sz w:val="24"/>
          <w:szCs w:val="24"/>
          <w:highlight w:val="none"/>
        </w:rPr>
        <w:t>（3）合同服务单价为不变价。</w:t>
      </w:r>
    </w:p>
    <w:p>
      <w:pPr>
        <w:snapToGrid w:val="0"/>
        <w:spacing w:line="360" w:lineRule="auto"/>
        <w:ind w:firstLine="480" w:firstLineChars="200"/>
        <w:outlineLvl w:val="0"/>
        <w:rPr>
          <w:color w:val="auto"/>
          <w:sz w:val="24"/>
          <w:szCs w:val="24"/>
          <w:highlight w:val="none"/>
        </w:rPr>
      </w:pPr>
      <w:r>
        <w:rPr>
          <w:color w:val="auto"/>
          <w:sz w:val="24"/>
          <w:szCs w:val="24"/>
          <w:highlight w:val="none"/>
        </w:rPr>
        <w:t>4、转包或分包</w:t>
      </w:r>
    </w:p>
    <w:p>
      <w:pPr>
        <w:snapToGrid w:val="0"/>
        <w:spacing w:line="360" w:lineRule="auto"/>
        <w:ind w:firstLine="480" w:firstLineChars="200"/>
        <w:outlineLvl w:val="0"/>
        <w:rPr>
          <w:color w:val="auto"/>
          <w:sz w:val="24"/>
          <w:szCs w:val="24"/>
          <w:highlight w:val="none"/>
        </w:rPr>
      </w:pPr>
      <w:r>
        <w:rPr>
          <w:color w:val="auto"/>
          <w:sz w:val="24"/>
          <w:szCs w:val="24"/>
          <w:highlight w:val="none"/>
        </w:rPr>
        <w:t>（1）本合同范围的服务，应由乙方直接供应，不得转让他人供应；</w:t>
      </w:r>
    </w:p>
    <w:p>
      <w:pPr>
        <w:snapToGrid w:val="0"/>
        <w:spacing w:line="360" w:lineRule="auto"/>
        <w:ind w:firstLine="480" w:firstLineChars="200"/>
        <w:outlineLvl w:val="0"/>
        <w:rPr>
          <w:color w:val="auto"/>
          <w:sz w:val="24"/>
          <w:szCs w:val="24"/>
          <w:highlight w:val="none"/>
        </w:rPr>
      </w:pPr>
      <w:r>
        <w:rPr>
          <w:color w:val="auto"/>
          <w:sz w:val="24"/>
          <w:szCs w:val="24"/>
          <w:highlight w:val="none"/>
        </w:rPr>
        <w:t>（2）非经甲方书面同意，乙方不得将本合同范围的服务全部或部分分包给他人供应；</w:t>
      </w:r>
    </w:p>
    <w:p>
      <w:pPr>
        <w:snapToGrid w:val="0"/>
        <w:spacing w:line="360" w:lineRule="auto"/>
        <w:ind w:firstLine="480" w:firstLineChars="200"/>
        <w:outlineLvl w:val="0"/>
        <w:rPr>
          <w:color w:val="auto"/>
          <w:sz w:val="24"/>
          <w:szCs w:val="24"/>
          <w:highlight w:val="none"/>
        </w:rPr>
      </w:pPr>
      <w:r>
        <w:rPr>
          <w:color w:val="auto"/>
          <w:sz w:val="24"/>
          <w:szCs w:val="24"/>
          <w:highlight w:val="none"/>
        </w:rPr>
        <w:t>（3）如有转让和未经甲方同意的分包行为，甲方有权解除合同，没收履约保证金并追究乙方的违约责任。</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5、质量保证</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5.1乙方应按招标文件规定的服务性能、技术要求、质量标准向甲方提供</w:t>
      </w:r>
      <w:r>
        <w:rPr>
          <w:rFonts w:hint="eastAsia"/>
          <w:color w:val="auto"/>
          <w:sz w:val="24"/>
          <w:szCs w:val="24"/>
          <w:highlight w:val="none"/>
        </w:rPr>
        <w:t>检测</w:t>
      </w:r>
      <w:r>
        <w:rPr>
          <w:rFonts w:ascii="Times New Roman" w:hAnsi="Times New Roman"/>
          <w:color w:val="auto"/>
          <w:sz w:val="24"/>
          <w:szCs w:val="24"/>
          <w:highlight w:val="none"/>
        </w:rPr>
        <w:t>报告。</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5.2、对达不到技术要求者，根据实际情况，经双方协商，可按以下办法处理：</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乙方应免费修改，直到达到要求，或则解除合同，酌情支付乙方设计费用。</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5.3如在使用过程中发生问题，乙方应按本项目“第三篇项目商务要求”中的要求处理。</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5.4在质保期内，乙方应对服务出现的质量及安全问题负责处理解决并承担一切费用。</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6、付款</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6.1本合同使用货币币制如未作特别说明均为人民币。</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6.2付款方式：银行转账、现金支票。</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6.3付款方法：同本项目“第三篇商务条款”中关于付款方式的约定。</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7、检查验收</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（1）供方应随服务提供合格证和质量证明文件，如是国外进口的服务还须提供入关证明。</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（2）服务验收</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供方所交服务的各种质量指标不得低于供方提供样品的质量指标（无样品时按供方的投标时提供的“技术文件”执行），售后服务质量要求按照招标文件和投标文件的内容执行。供方交货时，需方可根据需要随机抽取一部分服务送有关权威检测部门检测，如检测不合格，供方负责赔偿需方一切损失。</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8、索赔</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供方对服务与合同要求不符负有责任，并且需方已于规定交货内和质量保证期内提出索赔，供方应按需方同意的下述一种或多种方法解决索赔事宜。</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供方同意需方拒收服务并把拒收服务的金额以合同规定的同类货币付给需方，供方负担发生的一切损失和费用，包括利息、运输和保险费、检验费、仓储和装卸费以及为保管和保护被拒绝服务所需要的其它必要费用。</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（2）根据服务的疵劣和受损程度以及需方遭受损失的金额，经双方同意降低服务价格。</w:t>
      </w:r>
    </w:p>
    <w:p>
      <w:pPr>
        <w:pStyle w:val="30"/>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9、知识产权</w:t>
      </w:r>
    </w:p>
    <w:p>
      <w:pPr>
        <w:pStyle w:val="30"/>
        <w:ind w:firstLine="480" w:firstLineChars="200"/>
        <w:rPr>
          <w:rFonts w:ascii="Times New Roman" w:hAnsi="Times New Roman"/>
          <w:color w:val="auto"/>
          <w:sz w:val="24"/>
          <w:szCs w:val="24"/>
          <w:highlight w:val="none"/>
        </w:rPr>
      </w:pPr>
      <w:r>
        <w:rPr>
          <w:rFonts w:ascii="Times New Roman" w:hAnsi="Times New Roman"/>
          <w:color w:val="auto"/>
          <w:kern w:val="0"/>
          <w:sz w:val="24"/>
          <w:szCs w:val="24"/>
          <w:highlight w:val="none"/>
        </w:rPr>
        <w:t>甲方在中华人民共和国境内使用乙方提供的服务及服务时免受第三方提出的侵犯其专利权或其它知识产权的起诉。如果第三方提出侵权指控，乙方应承担由此而引起的一切法律责任和费用。</w:t>
      </w:r>
    </w:p>
    <w:p>
      <w:pPr>
        <w:snapToGrid w:val="0"/>
        <w:spacing w:line="360" w:lineRule="auto"/>
        <w:ind w:firstLine="480" w:firstLineChars="200"/>
        <w:outlineLvl w:val="0"/>
        <w:rPr>
          <w:color w:val="auto"/>
          <w:sz w:val="24"/>
          <w:szCs w:val="24"/>
          <w:highlight w:val="none"/>
        </w:rPr>
      </w:pPr>
      <w:r>
        <w:rPr>
          <w:color w:val="auto"/>
          <w:sz w:val="24"/>
          <w:szCs w:val="24"/>
          <w:highlight w:val="none"/>
        </w:rPr>
        <w:t>10、合同争议的解决</w:t>
      </w:r>
    </w:p>
    <w:p>
      <w:pPr>
        <w:snapToGrid w:val="0"/>
        <w:spacing w:line="360" w:lineRule="auto"/>
        <w:ind w:firstLine="480" w:firstLineChars="200"/>
        <w:outlineLvl w:val="0"/>
        <w:rPr>
          <w:color w:val="auto"/>
          <w:sz w:val="24"/>
          <w:szCs w:val="24"/>
          <w:highlight w:val="none"/>
        </w:rPr>
      </w:pPr>
      <w:r>
        <w:rPr>
          <w:color w:val="auto"/>
          <w:sz w:val="24"/>
          <w:szCs w:val="24"/>
          <w:highlight w:val="none"/>
        </w:rPr>
        <w:t>（1）当事人友好协商达成一致</w:t>
      </w:r>
    </w:p>
    <w:p>
      <w:pPr>
        <w:snapToGrid w:val="0"/>
        <w:spacing w:line="360" w:lineRule="auto"/>
        <w:ind w:firstLine="480" w:firstLineChars="200"/>
        <w:outlineLvl w:val="0"/>
        <w:rPr>
          <w:color w:val="auto"/>
          <w:sz w:val="24"/>
          <w:szCs w:val="24"/>
          <w:highlight w:val="none"/>
        </w:rPr>
      </w:pPr>
      <w:r>
        <w:rPr>
          <w:color w:val="auto"/>
          <w:sz w:val="24"/>
          <w:szCs w:val="24"/>
          <w:highlight w:val="none"/>
        </w:rPr>
        <w:t>（2）在60天内当事人协商不能达成协议的，可提请采购人当地仲裁机构仲裁。</w:t>
      </w:r>
    </w:p>
    <w:p>
      <w:pPr>
        <w:snapToGrid w:val="0"/>
        <w:spacing w:line="360" w:lineRule="auto"/>
        <w:ind w:firstLine="480" w:firstLineChars="200"/>
        <w:outlineLvl w:val="0"/>
        <w:rPr>
          <w:color w:val="auto"/>
          <w:sz w:val="24"/>
          <w:szCs w:val="24"/>
          <w:highlight w:val="none"/>
        </w:rPr>
      </w:pPr>
      <w:r>
        <w:rPr>
          <w:color w:val="auto"/>
          <w:sz w:val="24"/>
          <w:szCs w:val="24"/>
          <w:highlight w:val="none"/>
        </w:rPr>
        <w:t>11、违约责任</w:t>
      </w:r>
    </w:p>
    <w:p>
      <w:pPr>
        <w:snapToGrid w:val="0"/>
        <w:spacing w:line="360" w:lineRule="auto"/>
        <w:ind w:firstLine="480" w:firstLineChars="200"/>
        <w:outlineLvl w:val="0"/>
        <w:rPr>
          <w:color w:val="auto"/>
          <w:sz w:val="24"/>
          <w:szCs w:val="24"/>
          <w:highlight w:val="none"/>
        </w:rPr>
      </w:pPr>
      <w:r>
        <w:rPr>
          <w:color w:val="auto"/>
          <w:sz w:val="24"/>
          <w:szCs w:val="24"/>
          <w:highlight w:val="none"/>
        </w:rPr>
        <w:t>按《中华人民共和国合同法》、《中华人民共和国政府采购法》有关条款，或由供需双方约定。</w:t>
      </w:r>
    </w:p>
    <w:p>
      <w:pPr>
        <w:snapToGrid w:val="0"/>
        <w:spacing w:line="360" w:lineRule="auto"/>
        <w:ind w:firstLine="480" w:firstLineChars="200"/>
        <w:outlineLvl w:val="0"/>
        <w:rPr>
          <w:color w:val="auto"/>
          <w:sz w:val="24"/>
          <w:szCs w:val="24"/>
          <w:highlight w:val="none"/>
        </w:rPr>
      </w:pPr>
      <w:r>
        <w:rPr>
          <w:color w:val="auto"/>
          <w:sz w:val="24"/>
          <w:szCs w:val="24"/>
          <w:highlight w:val="none"/>
        </w:rPr>
        <w:t>12、合同生效及其它</w:t>
      </w:r>
    </w:p>
    <w:p>
      <w:pPr>
        <w:snapToGrid w:val="0"/>
        <w:spacing w:line="360" w:lineRule="auto"/>
        <w:ind w:firstLine="480" w:firstLineChars="200"/>
        <w:outlineLvl w:val="0"/>
        <w:rPr>
          <w:color w:val="auto"/>
          <w:sz w:val="24"/>
          <w:szCs w:val="24"/>
          <w:highlight w:val="none"/>
        </w:rPr>
      </w:pPr>
      <w:r>
        <w:rPr>
          <w:color w:val="auto"/>
          <w:sz w:val="24"/>
          <w:szCs w:val="24"/>
          <w:highlight w:val="none"/>
        </w:rPr>
        <w:t>（1）合同生效及其效力应符合《中华人民共和国合同法》有关规定。</w:t>
      </w:r>
    </w:p>
    <w:p>
      <w:pPr>
        <w:snapToGrid w:val="0"/>
        <w:spacing w:line="360" w:lineRule="auto"/>
        <w:ind w:firstLine="480" w:firstLineChars="200"/>
        <w:outlineLvl w:val="0"/>
        <w:rPr>
          <w:color w:val="auto"/>
          <w:sz w:val="24"/>
          <w:szCs w:val="24"/>
          <w:highlight w:val="none"/>
        </w:rPr>
      </w:pPr>
      <w:r>
        <w:rPr>
          <w:color w:val="auto"/>
          <w:sz w:val="24"/>
          <w:szCs w:val="24"/>
          <w:highlight w:val="none"/>
        </w:rPr>
        <w:t>（2）合同应经当事人法定代表人或委托代理人签字，加盖双方合同专用章或公章。</w:t>
      </w:r>
    </w:p>
    <w:p>
      <w:pPr>
        <w:snapToGrid w:val="0"/>
        <w:spacing w:line="360" w:lineRule="auto"/>
        <w:ind w:firstLine="480" w:firstLineChars="200"/>
        <w:outlineLvl w:val="0"/>
        <w:rPr>
          <w:color w:val="auto"/>
          <w:sz w:val="24"/>
          <w:szCs w:val="24"/>
          <w:highlight w:val="none"/>
        </w:rPr>
      </w:pPr>
      <w:r>
        <w:rPr>
          <w:color w:val="auto"/>
          <w:sz w:val="24"/>
          <w:szCs w:val="24"/>
          <w:highlight w:val="none"/>
        </w:rPr>
        <w:t>（3）合同所包括附件，是合同不可分割的一部分，具有同等法法律效力。</w:t>
      </w:r>
    </w:p>
    <w:p>
      <w:pPr>
        <w:snapToGrid w:val="0"/>
        <w:spacing w:line="360" w:lineRule="auto"/>
        <w:ind w:firstLine="480" w:firstLineChars="200"/>
        <w:outlineLvl w:val="0"/>
        <w:rPr>
          <w:color w:val="auto"/>
          <w:sz w:val="24"/>
          <w:szCs w:val="24"/>
          <w:highlight w:val="none"/>
        </w:rPr>
      </w:pPr>
      <w:r>
        <w:rPr>
          <w:color w:val="auto"/>
          <w:sz w:val="24"/>
          <w:szCs w:val="24"/>
          <w:highlight w:val="none"/>
        </w:rPr>
        <w:t>（4）合同需提供担保的，按《中华人民共和国担保法》规定执行。</w:t>
      </w:r>
    </w:p>
    <w:p>
      <w:pPr>
        <w:snapToGrid w:val="0"/>
        <w:spacing w:line="360" w:lineRule="auto"/>
        <w:ind w:firstLine="480" w:firstLineChars="200"/>
        <w:outlineLvl w:val="0"/>
        <w:rPr>
          <w:color w:val="auto"/>
          <w:sz w:val="24"/>
          <w:szCs w:val="24"/>
          <w:highlight w:val="none"/>
        </w:rPr>
      </w:pPr>
      <w:r>
        <w:rPr>
          <w:color w:val="auto"/>
          <w:sz w:val="24"/>
          <w:szCs w:val="24"/>
          <w:highlight w:val="none"/>
        </w:rPr>
        <w:t>（5）本合同条件未尽事宜依照《中华人民共和国合同法》，由供需双方共同协商确定。</w:t>
      </w:r>
    </w:p>
    <w:p>
      <w:pPr>
        <w:snapToGrid w:val="0"/>
        <w:spacing w:line="360" w:lineRule="auto"/>
        <w:jc w:val="center"/>
        <w:outlineLvl w:val="0"/>
        <w:rPr>
          <w:color w:val="auto"/>
          <w:sz w:val="44"/>
          <w:szCs w:val="44"/>
          <w:highlight w:val="none"/>
        </w:rPr>
        <w:sectPr>
          <w:headerReference r:id="rId5" w:type="default"/>
          <w:footerReference r:id="rId6" w:type="default"/>
          <w:pgSz w:w="11906" w:h="16838"/>
          <w:pgMar w:top="1440" w:right="1797" w:bottom="1440" w:left="1797" w:header="964" w:footer="992" w:gutter="0"/>
          <w:cols w:space="720" w:num="1"/>
          <w:docGrid w:linePitch="312" w:charSpace="0"/>
        </w:sectPr>
      </w:pPr>
    </w:p>
    <w:p>
      <w:pPr>
        <w:pStyle w:val="4"/>
        <w:ind w:firstLine="482" w:firstLineChars="200"/>
        <w:rPr>
          <w:rFonts w:ascii="Times New Roman"/>
          <w:b/>
          <w:bCs/>
          <w:color w:val="auto"/>
          <w:sz w:val="24"/>
          <w:szCs w:val="24"/>
          <w:highlight w:val="none"/>
        </w:rPr>
      </w:pPr>
      <w:bookmarkStart w:id="178" w:name="_Toc530573527"/>
      <w:bookmarkStart w:id="179" w:name="_Toc277084871"/>
      <w:bookmarkStart w:id="180" w:name="_Toc29517"/>
      <w:bookmarkStart w:id="181" w:name="_Toc18596"/>
      <w:bookmarkStart w:id="182" w:name="_Toc285722713"/>
      <w:bookmarkStart w:id="183" w:name="_Toc4550"/>
      <w:bookmarkStart w:id="184" w:name="_Toc12457"/>
      <w:bookmarkStart w:id="185" w:name="_Toc7087"/>
      <w:r>
        <w:rPr>
          <w:rFonts w:ascii="Times New Roman"/>
          <w:b/>
          <w:bCs/>
          <w:color w:val="auto"/>
          <w:sz w:val="24"/>
          <w:szCs w:val="24"/>
          <w:highlight w:val="none"/>
        </w:rPr>
        <w:t>二、政府采购合同（格式）</w:t>
      </w:r>
      <w:bookmarkEnd w:id="178"/>
      <w:bookmarkEnd w:id="179"/>
      <w:bookmarkEnd w:id="180"/>
      <w:bookmarkEnd w:id="181"/>
      <w:bookmarkEnd w:id="182"/>
      <w:bookmarkEnd w:id="183"/>
      <w:bookmarkEnd w:id="184"/>
      <w:bookmarkEnd w:id="185"/>
    </w:p>
    <w:p>
      <w:pPr>
        <w:spacing w:line="360" w:lineRule="auto"/>
        <w:jc w:val="center"/>
        <w:rPr>
          <w:b/>
          <w:bCs/>
          <w:color w:val="auto"/>
          <w:sz w:val="44"/>
          <w:szCs w:val="44"/>
          <w:highlight w:val="none"/>
        </w:rPr>
      </w:pPr>
    </w:p>
    <w:p>
      <w:pPr>
        <w:spacing w:line="360" w:lineRule="auto"/>
        <w:jc w:val="center"/>
        <w:rPr>
          <w:b/>
          <w:bCs/>
          <w:color w:val="auto"/>
          <w:sz w:val="44"/>
          <w:szCs w:val="44"/>
          <w:highlight w:val="none"/>
        </w:rPr>
      </w:pPr>
      <w:r>
        <w:rPr>
          <w:b/>
          <w:bCs/>
          <w:color w:val="auto"/>
          <w:sz w:val="44"/>
          <w:szCs w:val="44"/>
          <w:highlight w:val="none"/>
        </w:rPr>
        <w:t>重庆市政府采购合同</w:t>
      </w:r>
    </w:p>
    <w:p>
      <w:pPr>
        <w:spacing w:line="360" w:lineRule="auto"/>
        <w:jc w:val="center"/>
        <w:rPr>
          <w:color w:val="auto"/>
          <w:highlight w:val="none"/>
        </w:rPr>
      </w:pPr>
      <w:r>
        <w:rPr>
          <w:color w:val="auto"/>
          <w:highlight w:val="none"/>
        </w:rPr>
        <w:t>（采购项目编号：）</w:t>
      </w:r>
    </w:p>
    <w:p>
      <w:pPr>
        <w:spacing w:line="360" w:lineRule="auto"/>
        <w:rPr>
          <w:color w:val="auto"/>
          <w:sz w:val="24"/>
          <w:szCs w:val="24"/>
          <w:highlight w:val="none"/>
        </w:rPr>
      </w:pPr>
      <w:r>
        <w:rPr>
          <w:color w:val="auto"/>
          <w:sz w:val="24"/>
          <w:szCs w:val="24"/>
          <w:highlight w:val="none"/>
        </w:rPr>
        <w:t>甲方（需方）：___________________________      计价单位：____________</w:t>
      </w:r>
    </w:p>
    <w:p>
      <w:pPr>
        <w:spacing w:line="360" w:lineRule="auto"/>
        <w:rPr>
          <w:color w:val="auto"/>
          <w:sz w:val="24"/>
          <w:szCs w:val="24"/>
          <w:highlight w:val="none"/>
        </w:rPr>
      </w:pPr>
      <w:r>
        <w:rPr>
          <w:color w:val="auto"/>
          <w:sz w:val="24"/>
          <w:szCs w:val="24"/>
          <w:highlight w:val="none"/>
        </w:rPr>
        <w:t>乙方（供方）：___________________________      计量单位：_____________</w:t>
      </w:r>
    </w:p>
    <w:p>
      <w:pPr>
        <w:spacing w:line="360" w:lineRule="auto"/>
        <w:rPr>
          <w:color w:val="auto"/>
          <w:sz w:val="24"/>
          <w:szCs w:val="24"/>
          <w:highlight w:val="none"/>
        </w:rPr>
      </w:pPr>
    </w:p>
    <w:p>
      <w:pPr>
        <w:spacing w:line="360" w:lineRule="auto"/>
        <w:rPr>
          <w:color w:val="auto"/>
          <w:sz w:val="24"/>
          <w:szCs w:val="24"/>
          <w:highlight w:val="none"/>
        </w:rPr>
      </w:pPr>
      <w:r>
        <w:rPr>
          <w:color w:val="auto"/>
          <w:sz w:val="24"/>
          <w:szCs w:val="24"/>
          <w:highlight w:val="none"/>
        </w:rPr>
        <w:t>经双方协商一致，达成以下购销合同：</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402"/>
        <w:gridCol w:w="1226"/>
        <w:gridCol w:w="1792"/>
        <w:gridCol w:w="154"/>
        <w:gridCol w:w="1803"/>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2669" w:type="dxa"/>
            <w:vAlign w:val="center"/>
          </w:tcPr>
          <w:p>
            <w:pPr>
              <w:spacing w:line="360" w:lineRule="auto"/>
              <w:jc w:val="center"/>
              <w:rPr>
                <w:color w:val="auto"/>
                <w:sz w:val="21"/>
                <w:szCs w:val="21"/>
                <w:highlight w:val="none"/>
              </w:rPr>
            </w:pPr>
            <w:r>
              <w:rPr>
                <w:color w:val="auto"/>
                <w:sz w:val="21"/>
                <w:szCs w:val="21"/>
                <w:highlight w:val="none"/>
              </w:rPr>
              <w:t>项目名称</w:t>
            </w:r>
          </w:p>
        </w:tc>
        <w:tc>
          <w:tcPr>
            <w:tcW w:w="1628" w:type="dxa"/>
            <w:gridSpan w:val="2"/>
            <w:vAlign w:val="center"/>
          </w:tcPr>
          <w:p>
            <w:pPr>
              <w:spacing w:line="360" w:lineRule="auto"/>
              <w:jc w:val="center"/>
              <w:rPr>
                <w:color w:val="auto"/>
                <w:sz w:val="21"/>
                <w:szCs w:val="21"/>
                <w:highlight w:val="none"/>
              </w:rPr>
            </w:pPr>
            <w:r>
              <w:rPr>
                <w:color w:val="auto"/>
                <w:sz w:val="21"/>
                <w:szCs w:val="21"/>
                <w:highlight w:val="none"/>
              </w:rPr>
              <w:t>单价</w:t>
            </w:r>
          </w:p>
        </w:tc>
        <w:tc>
          <w:tcPr>
            <w:tcW w:w="1792" w:type="dxa"/>
            <w:vAlign w:val="center"/>
          </w:tcPr>
          <w:p>
            <w:pPr>
              <w:spacing w:line="360" w:lineRule="auto"/>
              <w:jc w:val="center"/>
              <w:rPr>
                <w:color w:val="auto"/>
                <w:sz w:val="21"/>
                <w:szCs w:val="21"/>
                <w:highlight w:val="none"/>
              </w:rPr>
            </w:pPr>
            <w:r>
              <w:rPr>
                <w:color w:val="auto"/>
                <w:sz w:val="21"/>
                <w:szCs w:val="21"/>
                <w:highlight w:val="none"/>
              </w:rPr>
              <w:t>总价</w:t>
            </w:r>
          </w:p>
        </w:tc>
        <w:tc>
          <w:tcPr>
            <w:tcW w:w="1957" w:type="dxa"/>
            <w:gridSpan w:val="2"/>
            <w:vAlign w:val="center"/>
          </w:tcPr>
          <w:p>
            <w:pPr>
              <w:spacing w:line="360" w:lineRule="auto"/>
              <w:jc w:val="center"/>
              <w:rPr>
                <w:color w:val="auto"/>
                <w:sz w:val="21"/>
                <w:szCs w:val="21"/>
                <w:highlight w:val="none"/>
              </w:rPr>
            </w:pPr>
            <w:r>
              <w:rPr>
                <w:color w:val="auto"/>
                <w:sz w:val="21"/>
                <w:szCs w:val="21"/>
                <w:highlight w:val="none"/>
              </w:rPr>
              <w:t>实施时间</w:t>
            </w:r>
          </w:p>
        </w:tc>
        <w:tc>
          <w:tcPr>
            <w:tcW w:w="1567" w:type="dxa"/>
            <w:vAlign w:val="center"/>
          </w:tcPr>
          <w:p>
            <w:pPr>
              <w:spacing w:line="360" w:lineRule="auto"/>
              <w:jc w:val="center"/>
              <w:rPr>
                <w:color w:val="auto"/>
                <w:sz w:val="21"/>
                <w:szCs w:val="21"/>
                <w:highlight w:val="none"/>
              </w:rPr>
            </w:pPr>
            <w:r>
              <w:rPr>
                <w:color w:val="auto"/>
                <w:sz w:val="21"/>
                <w:szCs w:val="21"/>
                <w:highlight w:val="none"/>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2669" w:type="dxa"/>
            <w:vAlign w:val="center"/>
          </w:tcPr>
          <w:p>
            <w:pPr>
              <w:spacing w:line="360" w:lineRule="auto"/>
              <w:jc w:val="center"/>
              <w:rPr>
                <w:color w:val="auto"/>
                <w:sz w:val="21"/>
                <w:szCs w:val="21"/>
                <w:highlight w:val="none"/>
              </w:rPr>
            </w:pPr>
          </w:p>
        </w:tc>
        <w:tc>
          <w:tcPr>
            <w:tcW w:w="1628" w:type="dxa"/>
            <w:gridSpan w:val="2"/>
            <w:vAlign w:val="center"/>
          </w:tcPr>
          <w:p>
            <w:pPr>
              <w:spacing w:line="360" w:lineRule="auto"/>
              <w:jc w:val="center"/>
              <w:rPr>
                <w:color w:val="auto"/>
                <w:sz w:val="21"/>
                <w:szCs w:val="21"/>
                <w:highlight w:val="none"/>
              </w:rPr>
            </w:pPr>
          </w:p>
        </w:tc>
        <w:tc>
          <w:tcPr>
            <w:tcW w:w="1792" w:type="dxa"/>
            <w:vAlign w:val="center"/>
          </w:tcPr>
          <w:p>
            <w:pPr>
              <w:spacing w:line="360" w:lineRule="auto"/>
              <w:jc w:val="center"/>
              <w:rPr>
                <w:color w:val="auto"/>
                <w:sz w:val="21"/>
                <w:szCs w:val="21"/>
                <w:highlight w:val="none"/>
              </w:rPr>
            </w:pPr>
          </w:p>
        </w:tc>
        <w:tc>
          <w:tcPr>
            <w:tcW w:w="1957" w:type="dxa"/>
            <w:gridSpan w:val="2"/>
            <w:vAlign w:val="center"/>
          </w:tcPr>
          <w:p>
            <w:pPr>
              <w:spacing w:line="360" w:lineRule="auto"/>
              <w:jc w:val="center"/>
              <w:rPr>
                <w:color w:val="auto"/>
                <w:sz w:val="21"/>
                <w:szCs w:val="21"/>
                <w:highlight w:val="none"/>
              </w:rPr>
            </w:pPr>
          </w:p>
        </w:tc>
        <w:tc>
          <w:tcPr>
            <w:tcW w:w="1567"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7"/>
            <w:vAlign w:val="center"/>
          </w:tcPr>
          <w:p>
            <w:pPr>
              <w:spacing w:line="360" w:lineRule="auto"/>
              <w:rPr>
                <w:color w:val="auto"/>
                <w:sz w:val="21"/>
                <w:szCs w:val="21"/>
                <w:highlight w:val="none"/>
              </w:rPr>
            </w:pPr>
            <w:r>
              <w:rPr>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7"/>
            <w:vAlign w:val="center"/>
          </w:tcPr>
          <w:p>
            <w:pPr>
              <w:spacing w:line="360" w:lineRule="auto"/>
              <w:rPr>
                <w:color w:val="auto"/>
                <w:sz w:val="21"/>
                <w:szCs w:val="21"/>
                <w:highlight w:val="none"/>
              </w:rPr>
            </w:pPr>
            <w:r>
              <w:rPr>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7"/>
          </w:tcPr>
          <w:p>
            <w:pPr>
              <w:spacing w:line="360" w:lineRule="auto"/>
              <w:rPr>
                <w:color w:val="auto"/>
                <w:sz w:val="21"/>
                <w:szCs w:val="21"/>
                <w:highlight w:val="none"/>
              </w:rPr>
            </w:pPr>
            <w:r>
              <w:rPr>
                <w:color w:val="auto"/>
                <w:sz w:val="21"/>
                <w:szCs w:val="21"/>
                <w:highlight w:val="none"/>
              </w:rPr>
              <w:t>一、质量要求和技术标准：</w:t>
            </w:r>
          </w:p>
          <w:p>
            <w:pPr>
              <w:spacing w:line="360" w:lineRule="auto"/>
              <w:rPr>
                <w:color w:val="auto"/>
                <w:sz w:val="21"/>
                <w:szCs w:val="21"/>
                <w:highlight w:val="none"/>
              </w:rPr>
            </w:pPr>
            <w:r>
              <w:rPr>
                <w:color w:val="auto"/>
                <w:sz w:val="21"/>
                <w:szCs w:val="21"/>
                <w:highlight w:val="none"/>
              </w:rPr>
              <w:t>1：……</w:t>
            </w:r>
          </w:p>
          <w:p>
            <w:pPr>
              <w:spacing w:line="360" w:lineRule="auto"/>
              <w:rPr>
                <w:color w:val="auto"/>
                <w:sz w:val="21"/>
                <w:szCs w:val="21"/>
                <w:highlight w:val="none"/>
              </w:rPr>
            </w:pPr>
            <w:r>
              <w:rPr>
                <w:color w:val="auto"/>
                <w:sz w:val="21"/>
                <w:szCs w:val="21"/>
                <w:highlight w:val="none"/>
              </w:rPr>
              <w:t>2：……</w:t>
            </w:r>
          </w:p>
          <w:p>
            <w:pPr>
              <w:spacing w:line="360" w:lineRule="auto"/>
              <w:rPr>
                <w:color w:val="auto"/>
                <w:sz w:val="21"/>
                <w:szCs w:val="21"/>
                <w:highlight w:val="none"/>
              </w:rPr>
            </w:pPr>
            <w:r>
              <w:rPr>
                <w:color w:val="auto"/>
                <w:sz w:val="21"/>
                <w:szCs w:val="21"/>
                <w:highlight w:val="none"/>
              </w:rPr>
              <w:t>3：……</w:t>
            </w:r>
          </w:p>
          <w:p>
            <w:pPr>
              <w:spacing w:line="360" w:lineRule="auto"/>
              <w:rPr>
                <w:color w:val="auto"/>
                <w:sz w:val="21"/>
                <w:szCs w:val="21"/>
                <w:highlight w:val="none"/>
              </w:rPr>
            </w:pPr>
            <w:r>
              <w:rPr>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7"/>
          </w:tcPr>
          <w:p>
            <w:pPr>
              <w:spacing w:line="360" w:lineRule="auto"/>
              <w:rPr>
                <w:color w:val="auto"/>
                <w:sz w:val="21"/>
                <w:szCs w:val="21"/>
                <w:highlight w:val="none"/>
              </w:rPr>
            </w:pPr>
            <w:r>
              <w:rPr>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7"/>
          </w:tcPr>
          <w:p>
            <w:pPr>
              <w:spacing w:line="360" w:lineRule="auto"/>
              <w:rPr>
                <w:color w:val="auto"/>
                <w:sz w:val="21"/>
                <w:szCs w:val="21"/>
                <w:highlight w:val="none"/>
              </w:rPr>
            </w:pPr>
            <w:r>
              <w:rPr>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8"/>
          </w:tcPr>
          <w:p>
            <w:pPr>
              <w:spacing w:line="360" w:lineRule="auto"/>
              <w:rPr>
                <w:color w:val="auto"/>
                <w:sz w:val="21"/>
                <w:szCs w:val="21"/>
                <w:highlight w:val="none"/>
              </w:rPr>
            </w:pPr>
            <w:r>
              <w:rPr>
                <w:color w:val="auto"/>
                <w:sz w:val="21"/>
                <w:szCs w:val="21"/>
                <w:highlight w:val="none"/>
              </w:rPr>
              <w:t>四、验收标准、方法：</w:t>
            </w:r>
          </w:p>
          <w:p>
            <w:pPr>
              <w:spacing w:line="360" w:lineRule="auto"/>
              <w:rPr>
                <w:color w:val="auto"/>
                <w:sz w:val="21"/>
                <w:szCs w:val="21"/>
                <w:highlight w:val="none"/>
              </w:rPr>
            </w:pPr>
            <w:r>
              <w:rPr>
                <w:color w:val="auto"/>
                <w:sz w:val="21"/>
                <w:szCs w:val="21"/>
                <w:highlight w:val="none"/>
              </w:rPr>
              <w:t>如有异议，请于日内提出。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360" w:lineRule="auto"/>
              <w:rPr>
                <w:color w:val="auto"/>
                <w:sz w:val="21"/>
                <w:szCs w:val="21"/>
                <w:highlight w:val="none"/>
              </w:rPr>
            </w:pPr>
            <w:r>
              <w:rPr>
                <w:color w:val="auto"/>
                <w:sz w:val="21"/>
                <w:szCs w:val="21"/>
                <w:highlight w:val="none"/>
              </w:rPr>
              <w:t>五、付款方式：</w:t>
            </w:r>
          </w:p>
          <w:p>
            <w:pPr>
              <w:pStyle w:val="32"/>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360" w:lineRule="auto"/>
              <w:rPr>
                <w:color w:val="auto"/>
                <w:sz w:val="21"/>
                <w:szCs w:val="21"/>
                <w:highlight w:val="none"/>
              </w:rPr>
            </w:pPr>
            <w:r>
              <w:rPr>
                <w:color w:val="auto"/>
                <w:sz w:val="21"/>
                <w:szCs w:val="21"/>
                <w:highlight w:val="none"/>
              </w:rPr>
              <w:t>六、违约责任：</w:t>
            </w:r>
          </w:p>
          <w:p>
            <w:pPr>
              <w:spacing w:line="360" w:lineRule="auto"/>
              <w:rPr>
                <w:color w:val="auto"/>
                <w:sz w:val="21"/>
                <w:szCs w:val="21"/>
                <w:highlight w:val="none"/>
              </w:rPr>
            </w:pPr>
            <w:r>
              <w:rPr>
                <w:color w:val="auto"/>
                <w:sz w:val="21"/>
                <w:szCs w:val="21"/>
                <w:highlight w:val="none"/>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8"/>
          </w:tcPr>
          <w:p>
            <w:pPr>
              <w:spacing w:line="360" w:lineRule="auto"/>
              <w:rPr>
                <w:color w:val="auto"/>
                <w:sz w:val="21"/>
                <w:szCs w:val="21"/>
                <w:highlight w:val="none"/>
              </w:rPr>
            </w:pPr>
            <w:r>
              <w:rPr>
                <w:color w:val="auto"/>
                <w:sz w:val="21"/>
                <w:szCs w:val="21"/>
                <w:highlight w:val="none"/>
              </w:rPr>
              <w:t>七、其他约定事项：</w:t>
            </w:r>
          </w:p>
          <w:p>
            <w:pPr>
              <w:spacing w:line="360" w:lineRule="auto"/>
              <w:rPr>
                <w:color w:val="auto"/>
                <w:sz w:val="21"/>
                <w:szCs w:val="21"/>
                <w:highlight w:val="none"/>
              </w:rPr>
            </w:pPr>
            <w:r>
              <w:rPr>
                <w:color w:val="auto"/>
                <w:sz w:val="21"/>
                <w:szCs w:val="21"/>
                <w:highlight w:val="none"/>
              </w:rPr>
              <w:t>1、招标文件及其补遗文件、投标文件和承诺是本合同不可分割的部分。</w:t>
            </w:r>
          </w:p>
          <w:p>
            <w:pPr>
              <w:numPr>
                <w:ilvl w:val="0"/>
                <w:numId w:val="3"/>
              </w:numPr>
              <w:spacing w:line="360" w:lineRule="auto"/>
              <w:rPr>
                <w:color w:val="auto"/>
                <w:sz w:val="21"/>
                <w:szCs w:val="21"/>
                <w:highlight w:val="none"/>
              </w:rPr>
            </w:pPr>
            <w:r>
              <w:rPr>
                <w:color w:val="auto"/>
                <w:sz w:val="21"/>
                <w:szCs w:val="21"/>
                <w:highlight w:val="none"/>
              </w:rPr>
              <w:t>本合同如发生争议由双方协商解决，协商不成向需方所在人民法院提请诉讼。</w:t>
            </w:r>
          </w:p>
          <w:p>
            <w:pPr>
              <w:numPr>
                <w:ilvl w:val="0"/>
                <w:numId w:val="3"/>
              </w:numPr>
              <w:spacing w:line="360" w:lineRule="auto"/>
              <w:rPr>
                <w:color w:val="auto"/>
                <w:sz w:val="21"/>
                <w:szCs w:val="21"/>
                <w:highlight w:val="none"/>
              </w:rPr>
            </w:pPr>
            <w:r>
              <w:rPr>
                <w:color w:val="auto"/>
                <w:sz w:val="21"/>
                <w:szCs w:val="21"/>
                <w:highlight w:val="none"/>
              </w:rPr>
              <w:t>本合同一式__份，需方__份，供方__份，采购代理机构</w:t>
            </w:r>
            <w:r>
              <w:rPr>
                <w:color w:val="auto"/>
                <w:sz w:val="21"/>
                <w:szCs w:val="21"/>
                <w:highlight w:val="none"/>
                <w:u w:val="single"/>
              </w:rPr>
              <w:t>1</w:t>
            </w:r>
            <w:r>
              <w:rPr>
                <w:color w:val="auto"/>
                <w:sz w:val="21"/>
                <w:szCs w:val="21"/>
                <w:highlight w:val="none"/>
              </w:rPr>
              <w:t>份，财政部门</w:t>
            </w:r>
            <w:r>
              <w:rPr>
                <w:color w:val="auto"/>
                <w:sz w:val="21"/>
                <w:szCs w:val="21"/>
                <w:highlight w:val="none"/>
                <w:u w:val="single"/>
              </w:rPr>
              <w:t>1</w:t>
            </w:r>
            <w:r>
              <w:rPr>
                <w:color w:val="auto"/>
                <w:sz w:val="21"/>
                <w:szCs w:val="21"/>
                <w:highlight w:val="none"/>
              </w:rPr>
              <w:t>份，具同等法律效力。</w:t>
            </w:r>
          </w:p>
          <w:p>
            <w:pPr>
              <w:spacing w:line="360" w:lineRule="auto"/>
              <w:rPr>
                <w:color w:val="auto"/>
                <w:sz w:val="21"/>
                <w:szCs w:val="21"/>
                <w:highlight w:val="none"/>
              </w:rPr>
            </w:pPr>
            <w:r>
              <w:rPr>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3071" w:type="dxa"/>
            <w:gridSpan w:val="2"/>
          </w:tcPr>
          <w:p>
            <w:pPr>
              <w:spacing w:line="360" w:lineRule="auto"/>
              <w:rPr>
                <w:color w:val="auto"/>
                <w:sz w:val="21"/>
                <w:szCs w:val="21"/>
                <w:highlight w:val="none"/>
              </w:rPr>
            </w:pPr>
            <w:r>
              <w:rPr>
                <w:color w:val="auto"/>
                <w:sz w:val="21"/>
                <w:szCs w:val="21"/>
                <w:highlight w:val="none"/>
              </w:rPr>
              <w:t>需方：</w:t>
            </w:r>
          </w:p>
          <w:p>
            <w:pPr>
              <w:spacing w:line="360" w:lineRule="auto"/>
              <w:rPr>
                <w:color w:val="auto"/>
                <w:sz w:val="21"/>
                <w:szCs w:val="21"/>
                <w:highlight w:val="none"/>
              </w:rPr>
            </w:pPr>
            <w:r>
              <w:rPr>
                <w:color w:val="auto"/>
                <w:sz w:val="21"/>
                <w:szCs w:val="21"/>
                <w:highlight w:val="none"/>
              </w:rPr>
              <w:t>地址：</w:t>
            </w:r>
          </w:p>
          <w:p>
            <w:pPr>
              <w:spacing w:line="360" w:lineRule="auto"/>
              <w:rPr>
                <w:color w:val="auto"/>
                <w:sz w:val="21"/>
                <w:szCs w:val="21"/>
                <w:highlight w:val="none"/>
              </w:rPr>
            </w:pPr>
            <w:r>
              <w:rPr>
                <w:color w:val="auto"/>
                <w:sz w:val="21"/>
                <w:szCs w:val="21"/>
                <w:highlight w:val="none"/>
              </w:rPr>
              <w:t>联系电话：</w:t>
            </w:r>
          </w:p>
          <w:p>
            <w:pPr>
              <w:spacing w:line="360" w:lineRule="auto"/>
              <w:rPr>
                <w:color w:val="auto"/>
                <w:sz w:val="21"/>
                <w:szCs w:val="21"/>
                <w:highlight w:val="none"/>
              </w:rPr>
            </w:pPr>
            <w:r>
              <w:rPr>
                <w:color w:val="auto"/>
                <w:sz w:val="21"/>
                <w:szCs w:val="21"/>
                <w:highlight w:val="none"/>
              </w:rPr>
              <w:t>授权代表：</w:t>
            </w:r>
          </w:p>
        </w:tc>
        <w:tc>
          <w:tcPr>
            <w:tcW w:w="3172" w:type="dxa"/>
            <w:gridSpan w:val="3"/>
          </w:tcPr>
          <w:p>
            <w:pPr>
              <w:spacing w:line="360" w:lineRule="auto"/>
              <w:rPr>
                <w:color w:val="auto"/>
                <w:sz w:val="21"/>
                <w:szCs w:val="21"/>
                <w:highlight w:val="none"/>
              </w:rPr>
            </w:pPr>
            <w:r>
              <w:rPr>
                <w:color w:val="auto"/>
                <w:sz w:val="21"/>
                <w:szCs w:val="21"/>
                <w:highlight w:val="none"/>
              </w:rPr>
              <w:t>供方：</w:t>
            </w:r>
          </w:p>
          <w:p>
            <w:pPr>
              <w:spacing w:line="360" w:lineRule="auto"/>
              <w:rPr>
                <w:color w:val="auto"/>
                <w:sz w:val="21"/>
                <w:szCs w:val="21"/>
                <w:highlight w:val="none"/>
              </w:rPr>
            </w:pPr>
            <w:r>
              <w:rPr>
                <w:color w:val="auto"/>
                <w:sz w:val="21"/>
                <w:szCs w:val="21"/>
                <w:highlight w:val="none"/>
              </w:rPr>
              <w:t>地址：</w:t>
            </w:r>
          </w:p>
          <w:p>
            <w:pPr>
              <w:spacing w:line="360" w:lineRule="auto"/>
              <w:rPr>
                <w:color w:val="auto"/>
                <w:sz w:val="21"/>
                <w:szCs w:val="21"/>
                <w:highlight w:val="none"/>
              </w:rPr>
            </w:pPr>
            <w:r>
              <w:rPr>
                <w:color w:val="auto"/>
                <w:sz w:val="21"/>
                <w:szCs w:val="21"/>
                <w:highlight w:val="none"/>
              </w:rPr>
              <w:t>电话：</w:t>
            </w:r>
          </w:p>
          <w:p>
            <w:pPr>
              <w:spacing w:line="360" w:lineRule="auto"/>
              <w:rPr>
                <w:color w:val="auto"/>
                <w:sz w:val="21"/>
                <w:szCs w:val="21"/>
                <w:highlight w:val="none"/>
              </w:rPr>
            </w:pPr>
            <w:r>
              <w:rPr>
                <w:color w:val="auto"/>
                <w:sz w:val="21"/>
                <w:szCs w:val="21"/>
                <w:highlight w:val="none"/>
              </w:rPr>
              <w:t>传真：</w:t>
            </w:r>
          </w:p>
          <w:p>
            <w:pPr>
              <w:spacing w:line="360" w:lineRule="auto"/>
              <w:rPr>
                <w:color w:val="auto"/>
                <w:sz w:val="21"/>
                <w:szCs w:val="21"/>
                <w:highlight w:val="none"/>
              </w:rPr>
            </w:pPr>
            <w:r>
              <w:rPr>
                <w:color w:val="auto"/>
                <w:sz w:val="21"/>
                <w:szCs w:val="21"/>
                <w:highlight w:val="none"/>
              </w:rPr>
              <w:t>开户银行：</w:t>
            </w:r>
          </w:p>
          <w:p>
            <w:pPr>
              <w:spacing w:line="360" w:lineRule="auto"/>
              <w:rPr>
                <w:color w:val="auto"/>
                <w:sz w:val="21"/>
                <w:szCs w:val="21"/>
                <w:highlight w:val="none"/>
              </w:rPr>
            </w:pPr>
            <w:r>
              <w:rPr>
                <w:color w:val="auto"/>
                <w:sz w:val="21"/>
                <w:szCs w:val="21"/>
                <w:highlight w:val="none"/>
              </w:rPr>
              <w:t>账号：</w:t>
            </w:r>
          </w:p>
          <w:p>
            <w:pPr>
              <w:spacing w:line="360" w:lineRule="auto"/>
              <w:rPr>
                <w:color w:val="auto"/>
                <w:sz w:val="21"/>
                <w:szCs w:val="21"/>
                <w:highlight w:val="none"/>
              </w:rPr>
            </w:pPr>
            <w:r>
              <w:rPr>
                <w:color w:val="auto"/>
                <w:sz w:val="21"/>
                <w:szCs w:val="21"/>
                <w:highlight w:val="none"/>
              </w:rPr>
              <w:t>授权代表：</w:t>
            </w:r>
          </w:p>
          <w:p>
            <w:pPr>
              <w:spacing w:line="360" w:lineRule="auto"/>
              <w:rPr>
                <w:color w:val="auto"/>
                <w:sz w:val="21"/>
                <w:szCs w:val="21"/>
                <w:highlight w:val="none"/>
              </w:rPr>
            </w:pPr>
            <w:r>
              <w:rPr>
                <w:color w:val="auto"/>
                <w:sz w:val="21"/>
                <w:szCs w:val="21"/>
                <w:highlight w:val="none"/>
              </w:rPr>
              <w:t>（本栏请用计算机打印以便于准确付款）</w:t>
            </w:r>
          </w:p>
        </w:tc>
        <w:tc>
          <w:tcPr>
            <w:tcW w:w="3385" w:type="dxa"/>
            <w:gridSpan w:val="3"/>
          </w:tcPr>
          <w:p>
            <w:pPr>
              <w:widowControl/>
              <w:spacing w:line="360" w:lineRule="auto"/>
              <w:jc w:val="left"/>
              <w:rPr>
                <w:color w:val="auto"/>
                <w:sz w:val="21"/>
                <w:szCs w:val="21"/>
                <w:highlight w:val="none"/>
              </w:rPr>
            </w:pPr>
            <w:r>
              <w:rPr>
                <w:color w:val="auto"/>
                <w:sz w:val="21"/>
                <w:szCs w:val="21"/>
                <w:highlight w:val="none"/>
              </w:rPr>
              <w:t>采购代理机构：</w:t>
            </w:r>
          </w:p>
          <w:p>
            <w:pPr>
              <w:widowControl/>
              <w:spacing w:line="360" w:lineRule="auto"/>
              <w:jc w:val="left"/>
              <w:rPr>
                <w:color w:val="auto"/>
                <w:sz w:val="21"/>
                <w:szCs w:val="21"/>
                <w:highlight w:val="none"/>
              </w:rPr>
            </w:pPr>
            <w:r>
              <w:rPr>
                <w:color w:val="auto"/>
                <w:sz w:val="21"/>
                <w:szCs w:val="21"/>
                <w:highlight w:val="none"/>
              </w:rPr>
              <w:t>地址：</w:t>
            </w:r>
          </w:p>
          <w:p>
            <w:pPr>
              <w:widowControl/>
              <w:spacing w:line="360" w:lineRule="auto"/>
              <w:jc w:val="left"/>
              <w:rPr>
                <w:color w:val="auto"/>
                <w:sz w:val="21"/>
                <w:szCs w:val="21"/>
                <w:highlight w:val="none"/>
              </w:rPr>
            </w:pPr>
            <w:r>
              <w:rPr>
                <w:color w:val="auto"/>
                <w:sz w:val="21"/>
                <w:szCs w:val="21"/>
                <w:highlight w:val="none"/>
              </w:rPr>
              <w:t>电话：</w:t>
            </w:r>
          </w:p>
          <w:p>
            <w:pPr>
              <w:widowControl/>
              <w:spacing w:line="360" w:lineRule="auto"/>
              <w:jc w:val="left"/>
              <w:rPr>
                <w:color w:val="auto"/>
                <w:sz w:val="21"/>
                <w:szCs w:val="21"/>
                <w:highlight w:val="none"/>
              </w:rPr>
            </w:pPr>
            <w:r>
              <w:rPr>
                <w:color w:val="auto"/>
                <w:sz w:val="21"/>
                <w:szCs w:val="21"/>
                <w:highlight w:val="none"/>
              </w:rPr>
              <w:t>传真：</w:t>
            </w:r>
          </w:p>
          <w:p>
            <w:pPr>
              <w:widowControl/>
              <w:spacing w:line="360" w:lineRule="auto"/>
              <w:jc w:val="left"/>
              <w:rPr>
                <w:color w:val="auto"/>
                <w:sz w:val="21"/>
                <w:szCs w:val="21"/>
                <w:highlight w:val="none"/>
              </w:rPr>
            </w:pPr>
            <w:r>
              <w:rPr>
                <w:color w:val="auto"/>
                <w:sz w:val="21"/>
                <w:szCs w:val="21"/>
                <w:highlight w:val="none"/>
              </w:rPr>
              <w:t>授权代表：</w:t>
            </w:r>
          </w:p>
          <w:p>
            <w:pPr>
              <w:widowControl/>
              <w:spacing w:line="360" w:lineRule="auto"/>
              <w:jc w:val="left"/>
              <w:rPr>
                <w:color w:val="auto"/>
                <w:sz w:val="21"/>
                <w:szCs w:val="21"/>
                <w:highlight w:val="none"/>
              </w:rPr>
            </w:pPr>
          </w:p>
          <w:p>
            <w:pPr>
              <w:widowControl/>
              <w:spacing w:line="360" w:lineRule="auto"/>
              <w:jc w:val="left"/>
              <w:rPr>
                <w:color w:val="auto"/>
                <w:sz w:val="21"/>
                <w:szCs w:val="21"/>
                <w:highlight w:val="none"/>
              </w:rPr>
            </w:pPr>
          </w:p>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8"/>
          </w:tcPr>
          <w:p>
            <w:pPr>
              <w:spacing w:line="360" w:lineRule="auto"/>
              <w:rPr>
                <w:color w:val="auto"/>
                <w:sz w:val="21"/>
                <w:szCs w:val="21"/>
                <w:highlight w:val="none"/>
              </w:rPr>
            </w:pPr>
            <w:r>
              <w:rPr>
                <w:color w:val="auto"/>
                <w:sz w:val="21"/>
                <w:szCs w:val="21"/>
                <w:highlight w:val="none"/>
              </w:rPr>
              <w:t>备注：</w:t>
            </w:r>
          </w:p>
          <w:p>
            <w:pPr>
              <w:spacing w:line="360" w:lineRule="auto"/>
              <w:rPr>
                <w:color w:val="auto"/>
                <w:sz w:val="21"/>
                <w:szCs w:val="21"/>
                <w:highlight w:val="none"/>
              </w:rPr>
            </w:pPr>
          </w:p>
          <w:p>
            <w:pPr>
              <w:spacing w:line="360" w:lineRule="auto"/>
              <w:rPr>
                <w:color w:val="auto"/>
                <w:sz w:val="21"/>
                <w:szCs w:val="21"/>
                <w:highlight w:val="none"/>
              </w:rPr>
            </w:pPr>
          </w:p>
        </w:tc>
      </w:tr>
    </w:tbl>
    <w:p>
      <w:pPr>
        <w:spacing w:line="360" w:lineRule="auto"/>
        <w:ind w:firstLine="480" w:firstLineChars="200"/>
        <w:rPr>
          <w:color w:val="auto"/>
          <w:sz w:val="24"/>
          <w:szCs w:val="24"/>
          <w:highlight w:val="none"/>
        </w:rPr>
      </w:pPr>
      <w:r>
        <w:rPr>
          <w:color w:val="auto"/>
          <w:sz w:val="24"/>
          <w:szCs w:val="24"/>
          <w:highlight w:val="none"/>
        </w:rPr>
        <w:t>签约时间：年月日签约地点：</w:t>
      </w:r>
    </w:p>
    <w:p>
      <w:pPr>
        <w:spacing w:line="360" w:lineRule="auto"/>
        <w:ind w:firstLine="560" w:firstLineChars="200"/>
        <w:rPr>
          <w:color w:val="auto"/>
          <w:highlight w:val="none"/>
        </w:rPr>
        <w:sectPr>
          <w:headerReference r:id="rId7" w:type="default"/>
          <w:pgSz w:w="11906" w:h="16838"/>
          <w:pgMar w:top="1440" w:right="1797" w:bottom="1440" w:left="1797" w:header="964" w:footer="992" w:gutter="0"/>
          <w:cols w:space="720" w:num="1"/>
          <w:docGrid w:linePitch="312" w:charSpace="0"/>
        </w:sectPr>
      </w:pPr>
    </w:p>
    <w:p>
      <w:pPr>
        <w:pStyle w:val="3"/>
        <w:spacing w:beforeLines="0" w:afterLines="0" w:line="360" w:lineRule="auto"/>
        <w:rPr>
          <w:color w:val="auto"/>
          <w:highlight w:val="none"/>
        </w:rPr>
      </w:pPr>
      <w:bookmarkStart w:id="186" w:name="_Toc23504"/>
      <w:bookmarkStart w:id="187" w:name="_Toc530573528"/>
      <w:bookmarkStart w:id="188" w:name="_Toc3444"/>
      <w:r>
        <w:rPr>
          <w:color w:val="auto"/>
          <w:highlight w:val="none"/>
        </w:rPr>
        <w:t>第七篇</w:t>
      </w:r>
      <w:r>
        <w:rPr>
          <w:rFonts w:hint="eastAsia"/>
          <w:color w:val="auto"/>
          <w:highlight w:val="none"/>
        </w:rPr>
        <w:t xml:space="preserve"> </w:t>
      </w:r>
      <w:r>
        <w:rPr>
          <w:color w:val="auto"/>
          <w:highlight w:val="none"/>
        </w:rPr>
        <w:t>投标文件格式</w:t>
      </w:r>
      <w:bookmarkEnd w:id="186"/>
      <w:bookmarkEnd w:id="187"/>
      <w:bookmarkEnd w:id="188"/>
    </w:p>
    <w:p>
      <w:pPr>
        <w:snapToGrid w:val="0"/>
        <w:spacing w:line="360" w:lineRule="auto"/>
        <w:ind w:firstLine="482" w:firstLineChars="200"/>
        <w:rPr>
          <w:b/>
          <w:bCs/>
          <w:color w:val="auto"/>
          <w:sz w:val="24"/>
          <w:szCs w:val="24"/>
          <w:highlight w:val="none"/>
        </w:rPr>
      </w:pPr>
      <w:r>
        <w:rPr>
          <w:b/>
          <w:bCs/>
          <w:color w:val="auto"/>
          <w:sz w:val="24"/>
          <w:szCs w:val="24"/>
          <w:highlight w:val="none"/>
        </w:rPr>
        <w:t>一、经济文件</w:t>
      </w:r>
    </w:p>
    <w:p>
      <w:pPr>
        <w:snapToGrid w:val="0"/>
        <w:spacing w:line="360" w:lineRule="auto"/>
        <w:ind w:firstLine="480" w:firstLineChars="200"/>
        <w:rPr>
          <w:color w:val="auto"/>
          <w:sz w:val="24"/>
          <w:szCs w:val="24"/>
          <w:highlight w:val="none"/>
        </w:rPr>
      </w:pPr>
      <w:r>
        <w:rPr>
          <w:color w:val="auto"/>
          <w:sz w:val="24"/>
          <w:szCs w:val="24"/>
          <w:highlight w:val="none"/>
        </w:rPr>
        <w:t>（一）开标一览表</w:t>
      </w:r>
    </w:p>
    <w:p>
      <w:pPr>
        <w:snapToGrid w:val="0"/>
        <w:spacing w:line="360" w:lineRule="auto"/>
        <w:ind w:firstLine="480" w:firstLineChars="200"/>
        <w:rPr>
          <w:color w:val="auto"/>
          <w:sz w:val="24"/>
          <w:szCs w:val="24"/>
          <w:highlight w:val="none"/>
        </w:rPr>
      </w:pPr>
      <w:r>
        <w:rPr>
          <w:color w:val="auto"/>
          <w:sz w:val="24"/>
          <w:szCs w:val="24"/>
          <w:highlight w:val="none"/>
        </w:rPr>
        <w:t>（二）分项报价明细表</w:t>
      </w:r>
    </w:p>
    <w:p>
      <w:pPr>
        <w:snapToGrid w:val="0"/>
        <w:spacing w:line="360" w:lineRule="auto"/>
        <w:ind w:firstLine="482" w:firstLineChars="200"/>
        <w:rPr>
          <w:b/>
          <w:bCs/>
          <w:color w:val="auto"/>
          <w:sz w:val="24"/>
          <w:szCs w:val="24"/>
          <w:highlight w:val="none"/>
        </w:rPr>
      </w:pPr>
      <w:r>
        <w:rPr>
          <w:b/>
          <w:bCs/>
          <w:color w:val="auto"/>
          <w:sz w:val="24"/>
          <w:szCs w:val="24"/>
          <w:highlight w:val="none"/>
        </w:rPr>
        <w:t>二、资格文件</w:t>
      </w:r>
    </w:p>
    <w:p>
      <w:pPr>
        <w:snapToGrid w:val="0"/>
        <w:spacing w:line="360" w:lineRule="auto"/>
        <w:ind w:firstLine="480" w:firstLineChars="200"/>
        <w:rPr>
          <w:color w:val="auto"/>
          <w:sz w:val="24"/>
          <w:szCs w:val="24"/>
          <w:highlight w:val="none"/>
        </w:rPr>
      </w:pPr>
      <w:r>
        <w:rPr>
          <w:color w:val="auto"/>
          <w:sz w:val="24"/>
          <w:szCs w:val="24"/>
          <w:highlight w:val="none"/>
        </w:rPr>
        <w:t>（一）营业执照（副本）或事业单位法人证书（副本）复印件</w:t>
      </w:r>
    </w:p>
    <w:p>
      <w:pPr>
        <w:snapToGrid w:val="0"/>
        <w:spacing w:line="360" w:lineRule="auto"/>
        <w:ind w:firstLine="480" w:firstLineChars="200"/>
        <w:rPr>
          <w:color w:val="auto"/>
          <w:sz w:val="24"/>
          <w:szCs w:val="24"/>
          <w:highlight w:val="none"/>
        </w:rPr>
      </w:pPr>
      <w:r>
        <w:rPr>
          <w:color w:val="auto"/>
          <w:sz w:val="24"/>
          <w:szCs w:val="24"/>
          <w:highlight w:val="none"/>
        </w:rPr>
        <w:t>（二）组织机构代码证复印件</w:t>
      </w:r>
    </w:p>
    <w:p>
      <w:pPr>
        <w:snapToGrid w:val="0"/>
        <w:spacing w:line="360" w:lineRule="auto"/>
        <w:ind w:firstLine="480" w:firstLineChars="200"/>
        <w:rPr>
          <w:color w:val="auto"/>
          <w:sz w:val="24"/>
          <w:szCs w:val="24"/>
          <w:highlight w:val="none"/>
        </w:rPr>
      </w:pPr>
      <w:r>
        <w:rPr>
          <w:color w:val="auto"/>
          <w:sz w:val="24"/>
          <w:szCs w:val="24"/>
          <w:highlight w:val="none"/>
        </w:rPr>
        <w:t>（三）</w:t>
      </w:r>
      <w:r>
        <w:rPr>
          <w:b/>
          <w:bCs/>
          <w:color w:val="auto"/>
          <w:sz w:val="24"/>
          <w:szCs w:val="24"/>
          <w:highlight w:val="none"/>
        </w:rPr>
        <w:t>20</w:t>
      </w:r>
      <w:r>
        <w:rPr>
          <w:rFonts w:hint="eastAsia"/>
          <w:b/>
          <w:bCs/>
          <w:color w:val="auto"/>
          <w:sz w:val="24"/>
          <w:szCs w:val="24"/>
          <w:highlight w:val="none"/>
        </w:rPr>
        <w:t>19</w:t>
      </w:r>
      <w:r>
        <w:rPr>
          <w:b/>
          <w:bCs/>
          <w:color w:val="auto"/>
          <w:sz w:val="24"/>
          <w:szCs w:val="24"/>
          <w:highlight w:val="none"/>
        </w:rPr>
        <w:t>年</w:t>
      </w:r>
      <w:r>
        <w:rPr>
          <w:color w:val="auto"/>
          <w:sz w:val="24"/>
          <w:szCs w:val="24"/>
          <w:highlight w:val="none"/>
        </w:rPr>
        <w:t>度财务状况报告（表）复印件，本年度新成立的公司提供投标截止时间前一个月的财务状况报告（表）复印件</w:t>
      </w:r>
    </w:p>
    <w:p>
      <w:pPr>
        <w:snapToGrid w:val="0"/>
        <w:spacing w:line="360" w:lineRule="auto"/>
        <w:ind w:firstLine="480" w:firstLineChars="200"/>
        <w:rPr>
          <w:color w:val="auto"/>
          <w:sz w:val="24"/>
          <w:szCs w:val="24"/>
          <w:highlight w:val="none"/>
        </w:rPr>
      </w:pPr>
      <w:r>
        <w:rPr>
          <w:color w:val="auto"/>
          <w:sz w:val="24"/>
          <w:szCs w:val="24"/>
          <w:highlight w:val="none"/>
        </w:rPr>
        <w:t>（四）法定代表人身份证明书（格式）</w:t>
      </w:r>
    </w:p>
    <w:p>
      <w:pPr>
        <w:snapToGrid w:val="0"/>
        <w:spacing w:line="360" w:lineRule="auto"/>
        <w:ind w:firstLine="480" w:firstLineChars="200"/>
        <w:rPr>
          <w:color w:val="auto"/>
          <w:sz w:val="24"/>
          <w:szCs w:val="24"/>
          <w:highlight w:val="none"/>
        </w:rPr>
      </w:pPr>
      <w:r>
        <w:rPr>
          <w:color w:val="auto"/>
          <w:sz w:val="24"/>
          <w:szCs w:val="24"/>
          <w:highlight w:val="none"/>
        </w:rPr>
        <w:t>（五）法定代表人授权委托书（格式）</w:t>
      </w:r>
    </w:p>
    <w:p>
      <w:pPr>
        <w:snapToGrid w:val="0"/>
        <w:spacing w:line="360" w:lineRule="auto"/>
        <w:ind w:firstLine="480" w:firstLineChars="200"/>
        <w:rPr>
          <w:color w:val="auto"/>
          <w:sz w:val="24"/>
          <w:szCs w:val="24"/>
          <w:highlight w:val="none"/>
        </w:rPr>
      </w:pPr>
      <w:r>
        <w:rPr>
          <w:color w:val="auto"/>
          <w:sz w:val="24"/>
          <w:szCs w:val="24"/>
          <w:highlight w:val="none"/>
        </w:rPr>
        <w:t>（六）书面声明（格式）</w:t>
      </w:r>
    </w:p>
    <w:p>
      <w:pPr>
        <w:snapToGrid w:val="0"/>
        <w:spacing w:line="360" w:lineRule="auto"/>
        <w:ind w:firstLine="480" w:firstLineChars="200"/>
        <w:rPr>
          <w:color w:val="auto"/>
          <w:sz w:val="24"/>
          <w:szCs w:val="24"/>
          <w:highlight w:val="none"/>
          <w:lang w:val="zh-CN"/>
        </w:rPr>
      </w:pPr>
      <w:r>
        <w:rPr>
          <w:color w:val="auto"/>
          <w:sz w:val="24"/>
          <w:szCs w:val="24"/>
          <w:highlight w:val="none"/>
        </w:rPr>
        <w:t>（七）投标人</w:t>
      </w:r>
      <w:r>
        <w:rPr>
          <w:color w:val="auto"/>
          <w:sz w:val="24"/>
          <w:szCs w:val="24"/>
          <w:highlight w:val="none"/>
          <w:lang w:val="zh-CN"/>
        </w:rPr>
        <w:t>有依法缴纳税收和社会保障金的证明材料</w:t>
      </w:r>
    </w:p>
    <w:p>
      <w:pPr>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八</w:t>
      </w:r>
      <w:r>
        <w:rPr>
          <w:color w:val="auto"/>
          <w:sz w:val="24"/>
          <w:szCs w:val="24"/>
          <w:highlight w:val="none"/>
        </w:rPr>
        <w:t>）投标保证金缴纳情况证明文件</w:t>
      </w:r>
    </w:p>
    <w:p>
      <w:pPr>
        <w:snapToGrid w:val="0"/>
        <w:spacing w:line="360" w:lineRule="auto"/>
        <w:ind w:firstLine="480" w:firstLineChars="200"/>
        <w:rPr>
          <w:color w:val="auto"/>
          <w:sz w:val="24"/>
          <w:szCs w:val="24"/>
          <w:highlight w:val="none"/>
        </w:rPr>
      </w:pPr>
      <w:r>
        <w:rPr>
          <w:rFonts w:hint="eastAsia"/>
          <w:color w:val="auto"/>
          <w:sz w:val="24"/>
          <w:szCs w:val="24"/>
          <w:highlight w:val="none"/>
        </w:rPr>
        <w:t>（九）</w:t>
      </w:r>
      <w:r>
        <w:rPr>
          <w:color w:val="auto"/>
          <w:sz w:val="24"/>
          <w:szCs w:val="24"/>
          <w:highlight w:val="none"/>
        </w:rPr>
        <w:t>特定资格条件证书或证明文件</w:t>
      </w:r>
    </w:p>
    <w:p>
      <w:pPr>
        <w:snapToGrid w:val="0"/>
        <w:spacing w:line="360" w:lineRule="auto"/>
        <w:ind w:firstLine="480" w:firstLineChars="200"/>
        <w:rPr>
          <w:color w:val="auto"/>
          <w:sz w:val="24"/>
          <w:szCs w:val="24"/>
          <w:highlight w:val="none"/>
        </w:rPr>
      </w:pPr>
      <w:r>
        <w:rPr>
          <w:color w:val="auto"/>
          <w:sz w:val="24"/>
          <w:szCs w:val="24"/>
          <w:highlight w:val="none"/>
        </w:rPr>
        <w:t>说明：投标人按“三证合一”登记制度办理营业执照的，组织机构代码证和税务登记证以投标人所提供的法人营业执照（副本）复印件为准。</w:t>
      </w:r>
    </w:p>
    <w:p>
      <w:pPr>
        <w:snapToGrid w:val="0"/>
        <w:spacing w:line="360" w:lineRule="auto"/>
        <w:ind w:firstLine="482" w:firstLineChars="200"/>
        <w:rPr>
          <w:b/>
          <w:bCs/>
          <w:color w:val="auto"/>
          <w:sz w:val="24"/>
          <w:szCs w:val="24"/>
          <w:highlight w:val="none"/>
        </w:rPr>
      </w:pPr>
      <w:r>
        <w:rPr>
          <w:b/>
          <w:bCs/>
          <w:color w:val="auto"/>
          <w:sz w:val="24"/>
          <w:szCs w:val="24"/>
          <w:highlight w:val="none"/>
        </w:rPr>
        <w:t>三、商务文件</w:t>
      </w:r>
    </w:p>
    <w:p>
      <w:pPr>
        <w:snapToGrid w:val="0"/>
        <w:spacing w:line="360" w:lineRule="auto"/>
        <w:ind w:firstLine="480" w:firstLineChars="200"/>
        <w:rPr>
          <w:color w:val="auto"/>
          <w:sz w:val="24"/>
          <w:szCs w:val="24"/>
          <w:highlight w:val="none"/>
        </w:rPr>
      </w:pPr>
      <w:r>
        <w:rPr>
          <w:color w:val="auto"/>
          <w:sz w:val="24"/>
          <w:szCs w:val="24"/>
          <w:highlight w:val="none"/>
        </w:rPr>
        <w:t>（一）投标函（格式）</w:t>
      </w:r>
    </w:p>
    <w:p>
      <w:pPr>
        <w:snapToGrid w:val="0"/>
        <w:spacing w:line="360" w:lineRule="auto"/>
        <w:ind w:firstLine="480" w:firstLineChars="200"/>
        <w:rPr>
          <w:color w:val="auto"/>
          <w:sz w:val="24"/>
          <w:szCs w:val="24"/>
          <w:highlight w:val="none"/>
        </w:rPr>
      </w:pPr>
      <w:r>
        <w:rPr>
          <w:color w:val="auto"/>
          <w:sz w:val="24"/>
          <w:szCs w:val="24"/>
          <w:highlight w:val="none"/>
        </w:rPr>
        <w:t>（三）商务条款差异表</w:t>
      </w:r>
    </w:p>
    <w:p>
      <w:pPr>
        <w:snapToGrid w:val="0"/>
        <w:spacing w:line="360" w:lineRule="auto"/>
        <w:ind w:firstLine="480" w:firstLineChars="200"/>
        <w:rPr>
          <w:color w:val="auto"/>
          <w:sz w:val="24"/>
          <w:szCs w:val="24"/>
          <w:highlight w:val="none"/>
        </w:rPr>
      </w:pPr>
      <w:r>
        <w:rPr>
          <w:color w:val="auto"/>
          <w:sz w:val="24"/>
          <w:szCs w:val="24"/>
          <w:highlight w:val="none"/>
        </w:rPr>
        <w:t>（四）商务部分</w:t>
      </w:r>
      <w:r>
        <w:rPr>
          <w:rFonts w:hint="eastAsia"/>
          <w:color w:val="auto"/>
          <w:sz w:val="24"/>
          <w:szCs w:val="24"/>
          <w:highlight w:val="none"/>
        </w:rPr>
        <w:t>评分</w:t>
      </w:r>
      <w:r>
        <w:rPr>
          <w:color w:val="auto"/>
          <w:sz w:val="24"/>
          <w:szCs w:val="24"/>
          <w:highlight w:val="none"/>
        </w:rPr>
        <w:t>所要求的证明材料（</w:t>
      </w:r>
      <w:r>
        <w:rPr>
          <w:rFonts w:hint="eastAsia"/>
          <w:color w:val="auto"/>
          <w:sz w:val="24"/>
          <w:szCs w:val="24"/>
          <w:highlight w:val="none"/>
        </w:rPr>
        <w:t>如有</w:t>
      </w:r>
      <w:r>
        <w:rPr>
          <w:color w:val="auto"/>
          <w:sz w:val="24"/>
          <w:szCs w:val="24"/>
          <w:highlight w:val="none"/>
        </w:rPr>
        <w:t>）</w:t>
      </w:r>
    </w:p>
    <w:p>
      <w:pPr>
        <w:snapToGrid w:val="0"/>
        <w:spacing w:line="360" w:lineRule="auto"/>
        <w:ind w:firstLine="482" w:firstLineChars="200"/>
        <w:rPr>
          <w:b/>
          <w:bCs/>
          <w:color w:val="auto"/>
          <w:sz w:val="24"/>
          <w:szCs w:val="24"/>
          <w:highlight w:val="none"/>
        </w:rPr>
      </w:pPr>
      <w:r>
        <w:rPr>
          <w:b/>
          <w:bCs/>
          <w:color w:val="auto"/>
          <w:sz w:val="24"/>
          <w:szCs w:val="24"/>
          <w:highlight w:val="none"/>
        </w:rPr>
        <w:t>四、技术文件</w:t>
      </w:r>
    </w:p>
    <w:p>
      <w:pPr>
        <w:snapToGrid w:val="0"/>
        <w:spacing w:line="360" w:lineRule="auto"/>
        <w:ind w:firstLine="480" w:firstLineChars="200"/>
        <w:rPr>
          <w:color w:val="auto"/>
          <w:sz w:val="24"/>
          <w:szCs w:val="24"/>
          <w:highlight w:val="none"/>
        </w:rPr>
      </w:pPr>
      <w:r>
        <w:rPr>
          <w:color w:val="auto"/>
          <w:sz w:val="24"/>
          <w:szCs w:val="24"/>
          <w:highlight w:val="none"/>
        </w:rPr>
        <w:t>（一）技术方案（自拟）</w:t>
      </w:r>
    </w:p>
    <w:p>
      <w:pPr>
        <w:snapToGrid w:val="0"/>
        <w:spacing w:line="360" w:lineRule="auto"/>
        <w:ind w:firstLine="480" w:firstLineChars="200"/>
        <w:rPr>
          <w:color w:val="auto"/>
          <w:sz w:val="24"/>
          <w:szCs w:val="24"/>
          <w:highlight w:val="none"/>
        </w:rPr>
      </w:pPr>
      <w:r>
        <w:rPr>
          <w:color w:val="auto"/>
          <w:sz w:val="24"/>
          <w:szCs w:val="24"/>
          <w:highlight w:val="none"/>
        </w:rPr>
        <w:t>（三）技术条款差异表</w:t>
      </w:r>
    </w:p>
    <w:p>
      <w:pPr>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三</w:t>
      </w:r>
      <w:r>
        <w:rPr>
          <w:color w:val="auto"/>
          <w:sz w:val="24"/>
          <w:szCs w:val="24"/>
          <w:highlight w:val="none"/>
        </w:rPr>
        <w:t>）所投各产品进入当期国家节能、环保清单目录的证明文件（如果有）</w:t>
      </w:r>
    </w:p>
    <w:p>
      <w:pPr>
        <w:tabs>
          <w:tab w:val="left" w:pos="1764"/>
        </w:tabs>
        <w:snapToGrid w:val="0"/>
        <w:spacing w:line="360" w:lineRule="auto"/>
        <w:ind w:firstLine="482" w:firstLineChars="200"/>
        <w:rPr>
          <w:b/>
          <w:bCs/>
          <w:color w:val="auto"/>
          <w:sz w:val="24"/>
          <w:szCs w:val="24"/>
          <w:highlight w:val="none"/>
        </w:rPr>
      </w:pPr>
      <w:r>
        <w:rPr>
          <w:b/>
          <w:bCs/>
          <w:color w:val="auto"/>
          <w:sz w:val="24"/>
          <w:szCs w:val="24"/>
          <w:highlight w:val="none"/>
        </w:rPr>
        <w:t>五、其他</w:t>
      </w:r>
    </w:p>
    <w:p>
      <w:pPr>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一）中小微企业声明函、监狱企业证明文件、残疾人福利性单位声明函</w:t>
      </w:r>
    </w:p>
    <w:p>
      <w:pPr>
        <w:snapToGrid w:val="0"/>
        <w:spacing w:line="360" w:lineRule="auto"/>
        <w:ind w:firstLine="480" w:firstLineChars="200"/>
        <w:rPr>
          <w:color w:val="auto"/>
          <w:sz w:val="24"/>
          <w:szCs w:val="24"/>
          <w:highlight w:val="none"/>
        </w:rPr>
      </w:pPr>
      <w:r>
        <w:rPr>
          <w:color w:val="auto"/>
          <w:sz w:val="24"/>
          <w:szCs w:val="24"/>
          <w:highlight w:val="none"/>
        </w:rPr>
        <w:t>（二）其他与项目有关的资料（自附）</w:t>
      </w:r>
    </w:p>
    <w:p>
      <w:pPr>
        <w:pStyle w:val="4"/>
        <w:ind w:firstLine="560" w:firstLineChars="200"/>
        <w:rPr>
          <w:rFonts w:ascii="Times New Roman"/>
          <w:b/>
          <w:bCs/>
          <w:color w:val="auto"/>
          <w:highlight w:val="none"/>
        </w:rPr>
      </w:pPr>
      <w:r>
        <w:rPr>
          <w:rFonts w:ascii="Times New Roman"/>
          <w:color w:val="auto"/>
          <w:highlight w:val="none"/>
        </w:rPr>
        <w:br w:type="page"/>
      </w:r>
      <w:bookmarkStart w:id="189" w:name="_Toc18414"/>
      <w:bookmarkStart w:id="190" w:name="_Toc21433"/>
      <w:bookmarkStart w:id="191" w:name="_Toc530573529"/>
      <w:bookmarkStart w:id="192" w:name="_Toc429584884"/>
      <w:bookmarkStart w:id="193" w:name="_Toc6377"/>
      <w:r>
        <w:rPr>
          <w:rFonts w:ascii="Times New Roman"/>
          <w:b/>
          <w:bCs/>
          <w:color w:val="auto"/>
          <w:highlight w:val="none"/>
        </w:rPr>
        <w:t>一、经济文件</w:t>
      </w:r>
      <w:bookmarkEnd w:id="189"/>
      <w:bookmarkEnd w:id="190"/>
      <w:bookmarkEnd w:id="191"/>
      <w:bookmarkEnd w:id="192"/>
      <w:bookmarkEnd w:id="193"/>
    </w:p>
    <w:p>
      <w:pPr>
        <w:snapToGrid w:val="0"/>
        <w:spacing w:line="360" w:lineRule="auto"/>
        <w:jc w:val="center"/>
        <w:rPr>
          <w:color w:val="auto"/>
          <w:highlight w:val="none"/>
        </w:rPr>
      </w:pPr>
      <w:r>
        <w:rPr>
          <w:color w:val="auto"/>
          <w:highlight w:val="none"/>
        </w:rPr>
        <w:t>（一）开标一览表</w:t>
      </w:r>
    </w:p>
    <w:p>
      <w:pPr>
        <w:spacing w:line="360" w:lineRule="auto"/>
        <w:ind w:firstLine="240" w:firstLineChars="100"/>
        <w:rPr>
          <w:color w:val="auto"/>
          <w:sz w:val="24"/>
          <w:szCs w:val="24"/>
          <w:highlight w:val="none"/>
        </w:rPr>
      </w:pPr>
      <w:r>
        <w:rPr>
          <w:color w:val="auto"/>
          <w:sz w:val="24"/>
          <w:szCs w:val="24"/>
          <w:highlight w:val="none"/>
        </w:rPr>
        <w:t>招标项目名称：</w:t>
      </w:r>
    </w:p>
    <w:tbl>
      <w:tblPr>
        <w:tblStyle w:val="57"/>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851"/>
        <w:gridCol w:w="804"/>
        <w:gridCol w:w="1950"/>
        <w:gridCol w:w="150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542" w:type="dxa"/>
            <w:vAlign w:val="center"/>
          </w:tcPr>
          <w:p>
            <w:pPr>
              <w:spacing w:line="360" w:lineRule="auto"/>
              <w:jc w:val="center"/>
              <w:rPr>
                <w:color w:val="auto"/>
                <w:sz w:val="24"/>
                <w:szCs w:val="24"/>
                <w:highlight w:val="none"/>
              </w:rPr>
            </w:pPr>
            <w:r>
              <w:rPr>
                <w:color w:val="auto"/>
                <w:sz w:val="24"/>
                <w:szCs w:val="24"/>
                <w:highlight w:val="none"/>
              </w:rPr>
              <w:t>投标人名称</w:t>
            </w:r>
          </w:p>
        </w:tc>
        <w:tc>
          <w:tcPr>
            <w:tcW w:w="7695" w:type="dxa"/>
            <w:gridSpan w:val="5"/>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trPr>
        <w:tc>
          <w:tcPr>
            <w:tcW w:w="1542" w:type="dxa"/>
            <w:vAlign w:val="center"/>
          </w:tcPr>
          <w:p>
            <w:pPr>
              <w:jc w:val="center"/>
              <w:rPr>
                <w:color w:val="auto"/>
                <w:sz w:val="24"/>
                <w:szCs w:val="24"/>
                <w:highlight w:val="none"/>
              </w:rPr>
            </w:pPr>
            <w:r>
              <w:rPr>
                <w:color w:val="auto"/>
                <w:sz w:val="24"/>
                <w:szCs w:val="24"/>
                <w:highlight w:val="none"/>
              </w:rPr>
              <w:t>分包号</w:t>
            </w:r>
          </w:p>
        </w:tc>
        <w:tc>
          <w:tcPr>
            <w:tcW w:w="1851" w:type="dxa"/>
            <w:vAlign w:val="center"/>
          </w:tcPr>
          <w:p>
            <w:pPr>
              <w:jc w:val="center"/>
              <w:rPr>
                <w:color w:val="auto"/>
                <w:sz w:val="24"/>
                <w:szCs w:val="24"/>
                <w:highlight w:val="none"/>
              </w:rPr>
            </w:pPr>
            <w:r>
              <w:rPr>
                <w:color w:val="auto"/>
                <w:sz w:val="24"/>
                <w:szCs w:val="24"/>
                <w:highlight w:val="none"/>
              </w:rPr>
              <w:t>项目名称</w:t>
            </w:r>
          </w:p>
        </w:tc>
        <w:tc>
          <w:tcPr>
            <w:tcW w:w="804" w:type="dxa"/>
            <w:vAlign w:val="center"/>
          </w:tcPr>
          <w:p>
            <w:pPr>
              <w:jc w:val="center"/>
              <w:rPr>
                <w:color w:val="auto"/>
                <w:sz w:val="24"/>
                <w:szCs w:val="24"/>
                <w:highlight w:val="none"/>
              </w:rPr>
            </w:pPr>
            <w:r>
              <w:rPr>
                <w:color w:val="auto"/>
                <w:sz w:val="24"/>
                <w:szCs w:val="24"/>
                <w:highlight w:val="none"/>
              </w:rPr>
              <w:t>数量</w:t>
            </w:r>
          </w:p>
          <w:p>
            <w:pPr>
              <w:jc w:val="center"/>
              <w:rPr>
                <w:color w:val="auto"/>
                <w:sz w:val="24"/>
                <w:szCs w:val="24"/>
                <w:highlight w:val="none"/>
              </w:rPr>
            </w:pPr>
          </w:p>
        </w:tc>
        <w:tc>
          <w:tcPr>
            <w:tcW w:w="1950" w:type="dxa"/>
            <w:vAlign w:val="center"/>
          </w:tcPr>
          <w:p>
            <w:pPr>
              <w:jc w:val="center"/>
              <w:rPr>
                <w:color w:val="auto"/>
                <w:sz w:val="24"/>
                <w:szCs w:val="24"/>
                <w:highlight w:val="none"/>
              </w:rPr>
            </w:pPr>
            <w:r>
              <w:rPr>
                <w:color w:val="auto"/>
                <w:sz w:val="24"/>
                <w:szCs w:val="24"/>
                <w:highlight w:val="none"/>
              </w:rPr>
              <w:t>投标报价（</w:t>
            </w:r>
            <w:r>
              <w:rPr>
                <w:rFonts w:hint="eastAsia"/>
                <w:color w:val="auto"/>
                <w:sz w:val="24"/>
                <w:szCs w:val="24"/>
                <w:highlight w:val="none"/>
              </w:rPr>
              <w:t>万元</w:t>
            </w:r>
            <w:r>
              <w:rPr>
                <w:color w:val="auto"/>
                <w:sz w:val="24"/>
                <w:szCs w:val="24"/>
                <w:highlight w:val="none"/>
              </w:rPr>
              <w:t>）</w:t>
            </w:r>
          </w:p>
        </w:tc>
        <w:tc>
          <w:tcPr>
            <w:tcW w:w="1500" w:type="dxa"/>
            <w:vAlign w:val="center"/>
          </w:tcPr>
          <w:p>
            <w:pPr>
              <w:jc w:val="center"/>
              <w:rPr>
                <w:color w:val="auto"/>
                <w:sz w:val="24"/>
                <w:szCs w:val="24"/>
                <w:highlight w:val="none"/>
              </w:rPr>
            </w:pPr>
            <w:r>
              <w:rPr>
                <w:color w:val="auto"/>
                <w:sz w:val="24"/>
                <w:szCs w:val="24"/>
                <w:highlight w:val="none"/>
              </w:rPr>
              <w:t>实施时间</w:t>
            </w:r>
          </w:p>
        </w:tc>
        <w:tc>
          <w:tcPr>
            <w:tcW w:w="1590" w:type="dxa"/>
            <w:vAlign w:val="center"/>
          </w:tcPr>
          <w:p>
            <w:pPr>
              <w:jc w:val="center"/>
              <w:rPr>
                <w:color w:val="auto"/>
                <w:sz w:val="24"/>
                <w:szCs w:val="24"/>
                <w:highlight w:val="none"/>
              </w:rPr>
            </w:pPr>
            <w:r>
              <w:rPr>
                <w:color w:val="auto"/>
                <w:sz w:val="24"/>
                <w:szCs w:val="24"/>
                <w:highlight w:val="none"/>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542" w:type="dxa"/>
          </w:tcPr>
          <w:p>
            <w:pPr>
              <w:spacing w:line="360" w:lineRule="auto"/>
              <w:ind w:firstLine="720" w:firstLineChars="300"/>
              <w:jc w:val="left"/>
              <w:rPr>
                <w:color w:val="auto"/>
                <w:sz w:val="24"/>
                <w:szCs w:val="24"/>
                <w:highlight w:val="none"/>
              </w:rPr>
            </w:pPr>
            <w:r>
              <w:rPr>
                <w:color w:val="auto"/>
                <w:sz w:val="24"/>
                <w:szCs w:val="24"/>
                <w:highlight w:val="none"/>
              </w:rPr>
              <w:t>1</w:t>
            </w:r>
          </w:p>
        </w:tc>
        <w:tc>
          <w:tcPr>
            <w:tcW w:w="1851" w:type="dxa"/>
          </w:tcPr>
          <w:p>
            <w:pPr>
              <w:spacing w:line="360" w:lineRule="auto"/>
              <w:jc w:val="left"/>
              <w:rPr>
                <w:color w:val="auto"/>
                <w:sz w:val="24"/>
                <w:szCs w:val="24"/>
                <w:highlight w:val="none"/>
              </w:rPr>
            </w:pPr>
          </w:p>
        </w:tc>
        <w:tc>
          <w:tcPr>
            <w:tcW w:w="804" w:type="dxa"/>
          </w:tcPr>
          <w:p>
            <w:pPr>
              <w:spacing w:line="360" w:lineRule="auto"/>
              <w:ind w:firstLine="240" w:firstLineChars="100"/>
              <w:jc w:val="left"/>
              <w:rPr>
                <w:color w:val="auto"/>
                <w:sz w:val="24"/>
                <w:szCs w:val="24"/>
                <w:highlight w:val="none"/>
              </w:rPr>
            </w:pPr>
            <w:r>
              <w:rPr>
                <w:color w:val="auto"/>
                <w:sz w:val="24"/>
                <w:szCs w:val="24"/>
                <w:highlight w:val="none"/>
              </w:rPr>
              <w:t>1</w:t>
            </w:r>
          </w:p>
        </w:tc>
        <w:tc>
          <w:tcPr>
            <w:tcW w:w="1950" w:type="dxa"/>
          </w:tcPr>
          <w:p>
            <w:pPr>
              <w:spacing w:line="360" w:lineRule="auto"/>
              <w:jc w:val="left"/>
              <w:rPr>
                <w:color w:val="auto"/>
                <w:sz w:val="24"/>
                <w:szCs w:val="24"/>
                <w:highlight w:val="none"/>
              </w:rPr>
            </w:pPr>
          </w:p>
        </w:tc>
        <w:tc>
          <w:tcPr>
            <w:tcW w:w="1500" w:type="dxa"/>
          </w:tcPr>
          <w:p>
            <w:pPr>
              <w:spacing w:line="360" w:lineRule="auto"/>
              <w:jc w:val="left"/>
              <w:rPr>
                <w:color w:val="auto"/>
                <w:sz w:val="24"/>
                <w:szCs w:val="24"/>
                <w:highlight w:val="none"/>
              </w:rPr>
            </w:pPr>
          </w:p>
        </w:tc>
        <w:tc>
          <w:tcPr>
            <w:tcW w:w="1590" w:type="dxa"/>
          </w:tcPr>
          <w:p>
            <w:pPr>
              <w:spacing w:line="360" w:lineRule="auto"/>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237" w:type="dxa"/>
            <w:gridSpan w:val="6"/>
            <w:vAlign w:val="center"/>
          </w:tcPr>
          <w:p>
            <w:pPr>
              <w:spacing w:line="360" w:lineRule="auto"/>
              <w:rPr>
                <w:color w:val="auto"/>
                <w:sz w:val="24"/>
                <w:szCs w:val="24"/>
                <w:highlight w:val="none"/>
              </w:rPr>
            </w:pPr>
            <w:r>
              <w:rPr>
                <w:color w:val="auto"/>
                <w:sz w:val="24"/>
                <w:szCs w:val="24"/>
                <w:highlight w:val="none"/>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237" w:type="dxa"/>
            <w:gridSpan w:val="6"/>
            <w:vAlign w:val="center"/>
          </w:tcPr>
          <w:p>
            <w:pPr>
              <w:pStyle w:val="32"/>
              <w:spacing w:line="360" w:lineRule="auto"/>
              <w:rPr>
                <w:color w:val="auto"/>
                <w:sz w:val="24"/>
                <w:szCs w:val="24"/>
                <w:highlight w:val="none"/>
              </w:rPr>
            </w:pPr>
            <w:r>
              <w:rPr>
                <w:color w:val="auto"/>
                <w:sz w:val="24"/>
                <w:szCs w:val="24"/>
                <w:highlight w:val="none"/>
              </w:rPr>
              <w:t>备注：</w:t>
            </w:r>
          </w:p>
        </w:tc>
      </w:tr>
    </w:tbl>
    <w:p>
      <w:pPr>
        <w:pStyle w:val="32"/>
        <w:spacing w:line="360" w:lineRule="auto"/>
        <w:rPr>
          <w:color w:val="auto"/>
          <w:sz w:val="24"/>
          <w:szCs w:val="24"/>
          <w:highlight w:val="none"/>
        </w:rPr>
      </w:pPr>
    </w:p>
    <w:p>
      <w:pPr>
        <w:spacing w:line="360" w:lineRule="auto"/>
        <w:rPr>
          <w:color w:val="auto"/>
          <w:highlight w:val="none"/>
        </w:rPr>
      </w:pPr>
    </w:p>
    <w:p>
      <w:pPr>
        <w:spacing w:line="360" w:lineRule="auto"/>
        <w:rPr>
          <w:color w:val="auto"/>
          <w:sz w:val="24"/>
          <w:szCs w:val="24"/>
          <w:highlight w:val="none"/>
        </w:rPr>
      </w:pPr>
    </w:p>
    <w:p>
      <w:pPr>
        <w:spacing w:line="360" w:lineRule="auto"/>
        <w:ind w:firstLine="480" w:firstLineChars="200"/>
        <w:jc w:val="left"/>
        <w:rPr>
          <w:color w:val="auto"/>
          <w:sz w:val="24"/>
          <w:szCs w:val="24"/>
          <w:highlight w:val="none"/>
        </w:rPr>
      </w:pPr>
      <w:r>
        <w:rPr>
          <w:color w:val="auto"/>
          <w:sz w:val="24"/>
          <w:szCs w:val="24"/>
          <w:highlight w:val="none"/>
        </w:rPr>
        <w:t>投标人：</w:t>
      </w:r>
      <w:r>
        <w:rPr>
          <w:rFonts w:hint="eastAsia"/>
          <w:color w:val="auto"/>
          <w:sz w:val="24"/>
          <w:szCs w:val="24"/>
          <w:highlight w:val="none"/>
        </w:rPr>
        <w:t xml:space="preserve">                            </w:t>
      </w:r>
      <w:r>
        <w:rPr>
          <w:color w:val="auto"/>
          <w:sz w:val="24"/>
          <w:szCs w:val="24"/>
          <w:highlight w:val="none"/>
        </w:rPr>
        <w:t>法定代表人授权代表：</w:t>
      </w:r>
    </w:p>
    <w:p>
      <w:pPr>
        <w:spacing w:line="360" w:lineRule="auto"/>
        <w:rPr>
          <w:color w:val="auto"/>
          <w:sz w:val="24"/>
          <w:szCs w:val="24"/>
          <w:highlight w:val="none"/>
        </w:rPr>
      </w:pPr>
      <w:r>
        <w:rPr>
          <w:color w:val="auto"/>
          <w:sz w:val="24"/>
          <w:szCs w:val="24"/>
          <w:highlight w:val="none"/>
        </w:rPr>
        <w:t>（投标人公章）</w:t>
      </w:r>
      <w:r>
        <w:rPr>
          <w:rFonts w:hint="eastAsia"/>
          <w:color w:val="auto"/>
          <w:sz w:val="24"/>
          <w:szCs w:val="24"/>
          <w:highlight w:val="none"/>
        </w:rPr>
        <w:t xml:space="preserve">                                </w:t>
      </w:r>
      <w:r>
        <w:rPr>
          <w:color w:val="auto"/>
          <w:sz w:val="24"/>
          <w:szCs w:val="24"/>
          <w:highlight w:val="none"/>
        </w:rPr>
        <w:t>（签字或盖章）</w:t>
      </w:r>
    </w:p>
    <w:p>
      <w:pPr>
        <w:spacing w:line="360" w:lineRule="auto"/>
        <w:rPr>
          <w:color w:val="auto"/>
          <w:sz w:val="24"/>
          <w:szCs w:val="24"/>
          <w:highlight w:val="none"/>
        </w:rPr>
      </w:pPr>
    </w:p>
    <w:p>
      <w:pPr>
        <w:spacing w:line="360" w:lineRule="auto"/>
        <w:ind w:firstLine="6360" w:firstLineChars="2650"/>
        <w:jc w:val="left"/>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snapToGrid w:val="0"/>
        <w:spacing w:line="360" w:lineRule="auto"/>
        <w:ind w:firstLine="480" w:firstLineChars="200"/>
        <w:rPr>
          <w:color w:val="auto"/>
          <w:sz w:val="24"/>
          <w:szCs w:val="24"/>
          <w:highlight w:val="none"/>
        </w:rPr>
      </w:pPr>
    </w:p>
    <w:p>
      <w:pPr>
        <w:snapToGrid w:val="0"/>
        <w:spacing w:line="360" w:lineRule="auto"/>
        <w:ind w:firstLine="480" w:firstLineChars="200"/>
        <w:rPr>
          <w:color w:val="auto"/>
          <w:sz w:val="24"/>
          <w:szCs w:val="24"/>
          <w:highlight w:val="none"/>
        </w:rPr>
      </w:pPr>
    </w:p>
    <w:p>
      <w:pPr>
        <w:snapToGrid w:val="0"/>
        <w:spacing w:line="360" w:lineRule="auto"/>
        <w:ind w:firstLine="480" w:firstLineChars="200"/>
        <w:rPr>
          <w:color w:val="auto"/>
          <w:sz w:val="24"/>
          <w:szCs w:val="24"/>
          <w:highlight w:val="none"/>
        </w:rPr>
      </w:pPr>
    </w:p>
    <w:p>
      <w:pPr>
        <w:snapToGrid w:val="0"/>
        <w:spacing w:line="360" w:lineRule="auto"/>
        <w:ind w:firstLine="480" w:firstLineChars="200"/>
        <w:rPr>
          <w:color w:val="auto"/>
          <w:sz w:val="24"/>
          <w:szCs w:val="24"/>
          <w:highlight w:val="none"/>
        </w:rPr>
      </w:pPr>
      <w:r>
        <w:rPr>
          <w:color w:val="auto"/>
          <w:sz w:val="24"/>
          <w:szCs w:val="24"/>
          <w:highlight w:val="none"/>
        </w:rPr>
        <w:t>说明：</w:t>
      </w:r>
    </w:p>
    <w:p>
      <w:pPr>
        <w:snapToGrid w:val="0"/>
        <w:spacing w:line="360" w:lineRule="auto"/>
        <w:ind w:firstLine="480" w:firstLineChars="200"/>
        <w:rPr>
          <w:color w:val="auto"/>
          <w:sz w:val="24"/>
          <w:szCs w:val="24"/>
          <w:highlight w:val="none"/>
        </w:rPr>
      </w:pPr>
      <w:r>
        <w:rPr>
          <w:color w:val="auto"/>
          <w:sz w:val="24"/>
          <w:szCs w:val="24"/>
          <w:highlight w:val="none"/>
        </w:rPr>
        <w:t>1、开标一览表按格式填列；</w:t>
      </w:r>
    </w:p>
    <w:p>
      <w:pPr>
        <w:snapToGrid w:val="0"/>
        <w:spacing w:line="360" w:lineRule="auto"/>
        <w:ind w:firstLine="480" w:firstLineChars="200"/>
        <w:rPr>
          <w:color w:val="auto"/>
          <w:sz w:val="24"/>
          <w:szCs w:val="24"/>
          <w:highlight w:val="none"/>
        </w:rPr>
      </w:pPr>
      <w:r>
        <w:rPr>
          <w:color w:val="auto"/>
          <w:sz w:val="24"/>
          <w:szCs w:val="24"/>
          <w:highlight w:val="none"/>
        </w:rPr>
        <w:t>2、开标一览表在开标大会上当众宣读，务必填写清楚，准确无误；</w:t>
      </w:r>
    </w:p>
    <w:p>
      <w:pPr>
        <w:snapToGrid w:val="0"/>
        <w:spacing w:line="360" w:lineRule="auto"/>
        <w:ind w:firstLine="480" w:firstLineChars="200"/>
        <w:rPr>
          <w:color w:val="auto"/>
          <w:sz w:val="24"/>
          <w:szCs w:val="24"/>
          <w:highlight w:val="none"/>
        </w:rPr>
      </w:pPr>
      <w:r>
        <w:rPr>
          <w:color w:val="auto"/>
          <w:sz w:val="24"/>
          <w:szCs w:val="24"/>
          <w:highlight w:val="none"/>
        </w:rPr>
        <w:t>3、本项目接受联合体投标。</w:t>
      </w:r>
    </w:p>
    <w:p>
      <w:pPr>
        <w:snapToGrid w:val="0"/>
        <w:spacing w:line="360" w:lineRule="auto"/>
        <w:ind w:firstLine="560" w:firstLineChars="200"/>
        <w:rPr>
          <w:color w:val="auto"/>
          <w:sz w:val="24"/>
          <w:szCs w:val="24"/>
          <w:highlight w:val="none"/>
        </w:rPr>
      </w:pPr>
      <w:r>
        <w:rPr>
          <w:color w:val="auto"/>
          <w:highlight w:val="none"/>
        </w:rPr>
        <w:br w:type="page"/>
      </w:r>
      <w:r>
        <w:rPr>
          <w:color w:val="auto"/>
          <w:highlight w:val="none"/>
        </w:rPr>
        <w:t>（二）分项报价明细表</w:t>
      </w:r>
    </w:p>
    <w:p>
      <w:pPr>
        <w:spacing w:line="360" w:lineRule="auto"/>
        <w:rPr>
          <w:color w:val="auto"/>
          <w:sz w:val="24"/>
          <w:szCs w:val="24"/>
          <w:highlight w:val="none"/>
        </w:rPr>
      </w:pPr>
      <w:r>
        <w:rPr>
          <w:color w:val="auto"/>
          <w:sz w:val="24"/>
          <w:szCs w:val="24"/>
          <w:highlight w:val="none"/>
        </w:rPr>
        <w:t>招标项目名称：</w:t>
      </w:r>
    </w:p>
    <w:p>
      <w:pPr>
        <w:spacing w:line="360" w:lineRule="auto"/>
        <w:rPr>
          <w:color w:val="auto"/>
          <w:sz w:val="24"/>
          <w:szCs w:val="24"/>
          <w:highlight w:val="none"/>
        </w:rPr>
      </w:pPr>
      <w:r>
        <w:rPr>
          <w:color w:val="auto"/>
          <w:sz w:val="24"/>
          <w:szCs w:val="24"/>
          <w:highlight w:val="none"/>
        </w:rPr>
        <w:t>单位：元</w:t>
      </w:r>
    </w:p>
    <w:tbl>
      <w:tblPr>
        <w:tblStyle w:val="57"/>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175"/>
        <w:gridCol w:w="2688"/>
        <w:gridCol w:w="738"/>
        <w:gridCol w:w="1351"/>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spacing w:line="360" w:lineRule="auto"/>
              <w:jc w:val="center"/>
              <w:rPr>
                <w:b/>
                <w:bCs/>
                <w:color w:val="auto"/>
                <w:sz w:val="21"/>
                <w:szCs w:val="21"/>
                <w:highlight w:val="none"/>
              </w:rPr>
            </w:pPr>
            <w:r>
              <w:rPr>
                <w:b/>
                <w:bCs/>
                <w:color w:val="auto"/>
                <w:sz w:val="21"/>
                <w:szCs w:val="21"/>
                <w:highlight w:val="none"/>
              </w:rPr>
              <w:t>序号</w:t>
            </w:r>
          </w:p>
        </w:tc>
        <w:tc>
          <w:tcPr>
            <w:tcW w:w="1175" w:type="dxa"/>
            <w:vAlign w:val="center"/>
          </w:tcPr>
          <w:p>
            <w:pPr>
              <w:spacing w:line="360" w:lineRule="auto"/>
              <w:jc w:val="center"/>
              <w:rPr>
                <w:b/>
                <w:bCs/>
                <w:color w:val="auto"/>
                <w:sz w:val="21"/>
                <w:szCs w:val="21"/>
                <w:highlight w:val="none"/>
              </w:rPr>
            </w:pPr>
            <w:r>
              <w:rPr>
                <w:b/>
                <w:bCs/>
                <w:color w:val="auto"/>
                <w:sz w:val="21"/>
                <w:szCs w:val="21"/>
                <w:highlight w:val="none"/>
              </w:rPr>
              <w:t>名称</w:t>
            </w:r>
          </w:p>
        </w:tc>
        <w:tc>
          <w:tcPr>
            <w:tcW w:w="2688" w:type="dxa"/>
            <w:vAlign w:val="center"/>
          </w:tcPr>
          <w:p>
            <w:pPr>
              <w:spacing w:line="360" w:lineRule="auto"/>
              <w:jc w:val="center"/>
              <w:rPr>
                <w:b/>
                <w:bCs/>
                <w:color w:val="auto"/>
                <w:sz w:val="21"/>
                <w:szCs w:val="21"/>
                <w:highlight w:val="none"/>
              </w:rPr>
            </w:pPr>
            <w:r>
              <w:rPr>
                <w:b/>
                <w:bCs/>
                <w:color w:val="auto"/>
                <w:sz w:val="21"/>
                <w:szCs w:val="21"/>
                <w:highlight w:val="none"/>
              </w:rPr>
              <w:t>服务内容</w:t>
            </w:r>
          </w:p>
        </w:tc>
        <w:tc>
          <w:tcPr>
            <w:tcW w:w="738" w:type="dxa"/>
            <w:vAlign w:val="center"/>
          </w:tcPr>
          <w:p>
            <w:pPr>
              <w:spacing w:line="360" w:lineRule="auto"/>
              <w:jc w:val="center"/>
              <w:rPr>
                <w:b/>
                <w:bCs/>
                <w:color w:val="auto"/>
                <w:sz w:val="21"/>
                <w:szCs w:val="21"/>
                <w:highlight w:val="none"/>
              </w:rPr>
            </w:pPr>
            <w:r>
              <w:rPr>
                <w:b/>
                <w:bCs/>
                <w:color w:val="auto"/>
                <w:sz w:val="21"/>
                <w:szCs w:val="21"/>
                <w:highlight w:val="none"/>
              </w:rPr>
              <w:t>数量</w:t>
            </w:r>
          </w:p>
        </w:tc>
        <w:tc>
          <w:tcPr>
            <w:tcW w:w="1351" w:type="dxa"/>
            <w:vAlign w:val="center"/>
          </w:tcPr>
          <w:p>
            <w:pPr>
              <w:spacing w:line="360" w:lineRule="auto"/>
              <w:jc w:val="center"/>
              <w:rPr>
                <w:b/>
                <w:bCs/>
                <w:color w:val="auto"/>
                <w:sz w:val="21"/>
                <w:szCs w:val="21"/>
                <w:highlight w:val="none"/>
              </w:rPr>
            </w:pPr>
            <w:r>
              <w:rPr>
                <w:b/>
                <w:bCs/>
                <w:color w:val="auto"/>
                <w:sz w:val="21"/>
                <w:szCs w:val="21"/>
                <w:highlight w:val="none"/>
              </w:rPr>
              <w:t>单价</w:t>
            </w:r>
          </w:p>
        </w:tc>
        <w:tc>
          <w:tcPr>
            <w:tcW w:w="1290" w:type="dxa"/>
            <w:vAlign w:val="center"/>
          </w:tcPr>
          <w:p>
            <w:pPr>
              <w:spacing w:line="360" w:lineRule="auto"/>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928" w:type="dxa"/>
            <w:vAlign w:val="center"/>
          </w:tcPr>
          <w:p>
            <w:pPr>
              <w:pStyle w:val="23"/>
              <w:spacing w:line="240" w:lineRule="auto"/>
              <w:ind w:left="0"/>
              <w:jc w:val="center"/>
              <w:outlineLvl w:val="0"/>
              <w:rPr>
                <w:color w:val="auto"/>
                <w:sz w:val="21"/>
                <w:szCs w:val="21"/>
                <w:highlight w:val="none"/>
              </w:rPr>
            </w:pPr>
            <w:r>
              <w:rPr>
                <w:color w:val="auto"/>
                <w:sz w:val="21"/>
                <w:szCs w:val="21"/>
                <w:highlight w:val="none"/>
              </w:rPr>
              <w:t>1</w:t>
            </w:r>
          </w:p>
        </w:tc>
        <w:tc>
          <w:tcPr>
            <w:tcW w:w="1175" w:type="dxa"/>
            <w:vAlign w:val="center"/>
          </w:tcPr>
          <w:p>
            <w:pPr>
              <w:jc w:val="center"/>
              <w:rPr>
                <w:color w:val="auto"/>
                <w:sz w:val="21"/>
                <w:szCs w:val="21"/>
                <w:highlight w:val="none"/>
              </w:rPr>
            </w:pPr>
            <w:r>
              <w:rPr>
                <w:color w:val="auto"/>
                <w:sz w:val="21"/>
                <w:szCs w:val="21"/>
                <w:highlight w:val="none"/>
              </w:rPr>
              <w:t>现场巡查</w:t>
            </w:r>
          </w:p>
        </w:tc>
        <w:tc>
          <w:tcPr>
            <w:tcW w:w="2688" w:type="dxa"/>
            <w:vAlign w:val="center"/>
          </w:tcPr>
          <w:p>
            <w:pPr>
              <w:jc w:val="center"/>
              <w:rPr>
                <w:color w:val="auto"/>
                <w:sz w:val="21"/>
                <w:szCs w:val="21"/>
                <w:highlight w:val="none"/>
              </w:rPr>
            </w:pPr>
            <w:r>
              <w:rPr>
                <w:color w:val="auto"/>
                <w:sz w:val="21"/>
                <w:szCs w:val="21"/>
                <w:highlight w:val="none"/>
              </w:rPr>
              <w:t>环境条件调查及布点方案编制、排口巡查建档、问题梳理及调查报告编制</w:t>
            </w:r>
          </w:p>
        </w:tc>
        <w:tc>
          <w:tcPr>
            <w:tcW w:w="738" w:type="dxa"/>
            <w:vAlign w:val="center"/>
          </w:tcPr>
          <w:p>
            <w:pPr>
              <w:jc w:val="center"/>
              <w:rPr>
                <w:color w:val="auto"/>
                <w:sz w:val="21"/>
                <w:szCs w:val="21"/>
                <w:highlight w:val="none"/>
              </w:rPr>
            </w:pPr>
            <w:r>
              <w:rPr>
                <w:color w:val="auto"/>
                <w:sz w:val="21"/>
                <w:szCs w:val="21"/>
                <w:highlight w:val="none"/>
              </w:rPr>
              <w:t>1</w:t>
            </w:r>
          </w:p>
        </w:tc>
        <w:tc>
          <w:tcPr>
            <w:tcW w:w="1351" w:type="dxa"/>
            <w:vAlign w:val="center"/>
          </w:tcPr>
          <w:p>
            <w:pPr>
              <w:jc w:val="center"/>
              <w:rPr>
                <w:color w:val="auto"/>
                <w:sz w:val="21"/>
                <w:szCs w:val="21"/>
                <w:highlight w:val="none"/>
              </w:rPr>
            </w:pPr>
          </w:p>
        </w:tc>
        <w:tc>
          <w:tcPr>
            <w:tcW w:w="1290"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928" w:type="dxa"/>
            <w:vAlign w:val="center"/>
          </w:tcPr>
          <w:p>
            <w:pPr>
              <w:pStyle w:val="23"/>
              <w:spacing w:line="240" w:lineRule="auto"/>
              <w:ind w:left="0"/>
              <w:jc w:val="center"/>
              <w:outlineLvl w:val="0"/>
              <w:rPr>
                <w:color w:val="auto"/>
                <w:sz w:val="21"/>
                <w:szCs w:val="21"/>
                <w:highlight w:val="none"/>
              </w:rPr>
            </w:pPr>
            <w:r>
              <w:rPr>
                <w:color w:val="auto"/>
                <w:sz w:val="21"/>
                <w:szCs w:val="21"/>
                <w:highlight w:val="none"/>
              </w:rPr>
              <w:t>2</w:t>
            </w:r>
          </w:p>
        </w:tc>
        <w:tc>
          <w:tcPr>
            <w:tcW w:w="1175" w:type="dxa"/>
            <w:vAlign w:val="center"/>
          </w:tcPr>
          <w:p>
            <w:pPr>
              <w:jc w:val="center"/>
              <w:rPr>
                <w:color w:val="auto"/>
                <w:sz w:val="21"/>
                <w:szCs w:val="21"/>
                <w:highlight w:val="none"/>
              </w:rPr>
            </w:pPr>
            <w:r>
              <w:rPr>
                <w:color w:val="auto"/>
                <w:sz w:val="21"/>
                <w:szCs w:val="21"/>
                <w:highlight w:val="none"/>
              </w:rPr>
              <w:t>黑臭水体及湖库</w:t>
            </w:r>
            <w:r>
              <w:rPr>
                <w:rFonts w:hint="eastAsia"/>
                <w:color w:val="auto"/>
                <w:sz w:val="24"/>
                <w:szCs w:val="24"/>
                <w:highlight w:val="none"/>
              </w:rPr>
              <w:t>检测</w:t>
            </w:r>
          </w:p>
        </w:tc>
        <w:tc>
          <w:tcPr>
            <w:tcW w:w="2688" w:type="dxa"/>
            <w:vAlign w:val="center"/>
          </w:tcPr>
          <w:p>
            <w:pPr>
              <w:jc w:val="center"/>
              <w:rPr>
                <w:color w:val="auto"/>
                <w:sz w:val="21"/>
                <w:szCs w:val="21"/>
                <w:highlight w:val="none"/>
              </w:rPr>
            </w:pPr>
            <w:r>
              <w:rPr>
                <w:color w:val="auto"/>
                <w:sz w:val="21"/>
                <w:szCs w:val="21"/>
                <w:highlight w:val="none"/>
              </w:rPr>
              <w:t>黑臭水体检测及湖库</w:t>
            </w:r>
            <w:r>
              <w:rPr>
                <w:rFonts w:hint="eastAsia"/>
                <w:color w:val="auto"/>
                <w:sz w:val="24"/>
                <w:szCs w:val="24"/>
                <w:highlight w:val="none"/>
              </w:rPr>
              <w:t>检测</w:t>
            </w:r>
          </w:p>
        </w:tc>
        <w:tc>
          <w:tcPr>
            <w:tcW w:w="738" w:type="dxa"/>
            <w:vAlign w:val="center"/>
          </w:tcPr>
          <w:p>
            <w:pPr>
              <w:jc w:val="center"/>
              <w:rPr>
                <w:color w:val="auto"/>
                <w:sz w:val="21"/>
                <w:szCs w:val="21"/>
                <w:highlight w:val="none"/>
              </w:rPr>
            </w:pPr>
            <w:r>
              <w:rPr>
                <w:color w:val="auto"/>
                <w:sz w:val="21"/>
                <w:szCs w:val="21"/>
                <w:highlight w:val="none"/>
              </w:rPr>
              <w:t>1</w:t>
            </w:r>
          </w:p>
        </w:tc>
        <w:tc>
          <w:tcPr>
            <w:tcW w:w="1351" w:type="dxa"/>
            <w:vAlign w:val="center"/>
          </w:tcPr>
          <w:p>
            <w:pPr>
              <w:jc w:val="center"/>
              <w:rPr>
                <w:color w:val="auto"/>
                <w:sz w:val="21"/>
                <w:szCs w:val="21"/>
                <w:highlight w:val="none"/>
              </w:rPr>
            </w:pPr>
          </w:p>
        </w:tc>
        <w:tc>
          <w:tcPr>
            <w:tcW w:w="1290"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240" w:lineRule="auto"/>
              <w:ind w:left="0"/>
              <w:jc w:val="center"/>
              <w:outlineLvl w:val="0"/>
              <w:rPr>
                <w:color w:val="auto"/>
                <w:sz w:val="21"/>
                <w:szCs w:val="21"/>
                <w:highlight w:val="none"/>
              </w:rPr>
            </w:pPr>
            <w:r>
              <w:rPr>
                <w:color w:val="auto"/>
                <w:sz w:val="21"/>
                <w:szCs w:val="21"/>
                <w:highlight w:val="none"/>
              </w:rPr>
              <w:t>3</w:t>
            </w:r>
          </w:p>
        </w:tc>
        <w:tc>
          <w:tcPr>
            <w:tcW w:w="1175" w:type="dxa"/>
            <w:vAlign w:val="center"/>
          </w:tcPr>
          <w:p>
            <w:pPr>
              <w:jc w:val="center"/>
              <w:rPr>
                <w:color w:val="auto"/>
                <w:sz w:val="21"/>
                <w:szCs w:val="21"/>
                <w:highlight w:val="none"/>
              </w:rPr>
            </w:pPr>
            <w:r>
              <w:rPr>
                <w:color w:val="auto"/>
                <w:sz w:val="21"/>
                <w:szCs w:val="21"/>
                <w:highlight w:val="none"/>
              </w:rPr>
              <w:t>“清水绿岸”</w:t>
            </w:r>
            <w:r>
              <w:rPr>
                <w:rFonts w:hint="eastAsia"/>
                <w:color w:val="auto"/>
                <w:sz w:val="24"/>
                <w:szCs w:val="24"/>
                <w:highlight w:val="none"/>
              </w:rPr>
              <w:t>检测</w:t>
            </w:r>
          </w:p>
        </w:tc>
        <w:tc>
          <w:tcPr>
            <w:tcW w:w="2688" w:type="dxa"/>
            <w:vAlign w:val="center"/>
          </w:tcPr>
          <w:p>
            <w:pPr>
              <w:jc w:val="center"/>
              <w:rPr>
                <w:color w:val="auto"/>
                <w:sz w:val="21"/>
                <w:szCs w:val="21"/>
                <w:highlight w:val="none"/>
              </w:rPr>
            </w:pPr>
            <w:r>
              <w:rPr>
                <w:color w:val="auto"/>
                <w:sz w:val="21"/>
                <w:szCs w:val="21"/>
                <w:highlight w:val="none"/>
              </w:rPr>
              <w:t>“清水绿岸”</w:t>
            </w:r>
            <w:r>
              <w:rPr>
                <w:rFonts w:hint="eastAsia"/>
                <w:color w:val="auto"/>
                <w:sz w:val="24"/>
                <w:szCs w:val="24"/>
                <w:highlight w:val="none"/>
              </w:rPr>
              <w:t>检测</w:t>
            </w:r>
          </w:p>
        </w:tc>
        <w:tc>
          <w:tcPr>
            <w:tcW w:w="738" w:type="dxa"/>
            <w:vAlign w:val="center"/>
          </w:tcPr>
          <w:p>
            <w:pPr>
              <w:jc w:val="center"/>
              <w:rPr>
                <w:color w:val="auto"/>
                <w:sz w:val="21"/>
                <w:szCs w:val="21"/>
                <w:highlight w:val="none"/>
              </w:rPr>
            </w:pPr>
            <w:r>
              <w:rPr>
                <w:color w:val="auto"/>
                <w:sz w:val="21"/>
                <w:szCs w:val="21"/>
                <w:highlight w:val="none"/>
              </w:rPr>
              <w:t>1</w:t>
            </w:r>
          </w:p>
        </w:tc>
        <w:tc>
          <w:tcPr>
            <w:tcW w:w="1351" w:type="dxa"/>
            <w:vAlign w:val="center"/>
          </w:tcPr>
          <w:p>
            <w:pPr>
              <w:jc w:val="center"/>
              <w:rPr>
                <w:color w:val="auto"/>
                <w:sz w:val="21"/>
                <w:szCs w:val="21"/>
                <w:highlight w:val="none"/>
              </w:rPr>
            </w:pPr>
          </w:p>
        </w:tc>
        <w:tc>
          <w:tcPr>
            <w:tcW w:w="1290"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4</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5</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6</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7</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8</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r>
              <w:rPr>
                <w:color w:val="auto"/>
                <w:sz w:val="21"/>
                <w:szCs w:val="21"/>
                <w:highlight w:val="none"/>
              </w:rPr>
              <w:t>/</w:t>
            </w: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9</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r>
              <w:rPr>
                <w:color w:val="auto"/>
                <w:sz w:val="21"/>
                <w:szCs w:val="21"/>
                <w:highlight w:val="none"/>
              </w:rPr>
              <w:t>/</w:t>
            </w: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10</w:t>
            </w:r>
          </w:p>
        </w:tc>
        <w:tc>
          <w:tcPr>
            <w:tcW w:w="1175" w:type="dxa"/>
            <w:vAlign w:val="center"/>
          </w:tcPr>
          <w:p>
            <w:pPr>
              <w:spacing w:line="360" w:lineRule="auto"/>
              <w:jc w:val="center"/>
              <w:rPr>
                <w:color w:val="auto"/>
                <w:sz w:val="21"/>
                <w:szCs w:val="21"/>
                <w:highlight w:val="none"/>
              </w:rPr>
            </w:pP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r>
              <w:rPr>
                <w:color w:val="auto"/>
                <w:sz w:val="21"/>
                <w:szCs w:val="21"/>
                <w:highlight w:val="none"/>
              </w:rPr>
              <w:t>/</w:t>
            </w: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11</w:t>
            </w:r>
          </w:p>
        </w:tc>
        <w:tc>
          <w:tcPr>
            <w:tcW w:w="1175" w:type="dxa"/>
            <w:vAlign w:val="center"/>
          </w:tcPr>
          <w:p>
            <w:pPr>
              <w:spacing w:line="360" w:lineRule="auto"/>
              <w:jc w:val="center"/>
              <w:rPr>
                <w:color w:val="auto"/>
                <w:sz w:val="21"/>
                <w:szCs w:val="21"/>
                <w:highlight w:val="none"/>
              </w:rPr>
            </w:pPr>
            <w:r>
              <w:rPr>
                <w:color w:val="auto"/>
                <w:sz w:val="21"/>
                <w:szCs w:val="21"/>
                <w:highlight w:val="none"/>
              </w:rPr>
              <w:t>……</w:t>
            </w:r>
          </w:p>
        </w:tc>
        <w:tc>
          <w:tcPr>
            <w:tcW w:w="2688" w:type="dxa"/>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r>
              <w:rPr>
                <w:color w:val="auto"/>
                <w:sz w:val="21"/>
                <w:szCs w:val="21"/>
                <w:highlight w:val="none"/>
              </w:rPr>
              <w:t>/</w:t>
            </w: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 w:type="dxa"/>
            <w:vAlign w:val="center"/>
          </w:tcPr>
          <w:p>
            <w:pPr>
              <w:pStyle w:val="23"/>
              <w:spacing w:line="360" w:lineRule="auto"/>
              <w:ind w:left="0"/>
              <w:jc w:val="center"/>
              <w:outlineLvl w:val="0"/>
              <w:rPr>
                <w:color w:val="auto"/>
                <w:sz w:val="21"/>
                <w:szCs w:val="21"/>
                <w:highlight w:val="none"/>
              </w:rPr>
            </w:pPr>
            <w:r>
              <w:rPr>
                <w:color w:val="auto"/>
                <w:sz w:val="21"/>
                <w:szCs w:val="21"/>
                <w:highlight w:val="none"/>
              </w:rPr>
              <w:t>12</w:t>
            </w:r>
          </w:p>
        </w:tc>
        <w:tc>
          <w:tcPr>
            <w:tcW w:w="1175" w:type="dxa"/>
            <w:vAlign w:val="center"/>
          </w:tcPr>
          <w:p>
            <w:pPr>
              <w:spacing w:line="360" w:lineRule="auto"/>
              <w:jc w:val="center"/>
              <w:rPr>
                <w:color w:val="auto"/>
                <w:sz w:val="21"/>
                <w:szCs w:val="21"/>
                <w:highlight w:val="none"/>
              </w:rPr>
            </w:pPr>
            <w:r>
              <w:rPr>
                <w:color w:val="auto"/>
                <w:sz w:val="21"/>
                <w:szCs w:val="21"/>
                <w:highlight w:val="none"/>
              </w:rPr>
              <w:t>总计</w:t>
            </w:r>
          </w:p>
        </w:tc>
        <w:tc>
          <w:tcPr>
            <w:tcW w:w="2688" w:type="dxa"/>
            <w:vAlign w:val="center"/>
          </w:tcPr>
          <w:p>
            <w:pPr>
              <w:spacing w:line="360" w:lineRule="auto"/>
              <w:jc w:val="center"/>
              <w:rPr>
                <w:color w:val="auto"/>
                <w:sz w:val="21"/>
                <w:szCs w:val="21"/>
                <w:highlight w:val="none"/>
              </w:rPr>
            </w:pPr>
          </w:p>
        </w:tc>
        <w:tc>
          <w:tcPr>
            <w:tcW w:w="738" w:type="dxa"/>
            <w:vAlign w:val="center"/>
          </w:tcPr>
          <w:p>
            <w:pPr>
              <w:spacing w:line="360" w:lineRule="auto"/>
              <w:jc w:val="center"/>
              <w:rPr>
                <w:color w:val="auto"/>
                <w:sz w:val="21"/>
                <w:szCs w:val="21"/>
                <w:highlight w:val="none"/>
              </w:rPr>
            </w:pPr>
          </w:p>
        </w:tc>
        <w:tc>
          <w:tcPr>
            <w:tcW w:w="1351" w:type="dxa"/>
          </w:tcPr>
          <w:p>
            <w:pPr>
              <w:spacing w:line="360" w:lineRule="auto"/>
              <w:jc w:val="center"/>
              <w:rPr>
                <w:color w:val="auto"/>
                <w:sz w:val="21"/>
                <w:szCs w:val="21"/>
                <w:highlight w:val="none"/>
              </w:rPr>
            </w:pPr>
          </w:p>
        </w:tc>
        <w:tc>
          <w:tcPr>
            <w:tcW w:w="1290" w:type="dxa"/>
          </w:tcPr>
          <w:p>
            <w:pPr>
              <w:spacing w:line="360" w:lineRule="auto"/>
              <w:jc w:val="center"/>
              <w:rPr>
                <w:color w:val="auto"/>
                <w:sz w:val="21"/>
                <w:szCs w:val="21"/>
                <w:highlight w:val="none"/>
              </w:rPr>
            </w:pPr>
          </w:p>
        </w:tc>
      </w:tr>
    </w:tbl>
    <w:p>
      <w:pPr>
        <w:spacing w:line="360" w:lineRule="auto"/>
        <w:ind w:firstLine="600" w:firstLineChars="250"/>
        <w:jc w:val="left"/>
        <w:rPr>
          <w:color w:val="auto"/>
          <w:sz w:val="24"/>
          <w:szCs w:val="24"/>
          <w:highlight w:val="none"/>
        </w:rPr>
      </w:pPr>
    </w:p>
    <w:p>
      <w:pPr>
        <w:spacing w:line="360" w:lineRule="auto"/>
        <w:ind w:firstLine="600" w:firstLineChars="250"/>
        <w:jc w:val="left"/>
        <w:rPr>
          <w:color w:val="auto"/>
          <w:sz w:val="24"/>
          <w:szCs w:val="24"/>
          <w:highlight w:val="none"/>
        </w:rPr>
      </w:pPr>
      <w:r>
        <w:rPr>
          <w:color w:val="auto"/>
          <w:sz w:val="24"/>
          <w:szCs w:val="24"/>
          <w:highlight w:val="none"/>
        </w:rPr>
        <w:t>投标人：</w:t>
      </w:r>
      <w:r>
        <w:rPr>
          <w:rFonts w:hint="eastAsia"/>
          <w:color w:val="auto"/>
          <w:sz w:val="24"/>
          <w:szCs w:val="24"/>
          <w:highlight w:val="none"/>
        </w:rPr>
        <w:t xml:space="preserve">                              </w:t>
      </w:r>
      <w:r>
        <w:rPr>
          <w:color w:val="auto"/>
          <w:sz w:val="24"/>
          <w:szCs w:val="24"/>
          <w:highlight w:val="none"/>
        </w:rPr>
        <w:t>法定代表人授权代表：</w:t>
      </w:r>
    </w:p>
    <w:p>
      <w:pPr>
        <w:spacing w:line="360" w:lineRule="auto"/>
        <w:ind w:firstLine="240" w:firstLineChars="100"/>
        <w:rPr>
          <w:color w:val="auto"/>
          <w:sz w:val="24"/>
          <w:szCs w:val="24"/>
          <w:highlight w:val="none"/>
        </w:rPr>
      </w:pPr>
      <w:r>
        <w:rPr>
          <w:color w:val="auto"/>
          <w:sz w:val="24"/>
          <w:szCs w:val="24"/>
          <w:highlight w:val="none"/>
        </w:rPr>
        <w:t>（投标人公章）</w:t>
      </w:r>
      <w:r>
        <w:rPr>
          <w:rFonts w:hint="eastAsia"/>
          <w:color w:val="auto"/>
          <w:sz w:val="24"/>
          <w:szCs w:val="24"/>
          <w:highlight w:val="none"/>
        </w:rPr>
        <w:t xml:space="preserve">                              </w:t>
      </w:r>
      <w:r>
        <w:rPr>
          <w:color w:val="auto"/>
          <w:sz w:val="24"/>
          <w:szCs w:val="24"/>
          <w:highlight w:val="none"/>
        </w:rPr>
        <w:t>（签字或盖章）</w:t>
      </w:r>
    </w:p>
    <w:p>
      <w:pPr>
        <w:spacing w:line="360" w:lineRule="auto"/>
        <w:ind w:firstLine="5520" w:firstLineChars="2300"/>
        <w:jc w:val="left"/>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snapToGrid w:val="0"/>
        <w:spacing w:line="360" w:lineRule="auto"/>
        <w:ind w:firstLine="480" w:firstLineChars="200"/>
        <w:rPr>
          <w:color w:val="auto"/>
          <w:sz w:val="24"/>
          <w:szCs w:val="24"/>
          <w:highlight w:val="none"/>
        </w:rPr>
      </w:pPr>
    </w:p>
    <w:p>
      <w:pPr>
        <w:snapToGrid w:val="0"/>
        <w:spacing w:line="360" w:lineRule="auto"/>
        <w:ind w:firstLine="480" w:firstLineChars="200"/>
        <w:rPr>
          <w:color w:val="auto"/>
          <w:sz w:val="24"/>
          <w:szCs w:val="24"/>
          <w:highlight w:val="none"/>
        </w:rPr>
      </w:pPr>
      <w:r>
        <w:rPr>
          <w:color w:val="auto"/>
          <w:sz w:val="24"/>
          <w:szCs w:val="24"/>
          <w:highlight w:val="none"/>
        </w:rPr>
        <w:t>注：</w:t>
      </w:r>
    </w:p>
    <w:p>
      <w:pPr>
        <w:snapToGrid w:val="0"/>
        <w:spacing w:line="360" w:lineRule="auto"/>
        <w:ind w:firstLine="480" w:firstLineChars="200"/>
        <w:rPr>
          <w:color w:val="auto"/>
          <w:sz w:val="24"/>
          <w:szCs w:val="24"/>
          <w:highlight w:val="none"/>
        </w:rPr>
      </w:pPr>
      <w:r>
        <w:rPr>
          <w:color w:val="auto"/>
          <w:sz w:val="24"/>
          <w:szCs w:val="24"/>
          <w:highlight w:val="none"/>
        </w:rPr>
        <w:t>1、请投标人完整填写本表；</w:t>
      </w:r>
    </w:p>
    <w:p>
      <w:pPr>
        <w:snapToGrid w:val="0"/>
        <w:spacing w:line="360" w:lineRule="auto"/>
        <w:ind w:firstLine="480" w:firstLineChars="200"/>
        <w:rPr>
          <w:color w:val="auto"/>
          <w:sz w:val="24"/>
          <w:szCs w:val="24"/>
          <w:highlight w:val="none"/>
        </w:rPr>
      </w:pPr>
      <w:r>
        <w:rPr>
          <w:color w:val="auto"/>
          <w:sz w:val="24"/>
          <w:szCs w:val="24"/>
          <w:highlight w:val="none"/>
        </w:rPr>
        <w:t>2、该表可扩展，并逐页签字或盖章。</w:t>
      </w:r>
    </w:p>
    <w:p>
      <w:pPr>
        <w:pStyle w:val="4"/>
        <w:pageBreakBefore/>
        <w:rPr>
          <w:rFonts w:ascii="Times New Roman"/>
          <w:b/>
          <w:bCs/>
          <w:color w:val="auto"/>
          <w:highlight w:val="none"/>
        </w:rPr>
      </w:pPr>
      <w:bookmarkStart w:id="194" w:name="_Toc14592"/>
      <w:bookmarkStart w:id="195" w:name="_Toc19054"/>
      <w:bookmarkStart w:id="196" w:name="_Toc429584885"/>
      <w:bookmarkStart w:id="197" w:name="_Toc530573530"/>
      <w:bookmarkStart w:id="198" w:name="_Toc30054"/>
      <w:r>
        <w:rPr>
          <w:rFonts w:ascii="Times New Roman"/>
          <w:b/>
          <w:bCs/>
          <w:color w:val="auto"/>
          <w:highlight w:val="none"/>
        </w:rPr>
        <w:t>二、资格文件</w:t>
      </w:r>
      <w:bookmarkEnd w:id="194"/>
      <w:bookmarkEnd w:id="195"/>
      <w:bookmarkEnd w:id="196"/>
      <w:bookmarkEnd w:id="197"/>
      <w:bookmarkEnd w:id="198"/>
    </w:p>
    <w:p>
      <w:pPr>
        <w:spacing w:before="1" w:line="360" w:lineRule="auto"/>
        <w:ind w:left="113" w:firstLine="480" w:firstLineChars="200"/>
        <w:rPr>
          <w:color w:val="auto"/>
          <w:kern w:val="0"/>
          <w:sz w:val="24"/>
          <w:szCs w:val="24"/>
          <w:highlight w:val="none"/>
        </w:rPr>
      </w:pPr>
      <w:r>
        <w:rPr>
          <w:color w:val="auto"/>
          <w:kern w:val="0"/>
          <w:sz w:val="24"/>
          <w:szCs w:val="24"/>
          <w:highlight w:val="none"/>
        </w:rPr>
        <w:t>（一）营业执照（副本）或事业单位法人证书（副本）复印件</w:t>
      </w:r>
    </w:p>
    <w:p>
      <w:pPr>
        <w:spacing w:before="1" w:line="360" w:lineRule="auto"/>
        <w:ind w:left="113" w:firstLine="480" w:firstLineChars="200"/>
        <w:rPr>
          <w:color w:val="auto"/>
          <w:kern w:val="0"/>
          <w:sz w:val="24"/>
          <w:szCs w:val="24"/>
          <w:highlight w:val="none"/>
        </w:rPr>
      </w:pPr>
    </w:p>
    <w:p>
      <w:pPr>
        <w:spacing w:before="1" w:line="360" w:lineRule="auto"/>
        <w:ind w:left="113" w:firstLine="480" w:firstLineChars="200"/>
        <w:rPr>
          <w:color w:val="auto"/>
          <w:kern w:val="0"/>
          <w:sz w:val="24"/>
          <w:szCs w:val="24"/>
          <w:highlight w:val="none"/>
        </w:rPr>
      </w:pPr>
      <w:r>
        <w:rPr>
          <w:color w:val="auto"/>
          <w:kern w:val="0"/>
          <w:sz w:val="24"/>
          <w:szCs w:val="24"/>
          <w:highlight w:val="none"/>
        </w:rPr>
        <w:t>（二）组织机构代码证复印件</w:t>
      </w:r>
    </w:p>
    <w:p>
      <w:pPr>
        <w:spacing w:before="1" w:line="360" w:lineRule="auto"/>
        <w:ind w:left="113" w:firstLine="480" w:firstLineChars="200"/>
        <w:rPr>
          <w:color w:val="auto"/>
          <w:kern w:val="0"/>
          <w:sz w:val="24"/>
          <w:szCs w:val="24"/>
          <w:highlight w:val="none"/>
        </w:rPr>
      </w:pPr>
    </w:p>
    <w:p>
      <w:pPr>
        <w:spacing w:before="1" w:line="360" w:lineRule="auto"/>
        <w:ind w:left="113" w:firstLine="480" w:firstLineChars="200"/>
        <w:rPr>
          <w:color w:val="auto"/>
          <w:kern w:val="0"/>
          <w:sz w:val="24"/>
          <w:szCs w:val="24"/>
          <w:highlight w:val="none"/>
        </w:rPr>
      </w:pPr>
      <w:r>
        <w:rPr>
          <w:color w:val="auto"/>
          <w:kern w:val="0"/>
          <w:sz w:val="24"/>
          <w:szCs w:val="24"/>
          <w:highlight w:val="none"/>
        </w:rPr>
        <w:t>（三）201</w:t>
      </w:r>
      <w:r>
        <w:rPr>
          <w:rFonts w:hint="eastAsia"/>
          <w:color w:val="auto"/>
          <w:kern w:val="0"/>
          <w:sz w:val="24"/>
          <w:szCs w:val="24"/>
          <w:highlight w:val="none"/>
        </w:rPr>
        <w:t>9</w:t>
      </w:r>
      <w:r>
        <w:rPr>
          <w:color w:val="auto"/>
          <w:kern w:val="0"/>
          <w:sz w:val="24"/>
          <w:szCs w:val="24"/>
          <w:highlight w:val="none"/>
        </w:rPr>
        <w:t>年度财务状况报告（表）复印件，本年度新成立的公司提供投标截止时间前一个月的财务状况报告（表）复印件</w:t>
      </w:r>
    </w:p>
    <w:p>
      <w:pPr>
        <w:spacing w:before="1" w:line="360" w:lineRule="auto"/>
        <w:ind w:left="113" w:firstLine="480" w:firstLineChars="200"/>
        <w:rPr>
          <w:color w:val="auto"/>
          <w:kern w:val="0"/>
          <w:sz w:val="24"/>
          <w:szCs w:val="24"/>
          <w:highlight w:val="none"/>
        </w:rPr>
      </w:pPr>
      <w:r>
        <w:rPr>
          <w:color w:val="auto"/>
          <w:kern w:val="0"/>
          <w:sz w:val="24"/>
          <w:szCs w:val="24"/>
          <w:highlight w:val="none"/>
        </w:rPr>
        <w:t>备注：财务审计报告由牵头单位提供。</w:t>
      </w:r>
    </w:p>
    <w:p>
      <w:pPr>
        <w:tabs>
          <w:tab w:val="left" w:pos="6300"/>
        </w:tabs>
        <w:snapToGrid w:val="0"/>
        <w:spacing w:line="360" w:lineRule="auto"/>
        <w:ind w:firstLine="570"/>
        <w:rPr>
          <w:color w:val="auto"/>
          <w:highlight w:val="none"/>
        </w:rPr>
      </w:pPr>
    </w:p>
    <w:p>
      <w:pPr>
        <w:widowControl/>
        <w:spacing w:line="360" w:lineRule="auto"/>
        <w:ind w:firstLine="560" w:firstLineChars="200"/>
        <w:jc w:val="left"/>
        <w:rPr>
          <w:color w:val="auto"/>
          <w:highlight w:val="none"/>
        </w:rPr>
      </w:pPr>
      <w:r>
        <w:rPr>
          <w:color w:val="auto"/>
          <w:highlight w:val="none"/>
        </w:rPr>
        <w:br w:type="page"/>
      </w:r>
      <w:r>
        <w:rPr>
          <w:color w:val="auto"/>
          <w:sz w:val="24"/>
          <w:szCs w:val="24"/>
          <w:highlight w:val="none"/>
        </w:rPr>
        <w:t>（四）法定代表人身份证明书（格式）</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招标项目名称：</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致：</w:t>
      </w:r>
      <w:r>
        <w:rPr>
          <w:rFonts w:hint="eastAsia"/>
          <w:color w:val="auto"/>
          <w:sz w:val="24"/>
          <w:szCs w:val="24"/>
          <w:highlight w:val="none"/>
          <w:u w:val="single"/>
        </w:rPr>
        <w:t xml:space="preserve">         </w:t>
      </w:r>
      <w:r>
        <w:rPr>
          <w:color w:val="auto"/>
          <w:sz w:val="24"/>
          <w:szCs w:val="24"/>
          <w:highlight w:val="none"/>
        </w:rPr>
        <w:t>（采购代理机构名称）：</w:t>
      </w:r>
    </w:p>
    <w:p>
      <w:pPr>
        <w:tabs>
          <w:tab w:val="left" w:pos="6300"/>
        </w:tabs>
        <w:snapToGrid w:val="0"/>
        <w:spacing w:line="360" w:lineRule="auto"/>
        <w:ind w:firstLine="964" w:firstLineChars="402"/>
        <w:rPr>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（法定代表人姓名）在</w:t>
      </w:r>
      <w:r>
        <w:rPr>
          <w:rFonts w:hint="eastAsia"/>
          <w:color w:val="auto"/>
          <w:sz w:val="24"/>
          <w:szCs w:val="24"/>
          <w:highlight w:val="none"/>
          <w:u w:val="single"/>
        </w:rPr>
        <w:t xml:space="preserve">         </w:t>
      </w:r>
      <w:r>
        <w:rPr>
          <w:color w:val="auto"/>
          <w:sz w:val="24"/>
          <w:szCs w:val="24"/>
          <w:highlight w:val="none"/>
        </w:rPr>
        <w:t>（投标人名称）任</w:t>
      </w:r>
      <w:r>
        <w:rPr>
          <w:rFonts w:hint="eastAsia"/>
          <w:color w:val="auto"/>
          <w:sz w:val="24"/>
          <w:szCs w:val="24"/>
          <w:highlight w:val="none"/>
          <w:u w:val="single"/>
        </w:rPr>
        <w:t xml:space="preserve">         </w:t>
      </w:r>
      <w:r>
        <w:rPr>
          <w:color w:val="auto"/>
          <w:sz w:val="24"/>
          <w:szCs w:val="24"/>
          <w:highlight w:val="none"/>
        </w:rPr>
        <w:t>（职务名称）职务，是</w:t>
      </w:r>
      <w:r>
        <w:rPr>
          <w:rFonts w:hint="eastAsia"/>
          <w:color w:val="auto"/>
          <w:sz w:val="24"/>
          <w:szCs w:val="24"/>
          <w:highlight w:val="none"/>
          <w:u w:val="single"/>
        </w:rPr>
        <w:t xml:space="preserve">         </w:t>
      </w:r>
      <w:r>
        <w:rPr>
          <w:color w:val="auto"/>
          <w:sz w:val="24"/>
          <w:szCs w:val="24"/>
          <w:highlight w:val="none"/>
        </w:rPr>
        <w:t>（投标人名称）的法定代表人。</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特此证明。</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jc w:val="right"/>
        <w:rPr>
          <w:color w:val="auto"/>
          <w:sz w:val="24"/>
          <w:szCs w:val="24"/>
          <w:highlight w:val="none"/>
        </w:rPr>
      </w:pPr>
    </w:p>
    <w:p>
      <w:pPr>
        <w:tabs>
          <w:tab w:val="left" w:pos="6300"/>
        </w:tabs>
        <w:snapToGrid w:val="0"/>
        <w:spacing w:line="360" w:lineRule="auto"/>
        <w:ind w:firstLine="6002" w:firstLineChars="2501"/>
        <w:rPr>
          <w:color w:val="auto"/>
          <w:sz w:val="24"/>
          <w:szCs w:val="24"/>
          <w:highlight w:val="none"/>
        </w:rPr>
      </w:pPr>
      <w:r>
        <w:rPr>
          <w:color w:val="auto"/>
          <w:sz w:val="24"/>
          <w:szCs w:val="24"/>
          <w:highlight w:val="none"/>
        </w:rPr>
        <w:t>（投标人公章）</w:t>
      </w:r>
    </w:p>
    <w:p>
      <w:pPr>
        <w:spacing w:line="360" w:lineRule="auto"/>
        <w:rPr>
          <w:color w:val="auto"/>
          <w:sz w:val="24"/>
          <w:szCs w:val="24"/>
          <w:highlight w:val="none"/>
        </w:rPr>
      </w:pPr>
    </w:p>
    <w:p>
      <w:pPr>
        <w:spacing w:line="360" w:lineRule="auto"/>
        <w:ind w:firstLine="6360" w:firstLineChars="2650"/>
        <w:jc w:val="left"/>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snapToGrid w:val="0"/>
        <w:spacing w:line="360" w:lineRule="auto"/>
        <w:ind w:firstLine="480" w:firstLineChars="20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（附：法定代表人身份证正反面复印件）</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highlight w:val="none"/>
        </w:rPr>
      </w:pPr>
      <w:r>
        <w:rPr>
          <w:color w:val="auto"/>
          <w:highlight w:val="none"/>
        </w:rPr>
        <w:br w:type="column"/>
      </w:r>
      <w:r>
        <w:rPr>
          <w:color w:val="auto"/>
          <w:sz w:val="24"/>
          <w:szCs w:val="24"/>
          <w:highlight w:val="none"/>
        </w:rPr>
        <w:t>（五）法定代表人授权委托书（格式）</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招标项目名称：</w:t>
      </w:r>
      <w:r>
        <w:rPr>
          <w:rFonts w:hint="eastAsia"/>
          <w:color w:val="auto"/>
          <w:sz w:val="24"/>
          <w:szCs w:val="24"/>
          <w:highlight w:val="none"/>
        </w:rPr>
        <w:t xml:space="preserve">              </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致：</w:t>
      </w:r>
      <w:r>
        <w:rPr>
          <w:rFonts w:hint="eastAsia"/>
          <w:color w:val="auto"/>
          <w:sz w:val="24"/>
          <w:szCs w:val="24"/>
          <w:highlight w:val="none"/>
          <w:u w:val="single"/>
        </w:rPr>
        <w:t xml:space="preserve">              </w:t>
      </w:r>
      <w:r>
        <w:rPr>
          <w:color w:val="auto"/>
          <w:sz w:val="24"/>
          <w:szCs w:val="24"/>
          <w:highlight w:val="none"/>
        </w:rPr>
        <w:t>（采购代理机构名称）</w:t>
      </w:r>
    </w:p>
    <w:p>
      <w:pPr>
        <w:tabs>
          <w:tab w:val="left" w:pos="6300"/>
        </w:tabs>
        <w:snapToGrid w:val="0"/>
        <w:spacing w:line="360" w:lineRule="auto"/>
        <w:ind w:firstLine="960" w:firstLineChars="400"/>
        <w:rPr>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（投标人法定代表人名称）是</w:t>
      </w:r>
      <w:r>
        <w:rPr>
          <w:rFonts w:hint="eastAsia"/>
          <w:color w:val="auto"/>
          <w:sz w:val="24"/>
          <w:szCs w:val="24"/>
          <w:highlight w:val="none"/>
          <w:u w:val="single"/>
        </w:rPr>
        <w:t xml:space="preserve">           </w:t>
      </w:r>
      <w:r>
        <w:rPr>
          <w:color w:val="auto"/>
          <w:sz w:val="24"/>
          <w:szCs w:val="24"/>
          <w:highlight w:val="none"/>
          <w:u w:val="single"/>
        </w:rPr>
        <w:t>（</w:t>
      </w:r>
      <w:r>
        <w:rPr>
          <w:color w:val="auto"/>
          <w:sz w:val="24"/>
          <w:szCs w:val="24"/>
          <w:highlight w:val="none"/>
        </w:rPr>
        <w:t>投标人名称）的法定代表人，特授权</w:t>
      </w:r>
      <w:r>
        <w:rPr>
          <w:rFonts w:hint="eastAsia"/>
          <w:color w:val="auto"/>
          <w:sz w:val="24"/>
          <w:szCs w:val="24"/>
          <w:highlight w:val="none"/>
          <w:u w:val="single"/>
        </w:rPr>
        <w:t xml:space="preserve">         </w:t>
      </w:r>
      <w:r>
        <w:rPr>
          <w:color w:val="auto"/>
          <w:sz w:val="24"/>
          <w:szCs w:val="24"/>
          <w:highlight w:val="none"/>
        </w:rPr>
        <w:t>（被授权人姓名及身份证代码）代表我单位全权办理上述项目的投标、谈判、签约等具体工作，并签署全部有关文件、协议及合同。</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我单位对被授权人的签字负全部责任。</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被授权人：</w:t>
      </w:r>
      <w:r>
        <w:rPr>
          <w:rFonts w:hint="eastAsia"/>
          <w:color w:val="auto"/>
          <w:sz w:val="24"/>
          <w:szCs w:val="24"/>
          <w:highlight w:val="none"/>
        </w:rPr>
        <w:t xml:space="preserve">                            </w:t>
      </w:r>
      <w:r>
        <w:rPr>
          <w:color w:val="auto"/>
          <w:sz w:val="24"/>
          <w:szCs w:val="24"/>
          <w:highlight w:val="none"/>
        </w:rPr>
        <w:t>投标人法定代表人：</w:t>
      </w:r>
    </w:p>
    <w:p>
      <w:pPr>
        <w:tabs>
          <w:tab w:val="left" w:pos="6300"/>
        </w:tabs>
        <w:snapToGrid w:val="0"/>
        <w:spacing w:line="360" w:lineRule="auto"/>
        <w:ind w:firstLine="570"/>
        <w:rPr>
          <w:color w:val="auto"/>
          <w:sz w:val="24"/>
          <w:szCs w:val="24"/>
          <w:highlight w:val="none"/>
        </w:rPr>
      </w:pPr>
      <w:r>
        <w:rPr>
          <w:color w:val="auto"/>
          <w:sz w:val="24"/>
          <w:szCs w:val="24"/>
          <w:highlight w:val="none"/>
        </w:rPr>
        <w:t>（签字或盖章）</w:t>
      </w:r>
      <w:r>
        <w:rPr>
          <w:rFonts w:hint="eastAsia"/>
          <w:color w:val="auto"/>
          <w:sz w:val="24"/>
          <w:szCs w:val="24"/>
          <w:highlight w:val="none"/>
        </w:rPr>
        <w:t xml:space="preserve">                          </w:t>
      </w:r>
      <w:r>
        <w:rPr>
          <w:color w:val="auto"/>
          <w:sz w:val="24"/>
          <w:szCs w:val="24"/>
          <w:highlight w:val="none"/>
        </w:rPr>
        <w:t>（签字或盖章）</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（附：被授权人身份证正反面复印件）</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right="480" w:firstLine="570"/>
        <w:jc w:val="right"/>
        <w:rPr>
          <w:color w:val="auto"/>
          <w:sz w:val="24"/>
          <w:szCs w:val="24"/>
          <w:highlight w:val="none"/>
        </w:rPr>
      </w:pPr>
      <w:r>
        <w:rPr>
          <w:color w:val="auto"/>
          <w:sz w:val="24"/>
          <w:szCs w:val="24"/>
          <w:highlight w:val="none"/>
        </w:rPr>
        <w:t>（投标人公章）</w:t>
      </w:r>
    </w:p>
    <w:p>
      <w:pPr>
        <w:spacing w:line="360" w:lineRule="auto"/>
        <w:ind w:firstLine="6360" w:firstLineChars="2650"/>
        <w:jc w:val="left"/>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snapToGrid w:val="0"/>
        <w:spacing w:line="360" w:lineRule="auto"/>
        <w:ind w:firstLine="480" w:firstLineChars="200"/>
        <w:rPr>
          <w:color w:val="auto"/>
          <w:sz w:val="24"/>
          <w:szCs w:val="24"/>
          <w:highlight w:val="none"/>
        </w:rPr>
      </w:pPr>
    </w:p>
    <w:p>
      <w:pPr>
        <w:tabs>
          <w:tab w:val="left" w:pos="6300"/>
        </w:tabs>
        <w:snapToGrid w:val="0"/>
        <w:spacing w:line="360" w:lineRule="auto"/>
        <w:ind w:firstLine="570"/>
        <w:jc w:val="center"/>
        <w:rPr>
          <w:color w:val="auto"/>
          <w:sz w:val="24"/>
          <w:szCs w:val="24"/>
          <w:highlight w:val="none"/>
        </w:rPr>
      </w:pPr>
      <w:r>
        <w:rPr>
          <w:color w:val="auto"/>
          <w:sz w:val="24"/>
          <w:szCs w:val="24"/>
          <w:highlight w:val="none"/>
        </w:rPr>
        <w:br w:type="column"/>
      </w:r>
      <w:r>
        <w:rPr>
          <w:color w:val="auto"/>
          <w:sz w:val="24"/>
          <w:szCs w:val="24"/>
          <w:highlight w:val="none"/>
        </w:rPr>
        <w:t>（六）书面声明</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480" w:firstLineChars="200"/>
        <w:rPr>
          <w:color w:val="auto"/>
          <w:sz w:val="24"/>
          <w:szCs w:val="24"/>
          <w:highlight w:val="none"/>
          <w:u w:val="single"/>
        </w:rPr>
      </w:pPr>
      <w:r>
        <w:rPr>
          <w:color w:val="auto"/>
          <w:sz w:val="24"/>
          <w:szCs w:val="24"/>
          <w:highlight w:val="none"/>
        </w:rPr>
        <w:t xml:space="preserve">招标项目名称：                                             </w:t>
      </w: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致：</w:t>
      </w:r>
      <w:r>
        <w:rPr>
          <w:rFonts w:hint="eastAsia"/>
          <w:color w:val="auto"/>
          <w:sz w:val="24"/>
          <w:szCs w:val="24"/>
          <w:highlight w:val="none"/>
          <w:u w:val="single"/>
        </w:rPr>
        <w:t xml:space="preserve">              </w:t>
      </w:r>
      <w:r>
        <w:rPr>
          <w:color w:val="auto"/>
          <w:sz w:val="24"/>
          <w:szCs w:val="24"/>
          <w:highlight w:val="none"/>
        </w:rPr>
        <w:t>（采购代理机构名称）</w:t>
      </w:r>
    </w:p>
    <w:p>
      <w:pPr>
        <w:tabs>
          <w:tab w:val="left" w:pos="6300"/>
        </w:tabs>
        <w:wordWrap w:val="0"/>
        <w:topLinePunct/>
        <w:snapToGrid w:val="0"/>
        <w:spacing w:line="360" w:lineRule="auto"/>
        <w:ind w:firstLine="480" w:firstLineChars="200"/>
        <w:rPr>
          <w:rFonts w:ascii="宋体" w:hAnsi="宋体" w:cs="宋体"/>
          <w:color w:val="auto"/>
          <w:spacing w:val="20"/>
          <w:kern w:val="21"/>
          <w:sz w:val="24"/>
          <w:szCs w:val="24"/>
          <w:highlight w:val="none"/>
        </w:rPr>
      </w:pPr>
      <w:r>
        <w:rPr>
          <w:rFonts w:hint="eastAsia"/>
          <w:color w:val="auto"/>
          <w:sz w:val="24"/>
          <w:szCs w:val="24"/>
          <w:highlight w:val="none"/>
          <w:u w:val="single"/>
        </w:rPr>
        <w:t xml:space="preserve">              </w:t>
      </w:r>
      <w:r>
        <w:rPr>
          <w:color w:val="auto"/>
          <w:sz w:val="24"/>
          <w:szCs w:val="24"/>
          <w:highlight w:val="none"/>
        </w:rPr>
        <w:t>（投标人名称）郑重声明，</w:t>
      </w:r>
      <w:r>
        <w:rPr>
          <w:rFonts w:hint="eastAsia"/>
          <w:color w:val="auto"/>
          <w:sz w:val="24"/>
          <w:szCs w:val="24"/>
          <w:highlight w:val="none"/>
        </w:rPr>
        <w:t>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360" w:lineRule="auto"/>
        <w:ind w:firstLine="480" w:firstLineChars="20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right="424" w:firstLine="570"/>
        <w:jc w:val="right"/>
        <w:rPr>
          <w:color w:val="auto"/>
          <w:sz w:val="24"/>
          <w:szCs w:val="24"/>
          <w:highlight w:val="none"/>
        </w:rPr>
      </w:pPr>
      <w:r>
        <w:rPr>
          <w:color w:val="auto"/>
          <w:sz w:val="24"/>
          <w:szCs w:val="24"/>
          <w:highlight w:val="none"/>
        </w:rPr>
        <w:t>（投标人公章）</w:t>
      </w:r>
    </w:p>
    <w:p>
      <w:pPr>
        <w:spacing w:line="360" w:lineRule="auto"/>
        <w:rPr>
          <w:color w:val="auto"/>
          <w:sz w:val="24"/>
          <w:szCs w:val="24"/>
          <w:highlight w:val="none"/>
        </w:rPr>
      </w:pPr>
    </w:p>
    <w:p>
      <w:pPr>
        <w:spacing w:line="360" w:lineRule="auto"/>
        <w:ind w:firstLine="6600" w:firstLineChars="2750"/>
        <w:jc w:val="left"/>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snapToGrid w:val="0"/>
        <w:spacing w:line="360" w:lineRule="auto"/>
        <w:ind w:firstLine="480" w:firstLineChars="200"/>
        <w:rPr>
          <w:color w:val="auto"/>
          <w:sz w:val="24"/>
          <w:szCs w:val="24"/>
          <w:highlight w:val="none"/>
        </w:rPr>
      </w:pPr>
    </w:p>
    <w:p>
      <w:pPr>
        <w:numPr>
          <w:ilvl w:val="0"/>
          <w:numId w:val="4"/>
        </w:numPr>
        <w:tabs>
          <w:tab w:val="left" w:pos="6300"/>
        </w:tabs>
        <w:snapToGrid w:val="0"/>
        <w:spacing w:line="360" w:lineRule="auto"/>
        <w:ind w:firstLine="480" w:firstLineChars="200"/>
        <w:rPr>
          <w:color w:val="auto"/>
          <w:sz w:val="24"/>
          <w:szCs w:val="24"/>
          <w:highlight w:val="none"/>
        </w:rPr>
      </w:pPr>
      <w:r>
        <w:rPr>
          <w:color w:val="auto"/>
          <w:sz w:val="24"/>
          <w:szCs w:val="24"/>
          <w:highlight w:val="none"/>
        </w:rPr>
        <w:br w:type="page"/>
      </w:r>
      <w:r>
        <w:rPr>
          <w:color w:val="auto"/>
          <w:sz w:val="24"/>
          <w:szCs w:val="24"/>
          <w:highlight w:val="none"/>
        </w:rPr>
        <w:t>投标人有依法缴纳税收和社会保障金的证明材料</w:t>
      </w:r>
    </w:p>
    <w:p>
      <w:pPr>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八</w:t>
      </w:r>
      <w:r>
        <w:rPr>
          <w:color w:val="auto"/>
          <w:sz w:val="24"/>
          <w:szCs w:val="24"/>
          <w:highlight w:val="none"/>
        </w:rPr>
        <w:t>）投标保证金缴纳情况证明文件</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九</w:t>
      </w:r>
      <w:r>
        <w:rPr>
          <w:color w:val="auto"/>
          <w:sz w:val="24"/>
          <w:szCs w:val="24"/>
          <w:highlight w:val="none"/>
        </w:rPr>
        <w:t>）特定资格条件证书或证明文件</w:t>
      </w:r>
    </w:p>
    <w:p>
      <w:pPr>
        <w:spacing w:before="1" w:line="360" w:lineRule="auto"/>
        <w:ind w:left="113" w:firstLine="480" w:firstLineChars="200"/>
        <w:rPr>
          <w:color w:val="auto"/>
          <w:kern w:val="0"/>
          <w:sz w:val="24"/>
          <w:szCs w:val="24"/>
          <w:highlight w:val="none"/>
        </w:rPr>
      </w:pPr>
      <w:r>
        <w:rPr>
          <w:color w:val="auto"/>
          <w:kern w:val="0"/>
          <w:sz w:val="24"/>
          <w:szCs w:val="24"/>
          <w:highlight w:val="none"/>
        </w:rPr>
        <w:t>说明：投标人按“三证合一”登记制度办理营业执照的，组织机构代码证和税务登记证以投标人所提供的营业执照（副本）复印件为准。</w:t>
      </w:r>
    </w:p>
    <w:p>
      <w:pPr>
        <w:pStyle w:val="4"/>
        <w:pageBreakBefore/>
        <w:rPr>
          <w:rFonts w:ascii="Times New Roman"/>
          <w:b/>
          <w:bCs/>
          <w:color w:val="auto"/>
          <w:highlight w:val="none"/>
        </w:rPr>
      </w:pPr>
      <w:bookmarkStart w:id="199" w:name="_Toc29921"/>
      <w:bookmarkStart w:id="200" w:name="_Toc429584886"/>
      <w:bookmarkStart w:id="201" w:name="_Toc1812"/>
      <w:bookmarkStart w:id="202" w:name="_Toc530573531"/>
      <w:bookmarkStart w:id="203" w:name="_Toc30276"/>
      <w:r>
        <w:rPr>
          <w:rFonts w:ascii="Times New Roman"/>
          <w:b/>
          <w:bCs/>
          <w:color w:val="auto"/>
          <w:highlight w:val="none"/>
        </w:rPr>
        <w:t>三、商务文件</w:t>
      </w:r>
      <w:bookmarkEnd w:id="199"/>
      <w:bookmarkEnd w:id="200"/>
      <w:bookmarkEnd w:id="201"/>
      <w:bookmarkEnd w:id="202"/>
      <w:bookmarkEnd w:id="203"/>
    </w:p>
    <w:p>
      <w:pPr>
        <w:snapToGrid w:val="0"/>
        <w:spacing w:before="190" w:beforeLines="50" w:line="360" w:lineRule="auto"/>
        <w:jc w:val="center"/>
        <w:rPr>
          <w:color w:val="auto"/>
          <w:highlight w:val="none"/>
        </w:rPr>
      </w:pPr>
      <w:r>
        <w:rPr>
          <w:color w:val="auto"/>
          <w:highlight w:val="none"/>
        </w:rPr>
        <w:t>（一）投标函（格式）</w:t>
      </w:r>
    </w:p>
    <w:p>
      <w:pPr>
        <w:spacing w:line="360" w:lineRule="auto"/>
        <w:rPr>
          <w:color w:val="auto"/>
          <w:sz w:val="24"/>
          <w:szCs w:val="24"/>
          <w:highlight w:val="none"/>
        </w:rPr>
      </w:pPr>
    </w:p>
    <w:p>
      <w:pPr>
        <w:spacing w:line="360" w:lineRule="auto"/>
        <w:rPr>
          <w:color w:val="auto"/>
          <w:sz w:val="24"/>
          <w:szCs w:val="24"/>
          <w:highlight w:val="none"/>
          <w:u w:val="single"/>
        </w:rPr>
      </w:pPr>
      <w:r>
        <w:rPr>
          <w:color w:val="auto"/>
          <w:sz w:val="24"/>
          <w:szCs w:val="24"/>
          <w:highlight w:val="none"/>
        </w:rPr>
        <w:t>招标项目名称：</w:t>
      </w:r>
      <w:r>
        <w:rPr>
          <w:rFonts w:hint="eastAsia"/>
          <w:color w:val="auto"/>
          <w:sz w:val="24"/>
          <w:szCs w:val="24"/>
          <w:highlight w:val="none"/>
          <w:u w:val="single"/>
        </w:rPr>
        <w:t xml:space="preserve">              </w:t>
      </w:r>
    </w:p>
    <w:p>
      <w:pPr>
        <w:spacing w:line="360" w:lineRule="auto"/>
        <w:rPr>
          <w:color w:val="auto"/>
          <w:sz w:val="24"/>
          <w:szCs w:val="24"/>
          <w:highlight w:val="none"/>
        </w:rPr>
      </w:pPr>
    </w:p>
    <w:p>
      <w:pPr>
        <w:tabs>
          <w:tab w:val="left" w:pos="6300"/>
        </w:tabs>
        <w:snapToGrid w:val="0"/>
        <w:spacing w:line="360" w:lineRule="auto"/>
        <w:rPr>
          <w:color w:val="auto"/>
          <w:sz w:val="24"/>
          <w:szCs w:val="24"/>
          <w:highlight w:val="none"/>
        </w:rPr>
      </w:pPr>
      <w:r>
        <w:rPr>
          <w:color w:val="auto"/>
          <w:sz w:val="24"/>
          <w:szCs w:val="24"/>
          <w:highlight w:val="none"/>
        </w:rPr>
        <w:t>致：</w:t>
      </w:r>
      <w:r>
        <w:rPr>
          <w:rFonts w:hint="eastAsia"/>
          <w:color w:val="auto"/>
          <w:sz w:val="24"/>
          <w:szCs w:val="24"/>
          <w:highlight w:val="none"/>
          <w:u w:val="single"/>
        </w:rPr>
        <w:t xml:space="preserve">              </w:t>
      </w:r>
      <w:r>
        <w:rPr>
          <w:color w:val="auto"/>
          <w:sz w:val="24"/>
          <w:szCs w:val="24"/>
          <w:highlight w:val="none"/>
        </w:rPr>
        <w:t>（采购代理机构名称）</w:t>
      </w:r>
    </w:p>
    <w:p>
      <w:pPr>
        <w:snapToGrid w:val="0"/>
        <w:spacing w:before="190" w:beforeLines="50" w:line="360" w:lineRule="auto"/>
        <w:ind w:firstLine="480" w:firstLineChars="200"/>
        <w:rPr>
          <w:color w:val="auto"/>
          <w:sz w:val="24"/>
          <w:szCs w:val="24"/>
          <w:highlight w:val="none"/>
        </w:rPr>
      </w:pPr>
      <w:r>
        <w:rPr>
          <w:rFonts w:hint="eastAsia"/>
          <w:color w:val="auto"/>
          <w:sz w:val="24"/>
          <w:szCs w:val="24"/>
          <w:highlight w:val="none"/>
          <w:u w:val="single"/>
        </w:rPr>
        <w:t xml:space="preserve">              </w:t>
      </w:r>
      <w:r>
        <w:rPr>
          <w:color w:val="auto"/>
          <w:sz w:val="24"/>
          <w:szCs w:val="24"/>
          <w:highlight w:val="none"/>
        </w:rPr>
        <w:t>（投标人名称）系中华人民共和国合法企业，注册地址：</w:t>
      </w:r>
      <w:r>
        <w:rPr>
          <w:rFonts w:hint="eastAsia"/>
          <w:color w:val="auto"/>
          <w:sz w:val="24"/>
          <w:szCs w:val="24"/>
          <w:highlight w:val="none"/>
          <w:u w:val="single"/>
        </w:rPr>
        <w:t xml:space="preserve">              </w:t>
      </w:r>
      <w:r>
        <w:rPr>
          <w:color w:val="auto"/>
          <w:sz w:val="24"/>
          <w:szCs w:val="24"/>
          <w:highlight w:val="none"/>
        </w:rPr>
        <w:t>。我方就参加本次投标有关事项郑重声明如下：</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一、我方完全理解并接受该项目招标文件所有要求。</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二、我方提交的所有投标文件、资料都是准确和真实的，如有虚假或隐瞒，我方愿意承担一切法律责任。</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三、我方承诺按照招标文件要求，提供招标项目的技术服务。</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四、我方按招标文件要求提交的投标文件为：投标文件正本</w:t>
      </w:r>
      <w:r>
        <w:rPr>
          <w:rFonts w:hint="eastAsia"/>
          <w:color w:val="auto"/>
          <w:sz w:val="24"/>
          <w:szCs w:val="24"/>
          <w:highlight w:val="none"/>
          <w:u w:val="single"/>
        </w:rPr>
        <w:t xml:space="preserve">  </w:t>
      </w:r>
      <w:r>
        <w:rPr>
          <w:rFonts w:hint="eastAsia"/>
          <w:color w:val="auto"/>
          <w:sz w:val="24"/>
          <w:szCs w:val="24"/>
          <w:highlight w:val="none"/>
        </w:rPr>
        <w:t>份</w:t>
      </w:r>
      <w:r>
        <w:rPr>
          <w:color w:val="auto"/>
          <w:sz w:val="24"/>
          <w:szCs w:val="24"/>
          <w:highlight w:val="none"/>
        </w:rPr>
        <w:t>，副本</w:t>
      </w:r>
      <w:r>
        <w:rPr>
          <w:rFonts w:hint="eastAsia"/>
          <w:color w:val="auto"/>
          <w:sz w:val="24"/>
          <w:szCs w:val="24"/>
          <w:highlight w:val="none"/>
          <w:u w:val="single"/>
        </w:rPr>
        <w:t xml:space="preserve">  </w:t>
      </w:r>
      <w:r>
        <w:rPr>
          <w:color w:val="auto"/>
          <w:sz w:val="24"/>
          <w:szCs w:val="24"/>
          <w:highlight w:val="none"/>
        </w:rPr>
        <w:t>份，电子文档</w:t>
      </w:r>
      <w:r>
        <w:rPr>
          <w:rFonts w:hint="eastAsia"/>
          <w:color w:val="auto"/>
          <w:sz w:val="24"/>
          <w:szCs w:val="24"/>
          <w:highlight w:val="none"/>
          <w:u w:val="single"/>
        </w:rPr>
        <w:t xml:space="preserve">  </w:t>
      </w:r>
      <w:r>
        <w:rPr>
          <w:color w:val="auto"/>
          <w:sz w:val="24"/>
          <w:szCs w:val="24"/>
          <w:highlight w:val="none"/>
        </w:rPr>
        <w:t>份。</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五、我方承诺：本次投标的投标有效期为90天。</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六、我方投标报价为闭口价。即在投标有效期和合同有效期内，该报价固定不变。</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七、如果我方中标，我方将履行招标文件中规定的各项要求以及我方投标文件的各项承诺，按《政府采购法》、《合同法》及合同约定条款承担我方责任。</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八、我方未为采购项目提供整体设计、规范编制或者项目管理、监理、检测等服务。</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九、我方理解，最低报价不是中标的唯一条件。</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十、我方同意按有关规定及招标文件要求，缴纳足额投标保证金。</w:t>
      </w:r>
    </w:p>
    <w:p>
      <w:pPr>
        <w:tabs>
          <w:tab w:val="left" w:pos="6300"/>
        </w:tabs>
        <w:snapToGrid w:val="0"/>
        <w:spacing w:line="360" w:lineRule="auto"/>
        <w:ind w:firstLine="480" w:firstLineChars="200"/>
        <w:rPr>
          <w:color w:val="auto"/>
          <w:sz w:val="24"/>
          <w:szCs w:val="24"/>
          <w:highlight w:val="none"/>
        </w:rPr>
      </w:pPr>
      <w:r>
        <w:rPr>
          <w:color w:val="auto"/>
          <w:sz w:val="24"/>
          <w:szCs w:val="24"/>
          <w:highlight w:val="none"/>
        </w:rPr>
        <w:t>十一、若我方中标，愿意按有关规定及招标文件要求缴纳招标代理服务费和交易服务费。</w:t>
      </w:r>
    </w:p>
    <w:p>
      <w:pPr>
        <w:tabs>
          <w:tab w:val="left" w:pos="6300"/>
        </w:tabs>
        <w:snapToGrid w:val="0"/>
        <w:spacing w:line="360" w:lineRule="auto"/>
        <w:ind w:firstLine="5460" w:firstLineChars="2275"/>
        <w:rPr>
          <w:color w:val="auto"/>
          <w:sz w:val="24"/>
          <w:szCs w:val="24"/>
          <w:highlight w:val="none"/>
        </w:rPr>
      </w:pPr>
      <w:r>
        <w:rPr>
          <w:color w:val="auto"/>
          <w:sz w:val="24"/>
          <w:szCs w:val="24"/>
          <w:highlight w:val="none"/>
        </w:rPr>
        <w:t>（投标人公章）</w:t>
      </w:r>
    </w:p>
    <w:p>
      <w:pPr>
        <w:tabs>
          <w:tab w:val="left" w:pos="6300"/>
        </w:tabs>
        <w:snapToGrid w:val="0"/>
        <w:spacing w:line="360" w:lineRule="auto"/>
        <w:ind w:firstLine="5760" w:firstLineChars="2400"/>
        <w:rPr>
          <w:color w:val="auto"/>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tabs>
          <w:tab w:val="left" w:pos="6300"/>
        </w:tabs>
        <w:snapToGrid w:val="0"/>
        <w:spacing w:line="360" w:lineRule="auto"/>
        <w:jc w:val="left"/>
        <w:outlineLvl w:val="0"/>
        <w:rPr>
          <w:rFonts w:asciiTheme="minorEastAsia" w:hAnsiTheme="minorEastAsia" w:eastAsiaTheme="minorEastAsia" w:cstheme="minorEastAsia"/>
          <w:color w:val="auto"/>
          <w:highlight w:val="none"/>
        </w:rPr>
      </w:pPr>
      <w:r>
        <w:rPr>
          <w:color w:val="auto"/>
          <w:highlight w:val="none"/>
        </w:rPr>
        <w:br w:type="page"/>
      </w:r>
    </w:p>
    <w:p>
      <w:pPr>
        <w:tabs>
          <w:tab w:val="left" w:pos="6300"/>
        </w:tabs>
        <w:snapToGrid w:val="0"/>
        <w:spacing w:line="360" w:lineRule="auto"/>
        <w:ind w:firstLine="480" w:firstLineChars="200"/>
        <w:outlineLvl w:val="0"/>
        <w:rPr>
          <w:color w:val="auto"/>
          <w:sz w:val="24"/>
          <w:szCs w:val="24"/>
          <w:highlight w:val="none"/>
        </w:rPr>
      </w:pPr>
      <w:r>
        <w:rPr>
          <w:color w:val="auto"/>
          <w:sz w:val="24"/>
          <w:szCs w:val="24"/>
          <w:highlight w:val="none"/>
        </w:rPr>
        <w:t>（</w:t>
      </w:r>
      <w:r>
        <w:rPr>
          <w:rFonts w:hint="eastAsia"/>
          <w:color w:val="auto"/>
          <w:sz w:val="24"/>
          <w:szCs w:val="24"/>
          <w:highlight w:val="none"/>
        </w:rPr>
        <w:t>二</w:t>
      </w:r>
      <w:r>
        <w:rPr>
          <w:color w:val="auto"/>
          <w:sz w:val="24"/>
          <w:szCs w:val="24"/>
          <w:highlight w:val="none"/>
        </w:rPr>
        <w:t>）商务条款差异表</w:t>
      </w:r>
    </w:p>
    <w:p>
      <w:pPr>
        <w:pStyle w:val="32"/>
        <w:tabs>
          <w:tab w:val="left" w:pos="6300"/>
        </w:tabs>
        <w:snapToGrid w:val="0"/>
        <w:spacing w:line="360" w:lineRule="auto"/>
        <w:ind w:firstLine="480" w:firstLineChars="200"/>
        <w:outlineLvl w:val="0"/>
        <w:rPr>
          <w:color w:val="auto"/>
          <w:sz w:val="24"/>
          <w:szCs w:val="24"/>
          <w:highlight w:val="none"/>
        </w:rPr>
      </w:pPr>
      <w:r>
        <w:rPr>
          <w:color w:val="auto"/>
          <w:sz w:val="24"/>
          <w:szCs w:val="24"/>
          <w:highlight w:val="none"/>
        </w:rPr>
        <w:t>招标项目名称：</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序号</w:t>
            </w:r>
          </w:p>
        </w:tc>
        <w:tc>
          <w:tcPr>
            <w:tcW w:w="2428"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招标商务要求</w:t>
            </w:r>
          </w:p>
        </w:tc>
        <w:tc>
          <w:tcPr>
            <w:tcW w:w="2520"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投标商务应答</w:t>
            </w:r>
          </w:p>
        </w:tc>
        <w:tc>
          <w:tcPr>
            <w:tcW w:w="1888"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bl>
    <w:p>
      <w:pPr>
        <w:spacing w:line="360" w:lineRule="auto"/>
        <w:ind w:firstLine="600" w:firstLineChars="250"/>
        <w:rPr>
          <w:color w:val="auto"/>
          <w:sz w:val="24"/>
          <w:szCs w:val="24"/>
          <w:highlight w:val="none"/>
        </w:rPr>
      </w:pPr>
      <w:r>
        <w:rPr>
          <w:color w:val="auto"/>
          <w:sz w:val="24"/>
          <w:szCs w:val="24"/>
          <w:highlight w:val="none"/>
        </w:rPr>
        <w:t>投标人</w:t>
      </w:r>
      <w:r>
        <w:rPr>
          <w:rFonts w:hint="eastAsia"/>
          <w:color w:val="auto"/>
          <w:sz w:val="24"/>
          <w:szCs w:val="24"/>
          <w:highlight w:val="none"/>
        </w:rPr>
        <w:t xml:space="preserve"> </w:t>
      </w:r>
      <w:r>
        <w:rPr>
          <w:color w:val="auto"/>
          <w:sz w:val="24"/>
          <w:szCs w:val="24"/>
          <w:highlight w:val="none"/>
        </w:rPr>
        <w:t>：</w:t>
      </w:r>
      <w:r>
        <w:rPr>
          <w:rFonts w:hint="eastAsia"/>
          <w:color w:val="auto"/>
          <w:sz w:val="24"/>
          <w:szCs w:val="24"/>
          <w:highlight w:val="none"/>
        </w:rPr>
        <w:t xml:space="preserve">                  </w:t>
      </w:r>
      <w:r>
        <w:rPr>
          <w:color w:val="auto"/>
          <w:sz w:val="24"/>
          <w:szCs w:val="24"/>
          <w:highlight w:val="none"/>
        </w:rPr>
        <w:t>法定代表人授权代表：</w:t>
      </w:r>
    </w:p>
    <w:p>
      <w:pPr>
        <w:spacing w:line="360" w:lineRule="auto"/>
        <w:rPr>
          <w:color w:val="auto"/>
          <w:sz w:val="24"/>
          <w:szCs w:val="24"/>
          <w:highlight w:val="none"/>
        </w:rPr>
      </w:pPr>
      <w:r>
        <w:rPr>
          <w:color w:val="auto"/>
          <w:sz w:val="24"/>
          <w:szCs w:val="24"/>
          <w:highlight w:val="none"/>
        </w:rPr>
        <w:t>（投标人公章）</w:t>
      </w:r>
      <w:r>
        <w:rPr>
          <w:rFonts w:hint="eastAsia"/>
          <w:color w:val="auto"/>
          <w:sz w:val="24"/>
          <w:szCs w:val="24"/>
          <w:highlight w:val="none"/>
        </w:rPr>
        <w:t xml:space="preserve">                       </w:t>
      </w:r>
      <w:r>
        <w:rPr>
          <w:color w:val="auto"/>
          <w:sz w:val="24"/>
          <w:szCs w:val="24"/>
          <w:highlight w:val="none"/>
        </w:rPr>
        <w:t>（签字或盖章）</w:t>
      </w:r>
    </w:p>
    <w:p>
      <w:pPr>
        <w:tabs>
          <w:tab w:val="left" w:pos="6300"/>
        </w:tabs>
        <w:snapToGrid w:val="0"/>
        <w:spacing w:line="360" w:lineRule="auto"/>
        <w:ind w:firstLine="5042" w:firstLineChars="2101"/>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tabs>
          <w:tab w:val="left" w:pos="6300"/>
        </w:tabs>
        <w:snapToGrid w:val="0"/>
        <w:spacing w:line="360" w:lineRule="auto"/>
        <w:ind w:firstLine="570"/>
        <w:rPr>
          <w:color w:val="auto"/>
          <w:sz w:val="24"/>
          <w:szCs w:val="24"/>
          <w:highlight w:val="none"/>
        </w:rPr>
      </w:pPr>
      <w:r>
        <w:rPr>
          <w:color w:val="auto"/>
          <w:sz w:val="24"/>
          <w:szCs w:val="24"/>
          <w:highlight w:val="none"/>
        </w:rPr>
        <w:t>注：</w:t>
      </w:r>
    </w:p>
    <w:p>
      <w:pPr>
        <w:tabs>
          <w:tab w:val="left" w:pos="6300"/>
        </w:tabs>
        <w:snapToGrid w:val="0"/>
        <w:spacing w:line="360" w:lineRule="auto"/>
        <w:ind w:firstLine="570"/>
        <w:rPr>
          <w:color w:val="auto"/>
          <w:sz w:val="24"/>
          <w:szCs w:val="24"/>
          <w:highlight w:val="none"/>
        </w:rPr>
      </w:pPr>
      <w:r>
        <w:rPr>
          <w:color w:val="auto"/>
          <w:sz w:val="24"/>
          <w:szCs w:val="24"/>
          <w:highlight w:val="none"/>
        </w:rPr>
        <w:t>1、本表即为对本项目“第三篇项目商务要求”中所列商务条款进行比较和响应；</w:t>
      </w:r>
    </w:p>
    <w:p>
      <w:pPr>
        <w:tabs>
          <w:tab w:val="left" w:pos="6300"/>
        </w:tabs>
        <w:snapToGrid w:val="0"/>
        <w:spacing w:line="360" w:lineRule="auto"/>
        <w:ind w:firstLine="570"/>
        <w:rPr>
          <w:color w:val="auto"/>
          <w:sz w:val="24"/>
          <w:szCs w:val="24"/>
          <w:highlight w:val="none"/>
        </w:rPr>
      </w:pPr>
      <w:r>
        <w:rPr>
          <w:color w:val="auto"/>
          <w:sz w:val="24"/>
          <w:szCs w:val="24"/>
          <w:highlight w:val="none"/>
        </w:rPr>
        <w:t>2、该表必须按照招标文件要求逐条如实填写，根据投标情况在“差异说明”项填写正偏离或负偏离及原因，完全符合的填写“无差异”。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color w:val="auto"/>
          <w:sz w:val="24"/>
          <w:szCs w:val="24"/>
          <w:highlight w:val="none"/>
        </w:rPr>
      </w:pPr>
      <w:r>
        <w:rPr>
          <w:color w:val="auto"/>
          <w:sz w:val="24"/>
          <w:szCs w:val="24"/>
          <w:highlight w:val="none"/>
        </w:rPr>
        <w:t>3、该表可扩展。</w:t>
      </w:r>
    </w:p>
    <w:p>
      <w:pPr>
        <w:snapToGrid w:val="0"/>
        <w:spacing w:line="360" w:lineRule="auto"/>
        <w:ind w:firstLine="480" w:firstLineChars="200"/>
        <w:rPr>
          <w:color w:val="auto"/>
          <w:sz w:val="24"/>
          <w:szCs w:val="24"/>
          <w:highlight w:val="none"/>
        </w:rPr>
      </w:pPr>
      <w:r>
        <w:rPr>
          <w:color w:val="auto"/>
          <w:sz w:val="24"/>
          <w:szCs w:val="24"/>
          <w:highlight w:val="none"/>
        </w:rPr>
        <w:t>（</w:t>
      </w:r>
      <w:r>
        <w:rPr>
          <w:rFonts w:hint="eastAsia"/>
          <w:color w:val="auto"/>
          <w:sz w:val="24"/>
          <w:szCs w:val="24"/>
          <w:highlight w:val="none"/>
        </w:rPr>
        <w:t>三</w:t>
      </w:r>
      <w:r>
        <w:rPr>
          <w:color w:val="auto"/>
          <w:sz w:val="24"/>
          <w:szCs w:val="24"/>
          <w:highlight w:val="none"/>
        </w:rPr>
        <w:t>）商务部分</w:t>
      </w:r>
      <w:r>
        <w:rPr>
          <w:rFonts w:hint="eastAsia"/>
          <w:color w:val="auto"/>
          <w:sz w:val="24"/>
          <w:szCs w:val="24"/>
          <w:highlight w:val="none"/>
        </w:rPr>
        <w:t>评分</w:t>
      </w:r>
      <w:r>
        <w:rPr>
          <w:color w:val="auto"/>
          <w:sz w:val="24"/>
          <w:szCs w:val="24"/>
          <w:highlight w:val="none"/>
        </w:rPr>
        <w:t>所要求的证明材料（</w:t>
      </w:r>
      <w:r>
        <w:rPr>
          <w:rFonts w:hint="eastAsia"/>
          <w:color w:val="auto"/>
          <w:sz w:val="24"/>
          <w:szCs w:val="24"/>
          <w:highlight w:val="none"/>
        </w:rPr>
        <w:t>如有</w:t>
      </w:r>
      <w:r>
        <w:rPr>
          <w:color w:val="auto"/>
          <w:sz w:val="24"/>
          <w:szCs w:val="24"/>
          <w:highlight w:val="none"/>
        </w:rPr>
        <w:t>）</w:t>
      </w:r>
    </w:p>
    <w:p>
      <w:pPr>
        <w:tabs>
          <w:tab w:val="left" w:pos="6300"/>
        </w:tabs>
        <w:snapToGrid w:val="0"/>
        <w:spacing w:line="360" w:lineRule="auto"/>
        <w:rPr>
          <w:color w:val="auto"/>
          <w:sz w:val="24"/>
          <w:szCs w:val="24"/>
          <w:highlight w:val="none"/>
        </w:rPr>
      </w:pPr>
    </w:p>
    <w:p>
      <w:pPr>
        <w:tabs>
          <w:tab w:val="left" w:pos="6300"/>
        </w:tabs>
        <w:snapToGrid w:val="0"/>
        <w:spacing w:line="360" w:lineRule="auto"/>
        <w:ind w:firstLine="570"/>
        <w:rPr>
          <w:color w:val="auto"/>
          <w:sz w:val="24"/>
          <w:szCs w:val="24"/>
          <w:highlight w:val="none"/>
        </w:rPr>
      </w:pPr>
    </w:p>
    <w:p>
      <w:pPr>
        <w:tabs>
          <w:tab w:val="left" w:pos="6300"/>
        </w:tabs>
        <w:snapToGrid w:val="0"/>
        <w:spacing w:line="360" w:lineRule="auto"/>
        <w:ind w:firstLine="570"/>
        <w:rPr>
          <w:color w:val="auto"/>
          <w:sz w:val="24"/>
          <w:szCs w:val="24"/>
          <w:highlight w:val="none"/>
        </w:rPr>
      </w:pPr>
    </w:p>
    <w:p>
      <w:pPr>
        <w:pStyle w:val="4"/>
        <w:pageBreakBefore/>
        <w:rPr>
          <w:rFonts w:ascii="Times New Roman"/>
          <w:b/>
          <w:bCs/>
          <w:color w:val="auto"/>
          <w:sz w:val="24"/>
          <w:szCs w:val="24"/>
          <w:highlight w:val="none"/>
        </w:rPr>
      </w:pPr>
      <w:bookmarkStart w:id="204" w:name="_Toc31640"/>
      <w:bookmarkStart w:id="205" w:name="_Toc14047"/>
      <w:bookmarkStart w:id="206" w:name="_Toc530573532"/>
      <w:bookmarkStart w:id="207" w:name="_Toc29389"/>
      <w:bookmarkStart w:id="208" w:name="_Toc429584887"/>
      <w:r>
        <w:rPr>
          <w:rFonts w:ascii="Times New Roman"/>
          <w:b/>
          <w:bCs/>
          <w:color w:val="auto"/>
          <w:highlight w:val="none"/>
        </w:rPr>
        <w:t>四、技术文件</w:t>
      </w:r>
      <w:bookmarkEnd w:id="204"/>
      <w:bookmarkEnd w:id="205"/>
      <w:bookmarkEnd w:id="206"/>
      <w:bookmarkEnd w:id="207"/>
      <w:bookmarkEnd w:id="208"/>
    </w:p>
    <w:p>
      <w:pPr>
        <w:tabs>
          <w:tab w:val="left" w:pos="6300"/>
        </w:tabs>
        <w:snapToGrid w:val="0"/>
        <w:spacing w:line="360" w:lineRule="auto"/>
        <w:ind w:firstLine="570"/>
        <w:rPr>
          <w:color w:val="auto"/>
          <w:sz w:val="24"/>
          <w:szCs w:val="24"/>
          <w:highlight w:val="none"/>
        </w:rPr>
      </w:pPr>
      <w:r>
        <w:rPr>
          <w:color w:val="auto"/>
          <w:sz w:val="24"/>
          <w:szCs w:val="24"/>
          <w:highlight w:val="none"/>
        </w:rPr>
        <w:t>（一）技术方案</w:t>
      </w:r>
    </w:p>
    <w:p>
      <w:pPr>
        <w:snapToGrid w:val="0"/>
        <w:spacing w:line="360" w:lineRule="auto"/>
        <w:ind w:left="722" w:leftChars="258"/>
        <w:rPr>
          <w:color w:val="auto"/>
          <w:sz w:val="24"/>
          <w:szCs w:val="24"/>
          <w:highlight w:val="none"/>
        </w:rPr>
      </w:pPr>
      <w:r>
        <w:rPr>
          <w:color w:val="auto"/>
          <w:sz w:val="24"/>
          <w:szCs w:val="24"/>
          <w:highlight w:val="none"/>
        </w:rPr>
        <w:t>根据第四篇“评标办法”，自行编制，格式自拟。</w:t>
      </w:r>
    </w:p>
    <w:p>
      <w:pPr>
        <w:tabs>
          <w:tab w:val="left" w:pos="6300"/>
        </w:tabs>
        <w:snapToGrid w:val="0"/>
        <w:spacing w:line="360" w:lineRule="auto"/>
        <w:ind w:firstLine="570"/>
        <w:rPr>
          <w:color w:val="auto"/>
          <w:highlight w:val="none"/>
        </w:rPr>
      </w:pPr>
      <w:r>
        <w:rPr>
          <w:color w:val="auto"/>
          <w:highlight w:val="none"/>
        </w:rPr>
        <w:br w:type="page"/>
      </w:r>
    </w:p>
    <w:p>
      <w:pPr>
        <w:tabs>
          <w:tab w:val="left" w:pos="6300"/>
        </w:tabs>
        <w:snapToGrid w:val="0"/>
        <w:spacing w:line="360" w:lineRule="auto"/>
        <w:ind w:firstLine="570"/>
        <w:rPr>
          <w:color w:val="auto"/>
          <w:sz w:val="24"/>
          <w:szCs w:val="24"/>
          <w:highlight w:val="none"/>
        </w:rPr>
      </w:pPr>
      <w:r>
        <w:rPr>
          <w:color w:val="auto"/>
          <w:sz w:val="24"/>
          <w:szCs w:val="24"/>
          <w:highlight w:val="none"/>
        </w:rPr>
        <w:t>（</w:t>
      </w:r>
      <w:r>
        <w:rPr>
          <w:rFonts w:hint="eastAsia"/>
          <w:color w:val="auto"/>
          <w:sz w:val="24"/>
          <w:szCs w:val="24"/>
          <w:highlight w:val="none"/>
        </w:rPr>
        <w:t>二</w:t>
      </w:r>
      <w:r>
        <w:rPr>
          <w:color w:val="auto"/>
          <w:sz w:val="24"/>
          <w:szCs w:val="24"/>
          <w:highlight w:val="none"/>
        </w:rPr>
        <w:t>）技术条款差异表</w:t>
      </w:r>
    </w:p>
    <w:p>
      <w:pPr>
        <w:pStyle w:val="32"/>
        <w:tabs>
          <w:tab w:val="left" w:pos="6300"/>
        </w:tabs>
        <w:snapToGrid w:val="0"/>
        <w:spacing w:line="360" w:lineRule="auto"/>
        <w:ind w:firstLine="480" w:firstLineChars="200"/>
        <w:outlineLvl w:val="0"/>
        <w:rPr>
          <w:color w:val="auto"/>
          <w:sz w:val="24"/>
          <w:szCs w:val="24"/>
          <w:highlight w:val="none"/>
        </w:rPr>
      </w:pPr>
      <w:r>
        <w:rPr>
          <w:color w:val="auto"/>
          <w:sz w:val="24"/>
          <w:szCs w:val="24"/>
          <w:highlight w:val="none"/>
        </w:rPr>
        <w:t>招标项目名称：</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序号</w:t>
            </w:r>
          </w:p>
        </w:tc>
        <w:tc>
          <w:tcPr>
            <w:tcW w:w="2428"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招标要求</w:t>
            </w:r>
          </w:p>
        </w:tc>
        <w:tc>
          <w:tcPr>
            <w:tcW w:w="2520"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投标应答</w:t>
            </w:r>
          </w:p>
        </w:tc>
        <w:tc>
          <w:tcPr>
            <w:tcW w:w="1888" w:type="dxa"/>
            <w:vAlign w:val="center"/>
          </w:tcPr>
          <w:p>
            <w:pPr>
              <w:tabs>
                <w:tab w:val="left" w:pos="6300"/>
              </w:tabs>
              <w:snapToGrid w:val="0"/>
              <w:spacing w:line="360" w:lineRule="auto"/>
              <w:jc w:val="center"/>
              <w:outlineLvl w:val="0"/>
              <w:rPr>
                <w:color w:val="auto"/>
                <w:sz w:val="21"/>
                <w:szCs w:val="21"/>
                <w:highlight w:val="none"/>
              </w:rPr>
            </w:pPr>
            <w:r>
              <w:rPr>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360" w:lineRule="auto"/>
              <w:jc w:val="center"/>
              <w:outlineLvl w:val="0"/>
              <w:rPr>
                <w:color w:val="auto"/>
                <w:sz w:val="21"/>
                <w:szCs w:val="21"/>
                <w:highlight w:val="none"/>
              </w:rPr>
            </w:pPr>
          </w:p>
        </w:tc>
        <w:tc>
          <w:tcPr>
            <w:tcW w:w="2428" w:type="dxa"/>
            <w:vAlign w:val="center"/>
          </w:tcPr>
          <w:p>
            <w:pPr>
              <w:tabs>
                <w:tab w:val="left" w:pos="6300"/>
              </w:tabs>
              <w:snapToGrid w:val="0"/>
              <w:spacing w:line="360" w:lineRule="auto"/>
              <w:jc w:val="center"/>
              <w:outlineLvl w:val="0"/>
              <w:rPr>
                <w:color w:val="auto"/>
                <w:sz w:val="21"/>
                <w:szCs w:val="21"/>
                <w:highlight w:val="none"/>
              </w:rPr>
            </w:pPr>
          </w:p>
        </w:tc>
        <w:tc>
          <w:tcPr>
            <w:tcW w:w="2520" w:type="dxa"/>
            <w:vAlign w:val="center"/>
          </w:tcPr>
          <w:p>
            <w:pPr>
              <w:tabs>
                <w:tab w:val="left" w:pos="6300"/>
              </w:tabs>
              <w:snapToGrid w:val="0"/>
              <w:spacing w:line="360" w:lineRule="auto"/>
              <w:jc w:val="center"/>
              <w:outlineLvl w:val="0"/>
              <w:rPr>
                <w:color w:val="auto"/>
                <w:sz w:val="21"/>
                <w:szCs w:val="21"/>
                <w:highlight w:val="none"/>
              </w:rPr>
            </w:pPr>
          </w:p>
        </w:tc>
        <w:tc>
          <w:tcPr>
            <w:tcW w:w="1888" w:type="dxa"/>
            <w:vAlign w:val="center"/>
          </w:tcPr>
          <w:p>
            <w:pPr>
              <w:tabs>
                <w:tab w:val="left" w:pos="6300"/>
              </w:tabs>
              <w:snapToGrid w:val="0"/>
              <w:spacing w:line="360" w:lineRule="auto"/>
              <w:jc w:val="center"/>
              <w:outlineLvl w:val="0"/>
              <w:rPr>
                <w:color w:val="auto"/>
                <w:sz w:val="21"/>
                <w:szCs w:val="21"/>
                <w:highlight w:val="none"/>
              </w:rPr>
            </w:pPr>
          </w:p>
        </w:tc>
      </w:tr>
    </w:tbl>
    <w:p>
      <w:pPr>
        <w:spacing w:line="360" w:lineRule="auto"/>
        <w:ind w:firstLine="600" w:firstLineChars="250"/>
        <w:rPr>
          <w:color w:val="auto"/>
          <w:sz w:val="24"/>
          <w:szCs w:val="24"/>
          <w:highlight w:val="none"/>
        </w:rPr>
      </w:pPr>
      <w:r>
        <w:rPr>
          <w:color w:val="auto"/>
          <w:sz w:val="24"/>
          <w:szCs w:val="24"/>
          <w:highlight w:val="none"/>
        </w:rPr>
        <w:t>投标人：</w:t>
      </w:r>
      <w:r>
        <w:rPr>
          <w:rFonts w:hint="eastAsia"/>
          <w:color w:val="auto"/>
          <w:sz w:val="24"/>
          <w:szCs w:val="24"/>
          <w:highlight w:val="none"/>
        </w:rPr>
        <w:t xml:space="preserve">                         </w:t>
      </w:r>
      <w:r>
        <w:rPr>
          <w:color w:val="auto"/>
          <w:sz w:val="24"/>
          <w:szCs w:val="24"/>
          <w:highlight w:val="none"/>
        </w:rPr>
        <w:t>法定代表人授权代表：</w:t>
      </w:r>
    </w:p>
    <w:p>
      <w:pPr>
        <w:spacing w:line="360" w:lineRule="auto"/>
        <w:rPr>
          <w:color w:val="auto"/>
          <w:sz w:val="24"/>
          <w:szCs w:val="24"/>
          <w:highlight w:val="none"/>
        </w:rPr>
      </w:pPr>
    </w:p>
    <w:p>
      <w:pPr>
        <w:spacing w:line="360" w:lineRule="auto"/>
        <w:ind w:firstLine="720" w:firstLineChars="300"/>
        <w:rPr>
          <w:color w:val="auto"/>
          <w:sz w:val="24"/>
          <w:szCs w:val="24"/>
          <w:highlight w:val="none"/>
        </w:rPr>
      </w:pPr>
      <w:r>
        <w:rPr>
          <w:color w:val="auto"/>
          <w:sz w:val="24"/>
          <w:szCs w:val="24"/>
          <w:highlight w:val="none"/>
        </w:rPr>
        <w:t>（投标人公章）</w:t>
      </w:r>
      <w:r>
        <w:rPr>
          <w:rFonts w:hint="eastAsia"/>
          <w:color w:val="auto"/>
          <w:sz w:val="24"/>
          <w:szCs w:val="24"/>
          <w:highlight w:val="none"/>
        </w:rPr>
        <w:t xml:space="preserve">                           </w:t>
      </w:r>
      <w:r>
        <w:rPr>
          <w:color w:val="auto"/>
          <w:sz w:val="24"/>
          <w:szCs w:val="24"/>
          <w:highlight w:val="none"/>
        </w:rPr>
        <w:t>（签字或盖章）</w:t>
      </w:r>
    </w:p>
    <w:p>
      <w:pPr>
        <w:tabs>
          <w:tab w:val="left" w:pos="6300"/>
        </w:tabs>
        <w:snapToGrid w:val="0"/>
        <w:spacing w:line="360" w:lineRule="auto"/>
        <w:ind w:firstLine="6002" w:firstLineChars="2501"/>
        <w:rPr>
          <w:color w:val="auto"/>
          <w:sz w:val="24"/>
          <w:szCs w:val="24"/>
          <w:highlight w:val="none"/>
        </w:rPr>
      </w:pPr>
      <w:r>
        <w:rPr>
          <w:color w:val="auto"/>
          <w:sz w:val="24"/>
          <w:szCs w:val="24"/>
          <w:highlight w:val="none"/>
        </w:rPr>
        <w:t>年</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日</w:t>
      </w:r>
    </w:p>
    <w:p>
      <w:pPr>
        <w:tabs>
          <w:tab w:val="left" w:pos="6300"/>
        </w:tabs>
        <w:snapToGrid w:val="0"/>
        <w:spacing w:line="360" w:lineRule="auto"/>
        <w:ind w:firstLine="570"/>
        <w:rPr>
          <w:color w:val="auto"/>
          <w:sz w:val="24"/>
          <w:szCs w:val="24"/>
          <w:highlight w:val="none"/>
        </w:rPr>
      </w:pPr>
      <w:r>
        <w:rPr>
          <w:color w:val="auto"/>
          <w:sz w:val="24"/>
          <w:szCs w:val="24"/>
          <w:highlight w:val="none"/>
        </w:rPr>
        <w:t>注：</w:t>
      </w:r>
    </w:p>
    <w:p>
      <w:pPr>
        <w:tabs>
          <w:tab w:val="left" w:pos="6300"/>
        </w:tabs>
        <w:snapToGrid w:val="0"/>
        <w:spacing w:line="360" w:lineRule="auto"/>
        <w:ind w:firstLine="570"/>
        <w:rPr>
          <w:color w:val="auto"/>
          <w:sz w:val="24"/>
          <w:szCs w:val="24"/>
          <w:highlight w:val="none"/>
        </w:rPr>
      </w:pPr>
      <w:r>
        <w:rPr>
          <w:color w:val="auto"/>
          <w:sz w:val="24"/>
          <w:szCs w:val="24"/>
          <w:highlight w:val="none"/>
        </w:rPr>
        <w:t>1、本表即为对本项目“第二篇项目技术规格、数量及质量要求”中所列技术要求进行比较和响应；</w:t>
      </w:r>
    </w:p>
    <w:p>
      <w:pPr>
        <w:tabs>
          <w:tab w:val="left" w:pos="6300"/>
        </w:tabs>
        <w:snapToGrid w:val="0"/>
        <w:spacing w:line="360" w:lineRule="auto"/>
        <w:ind w:firstLine="570"/>
        <w:rPr>
          <w:color w:val="auto"/>
          <w:sz w:val="24"/>
          <w:szCs w:val="24"/>
          <w:highlight w:val="none"/>
        </w:rPr>
      </w:pPr>
      <w:r>
        <w:rPr>
          <w:color w:val="auto"/>
          <w:sz w:val="24"/>
          <w:szCs w:val="24"/>
          <w:highlight w:val="none"/>
        </w:rPr>
        <w:t>2、该表必须按照招标文件要求逐条如实填写，根据投标情况在“差异说明”项填写正偏离或负偏离及原因，完全符合的填写“无差异”；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color w:val="auto"/>
          <w:sz w:val="24"/>
          <w:szCs w:val="24"/>
          <w:highlight w:val="none"/>
        </w:rPr>
      </w:pPr>
      <w:r>
        <w:rPr>
          <w:color w:val="auto"/>
          <w:sz w:val="24"/>
          <w:szCs w:val="24"/>
          <w:highlight w:val="none"/>
        </w:rPr>
        <w:t>3、该表可扩展；</w:t>
      </w:r>
    </w:p>
    <w:p>
      <w:pPr>
        <w:tabs>
          <w:tab w:val="left" w:pos="6300"/>
        </w:tabs>
        <w:snapToGrid w:val="0"/>
        <w:spacing w:line="360" w:lineRule="auto"/>
        <w:ind w:firstLine="570"/>
        <w:rPr>
          <w:color w:val="auto"/>
          <w:sz w:val="24"/>
          <w:szCs w:val="24"/>
          <w:highlight w:val="none"/>
        </w:rPr>
      </w:pPr>
      <w:r>
        <w:rPr>
          <w:color w:val="auto"/>
          <w:sz w:val="24"/>
          <w:szCs w:val="24"/>
          <w:highlight w:val="none"/>
        </w:rPr>
        <w:t>4、可附相关技术支撑材料。（格式自定）</w:t>
      </w:r>
    </w:p>
    <w:p>
      <w:pPr>
        <w:tabs>
          <w:tab w:val="left" w:pos="6300"/>
        </w:tabs>
        <w:snapToGrid w:val="0"/>
        <w:spacing w:line="360" w:lineRule="auto"/>
        <w:ind w:firstLine="570"/>
        <w:rPr>
          <w:color w:val="auto"/>
          <w:highlight w:val="none"/>
        </w:rPr>
      </w:pPr>
    </w:p>
    <w:p>
      <w:pPr>
        <w:tabs>
          <w:tab w:val="left" w:pos="6300"/>
        </w:tabs>
        <w:snapToGrid w:val="0"/>
        <w:spacing w:line="360" w:lineRule="auto"/>
        <w:ind w:firstLine="570"/>
        <w:rPr>
          <w:color w:val="auto"/>
          <w:highlight w:val="none"/>
        </w:rPr>
      </w:pPr>
    </w:p>
    <w:p>
      <w:pPr>
        <w:tabs>
          <w:tab w:val="left" w:pos="6300"/>
        </w:tabs>
        <w:snapToGrid w:val="0"/>
        <w:spacing w:line="360" w:lineRule="auto"/>
        <w:ind w:firstLine="570"/>
        <w:rPr>
          <w:color w:val="auto"/>
          <w:sz w:val="24"/>
          <w:szCs w:val="24"/>
          <w:highlight w:val="none"/>
        </w:rPr>
      </w:pPr>
      <w:r>
        <w:rPr>
          <w:color w:val="auto"/>
          <w:sz w:val="24"/>
          <w:szCs w:val="24"/>
          <w:highlight w:val="none"/>
        </w:rPr>
        <w:t>（</w:t>
      </w:r>
      <w:r>
        <w:rPr>
          <w:rFonts w:hint="eastAsia"/>
          <w:color w:val="auto"/>
          <w:sz w:val="24"/>
          <w:szCs w:val="24"/>
          <w:highlight w:val="none"/>
        </w:rPr>
        <w:t>三</w:t>
      </w:r>
      <w:r>
        <w:rPr>
          <w:color w:val="auto"/>
          <w:sz w:val="24"/>
          <w:szCs w:val="24"/>
          <w:highlight w:val="none"/>
        </w:rPr>
        <w:t>）所投各产品进入当期国家节能、环保清单目录的证明文件（如果有）</w:t>
      </w:r>
    </w:p>
    <w:p>
      <w:pPr>
        <w:snapToGrid w:val="0"/>
        <w:spacing w:line="360" w:lineRule="auto"/>
        <w:ind w:left="722" w:leftChars="258"/>
        <w:rPr>
          <w:color w:val="auto"/>
          <w:sz w:val="24"/>
          <w:szCs w:val="24"/>
          <w:highlight w:val="none"/>
        </w:rPr>
      </w:pPr>
    </w:p>
    <w:p>
      <w:pPr>
        <w:pStyle w:val="2"/>
        <w:rPr>
          <w:color w:val="auto"/>
          <w:highlight w:val="none"/>
        </w:rPr>
      </w:pPr>
    </w:p>
    <w:p>
      <w:pPr>
        <w:pStyle w:val="4"/>
        <w:pageBreakBefore/>
        <w:rPr>
          <w:rFonts w:ascii="Times New Roman"/>
          <w:b/>
          <w:bCs/>
          <w:color w:val="auto"/>
          <w:highlight w:val="none"/>
        </w:rPr>
      </w:pPr>
      <w:bookmarkStart w:id="209" w:name="_Toc8124"/>
      <w:bookmarkStart w:id="210" w:name="_Toc17994"/>
      <w:bookmarkStart w:id="211" w:name="_Toc21939"/>
      <w:bookmarkStart w:id="212" w:name="_Toc429584888"/>
      <w:bookmarkStart w:id="213" w:name="_Toc530573533"/>
      <w:bookmarkStart w:id="214" w:name="_Toc13059"/>
      <w:r>
        <w:rPr>
          <w:rFonts w:ascii="Times New Roman"/>
          <w:b/>
          <w:bCs/>
          <w:color w:val="auto"/>
          <w:highlight w:val="none"/>
        </w:rPr>
        <w:t>五、其他</w:t>
      </w:r>
      <w:bookmarkEnd w:id="209"/>
      <w:bookmarkEnd w:id="210"/>
      <w:bookmarkEnd w:id="211"/>
      <w:bookmarkEnd w:id="212"/>
      <w:bookmarkEnd w:id="213"/>
      <w:bookmarkEnd w:id="214"/>
    </w:p>
    <w:p>
      <w:pPr>
        <w:autoSpaceDE w:val="0"/>
        <w:autoSpaceDN w:val="0"/>
        <w:adjustRightInd w:val="0"/>
        <w:snapToGrid w:val="0"/>
        <w:spacing w:line="336" w:lineRule="auto"/>
        <w:ind w:firstLine="240" w:firstLineChars="100"/>
        <w:rPr>
          <w:snapToGrid w:val="0"/>
          <w:color w:val="auto"/>
          <w:kern w:val="0"/>
          <w:sz w:val="24"/>
          <w:szCs w:val="24"/>
          <w:highlight w:val="none"/>
        </w:rPr>
      </w:pPr>
      <w:r>
        <w:rPr>
          <w:rFonts w:hint="eastAsia"/>
          <w:snapToGrid w:val="0"/>
          <w:color w:val="auto"/>
          <w:kern w:val="0"/>
          <w:sz w:val="24"/>
          <w:szCs w:val="24"/>
          <w:highlight w:val="none"/>
        </w:rPr>
        <w:t>（一）中小微企业声明函、监狱企业证明文件、残疾人福利性单位声明函</w:t>
      </w:r>
    </w:p>
    <w:p>
      <w:pPr>
        <w:autoSpaceDE w:val="0"/>
        <w:autoSpaceDN w:val="0"/>
        <w:adjustRightInd w:val="0"/>
        <w:snapToGrid w:val="0"/>
        <w:spacing w:line="336" w:lineRule="auto"/>
        <w:ind w:firstLine="420"/>
        <w:rPr>
          <w:snapToGrid w:val="0"/>
          <w:color w:val="auto"/>
          <w:kern w:val="0"/>
          <w:sz w:val="24"/>
          <w:szCs w:val="24"/>
          <w:highlight w:val="none"/>
        </w:rPr>
      </w:pPr>
      <w:bookmarkStart w:id="215" w:name="_Toc59438747"/>
      <w:r>
        <w:rPr>
          <w:rFonts w:hint="eastAsia"/>
          <w:snapToGrid w:val="0"/>
          <w:color w:val="auto"/>
          <w:kern w:val="0"/>
          <w:sz w:val="24"/>
          <w:szCs w:val="24"/>
          <w:highlight w:val="none"/>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bookmarkEnd w:id="215"/>
    </w:p>
    <w:p>
      <w:pPr>
        <w:autoSpaceDE w:val="0"/>
        <w:autoSpaceDN w:val="0"/>
        <w:adjustRightInd w:val="0"/>
        <w:snapToGrid w:val="0"/>
        <w:spacing w:line="336" w:lineRule="auto"/>
        <w:ind w:firstLine="420"/>
        <w:rPr>
          <w:snapToGrid w:val="0"/>
          <w:color w:val="auto"/>
          <w:kern w:val="0"/>
          <w:sz w:val="24"/>
          <w:szCs w:val="24"/>
          <w:highlight w:val="none"/>
        </w:rPr>
      </w:pPr>
      <w:bookmarkStart w:id="216" w:name="_Toc59438748"/>
      <w:r>
        <w:rPr>
          <w:rFonts w:hint="eastAsia"/>
          <w:snapToGrid w:val="0"/>
          <w:color w:val="auto"/>
          <w:kern w:val="0"/>
          <w:sz w:val="24"/>
          <w:szCs w:val="24"/>
          <w:highlight w:val="none"/>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中小微企业声明函）。</w:t>
      </w:r>
      <w:bookmarkEnd w:id="216"/>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Cs w:val="21"/>
          <w:highlight w:val="none"/>
        </w:rPr>
        <w:br w:type="page"/>
      </w:r>
      <w:bookmarkStart w:id="217" w:name="_Toc59438749"/>
      <w:r>
        <w:rPr>
          <w:rFonts w:hint="eastAsia"/>
          <w:snapToGrid w:val="0"/>
          <w:color w:val="auto"/>
          <w:kern w:val="0"/>
          <w:sz w:val="24"/>
          <w:szCs w:val="24"/>
          <w:highlight w:val="none"/>
        </w:rPr>
        <w:t>附表：</w:t>
      </w:r>
      <w:bookmarkEnd w:id="217"/>
    </w:p>
    <w:p>
      <w:pPr>
        <w:autoSpaceDE w:val="0"/>
        <w:autoSpaceDN w:val="0"/>
        <w:adjustRightInd w:val="0"/>
        <w:snapToGrid w:val="0"/>
        <w:spacing w:line="336" w:lineRule="auto"/>
        <w:ind w:firstLine="420"/>
        <w:rPr>
          <w:snapToGrid w:val="0"/>
          <w:color w:val="auto"/>
          <w:kern w:val="0"/>
          <w:sz w:val="24"/>
          <w:szCs w:val="24"/>
          <w:highlight w:val="none"/>
        </w:rPr>
      </w:pPr>
      <w:bookmarkStart w:id="218" w:name="_Toc59438750"/>
      <w:r>
        <w:rPr>
          <w:rFonts w:hint="eastAsia"/>
          <w:snapToGrid w:val="0"/>
          <w:color w:val="auto"/>
          <w:kern w:val="0"/>
          <w:sz w:val="24"/>
          <w:szCs w:val="24"/>
          <w:highlight w:val="none"/>
        </w:rPr>
        <w:t>中小微企业声明函</w:t>
      </w:r>
      <w:bookmarkEnd w:id="218"/>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 xml:space="preserve">项目名称：                       </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致：</w:t>
      </w:r>
      <w:r>
        <w:rPr>
          <w:rFonts w:hint="eastAsia"/>
          <w:snapToGrid w:val="0"/>
          <w:color w:val="auto"/>
          <w:kern w:val="0"/>
          <w:sz w:val="24"/>
          <w:szCs w:val="24"/>
          <w:highlight w:val="none"/>
          <w:u w:val="single"/>
        </w:rPr>
        <w:t xml:space="preserve">                     </w:t>
      </w:r>
      <w:r>
        <w:rPr>
          <w:rFonts w:hint="eastAsia"/>
          <w:snapToGrid w:val="0"/>
          <w:color w:val="auto"/>
          <w:kern w:val="0"/>
          <w:sz w:val="24"/>
          <w:szCs w:val="24"/>
          <w:highlight w:val="none"/>
        </w:rPr>
        <w:t>（采购人名称）</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本企业郑重声明，根据《政府采购促进中小企业发展暂行办法》（财库〔2011〕181号）的规定，本企业为</w:t>
      </w:r>
      <w:r>
        <w:rPr>
          <w:rFonts w:hint="eastAsia"/>
          <w:snapToGrid w:val="0"/>
          <w:color w:val="auto"/>
          <w:kern w:val="0"/>
          <w:sz w:val="24"/>
          <w:szCs w:val="24"/>
          <w:highlight w:val="none"/>
          <w:u w:val="single"/>
        </w:rPr>
        <w:t xml:space="preserve">          </w:t>
      </w:r>
      <w:r>
        <w:rPr>
          <w:rFonts w:hint="eastAsia"/>
          <w:snapToGrid w:val="0"/>
          <w:color w:val="auto"/>
          <w:kern w:val="0"/>
          <w:sz w:val="24"/>
          <w:szCs w:val="24"/>
          <w:highlight w:val="none"/>
        </w:rPr>
        <w:t>（请填写：中型、小型、微型）企业。即，本企业同时满足以下条件：</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1.根据《工业和信息化部 国家统计局 国家发展和改革委员会 财政部关于印发中小企业划型标准规定的通知》（工信部联企业〔2011〕300号）的划分标准，本企业为行业</w:t>
      </w:r>
      <w:r>
        <w:rPr>
          <w:rFonts w:hint="eastAsia"/>
          <w:snapToGrid w:val="0"/>
          <w:color w:val="auto"/>
          <w:kern w:val="0"/>
          <w:sz w:val="24"/>
          <w:szCs w:val="24"/>
          <w:highlight w:val="none"/>
          <w:u w:val="single"/>
        </w:rPr>
        <w:t xml:space="preserve">    </w:t>
      </w:r>
      <w:r>
        <w:rPr>
          <w:rFonts w:hint="eastAsia"/>
          <w:snapToGrid w:val="0"/>
          <w:color w:val="auto"/>
          <w:kern w:val="0"/>
          <w:sz w:val="24"/>
          <w:szCs w:val="24"/>
          <w:highlight w:val="none"/>
        </w:rPr>
        <w:t xml:space="preserve">（行业类别）的 </w:t>
      </w:r>
      <w:r>
        <w:rPr>
          <w:rFonts w:hint="eastAsia"/>
          <w:snapToGrid w:val="0"/>
          <w:color w:val="auto"/>
          <w:kern w:val="0"/>
          <w:sz w:val="24"/>
          <w:szCs w:val="24"/>
          <w:highlight w:val="none"/>
          <w:u w:val="single"/>
        </w:rPr>
        <w:t xml:space="preserve">       </w:t>
      </w:r>
      <w:r>
        <w:rPr>
          <w:rFonts w:hint="eastAsia"/>
          <w:snapToGrid w:val="0"/>
          <w:color w:val="auto"/>
          <w:kern w:val="0"/>
          <w:sz w:val="24"/>
          <w:szCs w:val="24"/>
          <w:highlight w:val="none"/>
        </w:rPr>
        <w:t>（请填写：中型、小型、微型）企业。</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2.本企业参加本项目提供本企业制造的货物、承担的工程或者服务，或者提供他小微企业制造的货物。</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企业基本情况表</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行业类别</w:t>
            </w: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营业收入（万元）</w:t>
            </w: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从业人员（人）</w:t>
            </w: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p>
        </w:tc>
        <w:tc>
          <w:tcPr>
            <w:tcW w:w="2407" w:type="dxa"/>
            <w:vAlign w:val="center"/>
          </w:tcPr>
          <w:p>
            <w:pPr>
              <w:autoSpaceDE w:val="0"/>
              <w:autoSpaceDN w:val="0"/>
              <w:adjustRightInd w:val="0"/>
              <w:snapToGrid w:val="0"/>
              <w:spacing w:line="336" w:lineRule="auto"/>
              <w:ind w:firstLine="420"/>
              <w:rPr>
                <w:snapToGrid w:val="0"/>
                <w:color w:val="auto"/>
                <w:kern w:val="0"/>
                <w:sz w:val="24"/>
                <w:szCs w:val="24"/>
                <w:highlight w:val="none"/>
              </w:rPr>
            </w:pPr>
          </w:p>
        </w:tc>
      </w:tr>
    </w:tbl>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本企业对上述声明的真实性负责。如有虚假，将依法承担相应责任。</w:t>
      </w:r>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投标人名称（公章）：</w:t>
      </w:r>
    </w:p>
    <w:p>
      <w:pPr>
        <w:autoSpaceDE w:val="0"/>
        <w:autoSpaceDN w:val="0"/>
        <w:adjustRightInd w:val="0"/>
        <w:snapToGrid w:val="0"/>
        <w:spacing w:line="336" w:lineRule="auto"/>
        <w:ind w:firstLine="420"/>
        <w:rPr>
          <w:snapToGrid w:val="0"/>
          <w:color w:val="auto"/>
          <w:kern w:val="0"/>
          <w:sz w:val="24"/>
          <w:szCs w:val="24"/>
          <w:highlight w:val="none"/>
        </w:rPr>
      </w:pPr>
      <w:bookmarkStart w:id="219" w:name="_Toc59438751"/>
      <w:r>
        <w:rPr>
          <w:rFonts w:hint="eastAsia"/>
          <w:snapToGrid w:val="0"/>
          <w:color w:val="auto"/>
          <w:kern w:val="0"/>
          <w:sz w:val="24"/>
          <w:szCs w:val="24"/>
          <w:highlight w:val="none"/>
        </w:rPr>
        <w:t>年  月  日</w:t>
      </w:r>
      <w:bookmarkEnd w:id="219"/>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填写《企业基本情况表》时，应注意以下事项：</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1.除建筑业、房地产开发经营、租赁和商务服务业等三个行业外，其余行业无需填写资产总额项；</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2.农、林、牧、渔业无需填写从业人员和资产总额项。</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3.小微企业投标的产品若涉及到其他企业制造且符合扶持小微企业政策的，还需提供所涉及的其他企业的《中小微企业声明函》，否则将不被认定为小微企业。</w:t>
      </w:r>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br w:type="page"/>
      </w:r>
      <w:bookmarkStart w:id="220" w:name="_Toc59438752"/>
      <w:r>
        <w:rPr>
          <w:rFonts w:hint="eastAsia"/>
          <w:snapToGrid w:val="0"/>
          <w:color w:val="auto"/>
          <w:kern w:val="0"/>
          <w:sz w:val="24"/>
          <w:szCs w:val="24"/>
          <w:highlight w:val="none"/>
        </w:rPr>
        <w:t>3.监狱企业证明文件</w:t>
      </w:r>
      <w:bookmarkEnd w:id="220"/>
    </w:p>
    <w:p>
      <w:pPr>
        <w:autoSpaceDE w:val="0"/>
        <w:autoSpaceDN w:val="0"/>
        <w:adjustRightInd w:val="0"/>
        <w:snapToGrid w:val="0"/>
        <w:spacing w:line="336" w:lineRule="auto"/>
        <w:ind w:firstLine="420"/>
        <w:rPr>
          <w:snapToGrid w:val="0"/>
          <w:color w:val="auto"/>
          <w:kern w:val="0"/>
          <w:sz w:val="24"/>
          <w:szCs w:val="24"/>
          <w:highlight w:val="none"/>
        </w:rPr>
      </w:pPr>
      <w:bookmarkStart w:id="221" w:name="_Toc59438753"/>
      <w:r>
        <w:rPr>
          <w:rFonts w:hint="eastAsia"/>
          <w:snapToGrid w:val="0"/>
          <w:color w:val="auto"/>
          <w:kern w:val="0"/>
          <w:sz w:val="24"/>
          <w:szCs w:val="24"/>
          <w:highlight w:val="none"/>
        </w:rPr>
        <w:t>以省级以上监狱管理局、戒毒管理局（含新疆生产建设兵团）出具的属于监狱企业的证明文件为准。</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br w:type="page"/>
      </w:r>
      <w:r>
        <w:rPr>
          <w:rFonts w:hint="eastAsia"/>
          <w:snapToGrid w:val="0"/>
          <w:color w:val="auto"/>
          <w:kern w:val="0"/>
          <w:sz w:val="24"/>
          <w:szCs w:val="24"/>
          <w:highlight w:val="none"/>
        </w:rPr>
        <w:t>4.残疾人福利性单位声明函</w:t>
      </w:r>
      <w:bookmarkEnd w:id="221"/>
    </w:p>
    <w:p>
      <w:pPr>
        <w:autoSpaceDE w:val="0"/>
        <w:autoSpaceDN w:val="0"/>
        <w:adjustRightInd w:val="0"/>
        <w:snapToGrid w:val="0"/>
        <w:spacing w:line="336" w:lineRule="auto"/>
        <w:ind w:firstLine="420"/>
        <w:rPr>
          <w:snapToGrid w:val="0"/>
          <w:color w:val="auto"/>
          <w:kern w:val="0"/>
          <w:sz w:val="24"/>
          <w:szCs w:val="24"/>
          <w:highlight w:val="none"/>
        </w:rPr>
      </w:pPr>
      <w:bookmarkStart w:id="222" w:name="_Toc59438754"/>
      <w:r>
        <w:rPr>
          <w:rFonts w:hint="eastAsia"/>
          <w:snapToGrid w:val="0"/>
          <w:color w:val="auto"/>
          <w:kern w:val="0"/>
          <w:sz w:val="24"/>
          <w:szCs w:val="24"/>
          <w:highlight w:val="none"/>
        </w:rPr>
        <w:t>残疾人福利性单位声明函</w:t>
      </w:r>
      <w:bookmarkEnd w:id="222"/>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本单位对上述声明的真实性负责。如有虚假，将依法承担相应责任。</w:t>
      </w:r>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 xml:space="preserve">                                                 投标人名称（盖章）：</w:t>
      </w:r>
    </w:p>
    <w:p>
      <w:pPr>
        <w:autoSpaceDE w:val="0"/>
        <w:autoSpaceDN w:val="0"/>
        <w:adjustRightInd w:val="0"/>
        <w:snapToGrid w:val="0"/>
        <w:spacing w:line="336" w:lineRule="auto"/>
        <w:ind w:firstLine="420"/>
        <w:rPr>
          <w:snapToGrid w:val="0"/>
          <w:color w:val="auto"/>
          <w:kern w:val="0"/>
          <w:sz w:val="24"/>
          <w:szCs w:val="24"/>
          <w:highlight w:val="none"/>
        </w:rPr>
      </w:pPr>
      <w:r>
        <w:rPr>
          <w:rFonts w:hint="eastAsia"/>
          <w:snapToGrid w:val="0"/>
          <w:color w:val="auto"/>
          <w:kern w:val="0"/>
          <w:sz w:val="24"/>
          <w:szCs w:val="24"/>
          <w:highlight w:val="none"/>
        </w:rPr>
        <w:t xml:space="preserve">                                                  日  期：</w:t>
      </w:r>
    </w:p>
    <w:p>
      <w:pPr>
        <w:tabs>
          <w:tab w:val="left" w:pos="6300"/>
        </w:tabs>
        <w:snapToGrid w:val="0"/>
        <w:spacing w:line="360" w:lineRule="auto"/>
        <w:ind w:firstLine="570"/>
        <w:jc w:val="left"/>
        <w:rPr>
          <w:color w:val="auto"/>
          <w:sz w:val="24"/>
          <w:szCs w:val="24"/>
          <w:highlight w:val="none"/>
        </w:rPr>
      </w:pPr>
      <w:r>
        <w:rPr>
          <w:color w:val="auto"/>
          <w:sz w:val="24"/>
          <w:szCs w:val="24"/>
          <w:highlight w:val="none"/>
        </w:rPr>
        <w:br w:type="page"/>
      </w:r>
      <w:r>
        <w:rPr>
          <w:color w:val="auto"/>
          <w:sz w:val="24"/>
          <w:szCs w:val="24"/>
          <w:highlight w:val="none"/>
        </w:rPr>
        <w:t>（二）联合体协议书</w:t>
      </w:r>
    </w:p>
    <w:p>
      <w:pPr>
        <w:autoSpaceDE w:val="0"/>
        <w:autoSpaceDN w:val="0"/>
        <w:adjustRightInd w:val="0"/>
        <w:snapToGrid w:val="0"/>
        <w:spacing w:line="336" w:lineRule="auto"/>
        <w:rPr>
          <w:snapToGrid w:val="0"/>
          <w:color w:val="auto"/>
          <w:kern w:val="0"/>
          <w:sz w:val="24"/>
          <w:szCs w:val="24"/>
          <w:highlight w:val="none"/>
        </w:rPr>
      </w:pPr>
      <w:r>
        <w:rPr>
          <w:snapToGrid w:val="0"/>
          <w:color w:val="auto"/>
          <w:kern w:val="0"/>
          <w:sz w:val="24"/>
          <w:szCs w:val="24"/>
          <w:highlight w:val="none"/>
        </w:rPr>
        <w:tab/>
      </w:r>
      <w:r>
        <w:rPr>
          <w:rFonts w:hint="eastAsia"/>
          <w:snapToGrid w:val="0"/>
          <w:color w:val="auto"/>
          <w:kern w:val="0"/>
          <w:sz w:val="24"/>
          <w:szCs w:val="24"/>
          <w:highlight w:val="none"/>
        </w:rPr>
        <w:t xml:space="preserve">     </w:t>
      </w:r>
      <w:r>
        <w:rPr>
          <w:snapToGrid w:val="0"/>
          <w:color w:val="auto"/>
          <w:kern w:val="0"/>
          <w:sz w:val="24"/>
          <w:szCs w:val="24"/>
          <w:highlight w:val="none"/>
          <w:u w:val="single"/>
        </w:rPr>
        <w:tab/>
      </w:r>
      <w:r>
        <w:rPr>
          <w:rFonts w:hint="eastAsia"/>
          <w:snapToGrid w:val="0"/>
          <w:color w:val="auto"/>
          <w:kern w:val="0"/>
          <w:sz w:val="24"/>
          <w:szCs w:val="24"/>
          <w:highlight w:val="none"/>
          <w:u w:val="single"/>
        </w:rPr>
        <w:t xml:space="preserve">        </w:t>
      </w:r>
      <w:r>
        <w:rPr>
          <w:snapToGrid w:val="0"/>
          <w:color w:val="auto"/>
          <w:kern w:val="0"/>
          <w:sz w:val="24"/>
          <w:szCs w:val="24"/>
          <w:highlight w:val="none"/>
        </w:rPr>
        <w:t>（所有成员单位名称）自愿组成</w:t>
      </w:r>
      <w:r>
        <w:rPr>
          <w:snapToGrid w:val="0"/>
          <w:color w:val="auto"/>
          <w:kern w:val="0"/>
          <w:sz w:val="24"/>
          <w:szCs w:val="24"/>
          <w:highlight w:val="none"/>
          <w:u w:val="single"/>
        </w:rPr>
        <w:tab/>
      </w:r>
      <w:r>
        <w:rPr>
          <w:rFonts w:hint="eastAsia"/>
          <w:snapToGrid w:val="0"/>
          <w:color w:val="auto"/>
          <w:kern w:val="0"/>
          <w:sz w:val="24"/>
          <w:szCs w:val="24"/>
          <w:highlight w:val="none"/>
          <w:u w:val="single"/>
        </w:rPr>
        <w:t xml:space="preserve">      </w:t>
      </w:r>
      <w:r>
        <w:rPr>
          <w:snapToGrid w:val="0"/>
          <w:color w:val="auto"/>
          <w:kern w:val="0"/>
          <w:sz w:val="24"/>
          <w:szCs w:val="24"/>
          <w:highlight w:val="none"/>
        </w:rPr>
        <w:t>（联合体名称）联合体，共同参加（项目名称）投标。现就联合体投标事宜订立如下协议。</w:t>
      </w:r>
    </w:p>
    <w:p>
      <w:pPr>
        <w:tabs>
          <w:tab w:val="left" w:pos="3465"/>
          <w:tab w:val="left" w:pos="4200"/>
        </w:tabs>
        <w:autoSpaceDE w:val="0"/>
        <w:autoSpaceDN w:val="0"/>
        <w:adjustRightInd w:val="0"/>
        <w:snapToGrid w:val="0"/>
        <w:spacing w:line="336" w:lineRule="auto"/>
        <w:ind w:firstLine="463" w:firstLineChars="193"/>
        <w:jc w:val="left"/>
        <w:rPr>
          <w:snapToGrid w:val="0"/>
          <w:color w:val="auto"/>
          <w:kern w:val="0"/>
          <w:sz w:val="24"/>
          <w:szCs w:val="24"/>
          <w:highlight w:val="none"/>
        </w:rPr>
      </w:pPr>
      <w:r>
        <w:rPr>
          <w:snapToGrid w:val="0"/>
          <w:color w:val="auto"/>
          <w:kern w:val="0"/>
          <w:sz w:val="24"/>
          <w:szCs w:val="24"/>
          <w:highlight w:val="none"/>
        </w:rPr>
        <w:t>1、</w:t>
      </w:r>
      <w:r>
        <w:rPr>
          <w:snapToGrid w:val="0"/>
          <w:color w:val="auto"/>
          <w:kern w:val="0"/>
          <w:sz w:val="24"/>
          <w:szCs w:val="24"/>
          <w:highlight w:val="none"/>
          <w:u w:val="single"/>
        </w:rPr>
        <w:tab/>
      </w:r>
      <w:r>
        <w:rPr>
          <w:snapToGrid w:val="0"/>
          <w:color w:val="auto"/>
          <w:kern w:val="0"/>
          <w:sz w:val="24"/>
          <w:szCs w:val="24"/>
          <w:highlight w:val="none"/>
        </w:rPr>
        <w:t>（某成员单位名称）为</w:t>
      </w:r>
      <w:r>
        <w:rPr>
          <w:snapToGrid w:val="0"/>
          <w:color w:val="auto"/>
          <w:kern w:val="0"/>
          <w:sz w:val="24"/>
          <w:szCs w:val="24"/>
          <w:highlight w:val="none"/>
          <w:u w:val="single"/>
        </w:rPr>
        <w:tab/>
      </w:r>
      <w:r>
        <w:rPr>
          <w:rFonts w:hint="eastAsia"/>
          <w:snapToGrid w:val="0"/>
          <w:color w:val="auto"/>
          <w:kern w:val="0"/>
          <w:sz w:val="24"/>
          <w:szCs w:val="24"/>
          <w:highlight w:val="none"/>
          <w:u w:val="single"/>
        </w:rPr>
        <w:t xml:space="preserve">       </w:t>
      </w:r>
      <w:r>
        <w:rPr>
          <w:snapToGrid w:val="0"/>
          <w:color w:val="auto"/>
          <w:kern w:val="0"/>
          <w:sz w:val="24"/>
          <w:szCs w:val="24"/>
          <w:highlight w:val="none"/>
        </w:rPr>
        <w:t>（联合体名称）牵头人。</w:t>
      </w:r>
    </w:p>
    <w:p>
      <w:pPr>
        <w:autoSpaceDE w:val="0"/>
        <w:autoSpaceDN w:val="0"/>
        <w:adjustRightInd w:val="0"/>
        <w:snapToGrid w:val="0"/>
        <w:spacing w:line="336" w:lineRule="auto"/>
        <w:ind w:firstLine="420"/>
        <w:rPr>
          <w:snapToGrid w:val="0"/>
          <w:color w:val="auto"/>
          <w:kern w:val="0"/>
          <w:sz w:val="24"/>
          <w:szCs w:val="24"/>
          <w:highlight w:val="none"/>
        </w:rPr>
      </w:pPr>
      <w:r>
        <w:rPr>
          <w:snapToGrid w:val="0"/>
          <w:color w:val="auto"/>
          <w:kern w:val="0"/>
          <w:sz w:val="24"/>
          <w:szCs w:val="24"/>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36" w:lineRule="auto"/>
        <w:ind w:firstLine="420"/>
        <w:jc w:val="left"/>
        <w:rPr>
          <w:snapToGrid w:val="0"/>
          <w:color w:val="auto"/>
          <w:kern w:val="0"/>
          <w:sz w:val="24"/>
          <w:szCs w:val="24"/>
          <w:highlight w:val="none"/>
        </w:rPr>
      </w:pPr>
      <w:r>
        <w:rPr>
          <w:snapToGrid w:val="0"/>
          <w:color w:val="auto"/>
          <w:kern w:val="0"/>
          <w:sz w:val="24"/>
          <w:szCs w:val="24"/>
          <w:highlight w:val="none"/>
        </w:rPr>
        <w:t xml:space="preserve"> 3、联合体将严格按照招标文件的各项要求，递交投标文件，履行合同，并对外承担连带责任。</w:t>
      </w:r>
    </w:p>
    <w:p>
      <w:pPr>
        <w:tabs>
          <w:tab w:val="left" w:pos="8295"/>
          <w:tab w:val="left" w:pos="8364"/>
        </w:tabs>
        <w:autoSpaceDE w:val="0"/>
        <w:autoSpaceDN w:val="0"/>
        <w:adjustRightInd w:val="0"/>
        <w:snapToGrid w:val="0"/>
        <w:spacing w:line="336" w:lineRule="auto"/>
        <w:ind w:firstLine="480" w:firstLineChars="200"/>
        <w:jc w:val="left"/>
        <w:rPr>
          <w:snapToGrid w:val="0"/>
          <w:color w:val="auto"/>
          <w:kern w:val="0"/>
          <w:sz w:val="24"/>
          <w:szCs w:val="24"/>
          <w:highlight w:val="none"/>
        </w:rPr>
      </w:pPr>
      <w:r>
        <w:rPr>
          <w:snapToGrid w:val="0"/>
          <w:color w:val="auto"/>
          <w:kern w:val="0"/>
          <w:sz w:val="24"/>
          <w:szCs w:val="24"/>
          <w:highlight w:val="none"/>
        </w:rPr>
        <w:t>4、联合体各成员单位内部的职责分工如下：</w:t>
      </w:r>
      <w:r>
        <w:rPr>
          <w:rFonts w:hint="eastAsia"/>
          <w:snapToGrid w:val="0"/>
          <w:color w:val="auto"/>
          <w:kern w:val="0"/>
          <w:sz w:val="24"/>
          <w:szCs w:val="24"/>
          <w:highlight w:val="none"/>
        </w:rPr>
        <w:t xml:space="preserve">     </w:t>
      </w:r>
      <w:r>
        <w:rPr>
          <w:snapToGrid w:val="0"/>
          <w:color w:val="auto"/>
          <w:kern w:val="0"/>
          <w:sz w:val="24"/>
          <w:szCs w:val="24"/>
          <w:highlight w:val="none"/>
        </w:rPr>
        <w:t>。</w:t>
      </w:r>
    </w:p>
    <w:p>
      <w:pPr>
        <w:autoSpaceDE w:val="0"/>
        <w:autoSpaceDN w:val="0"/>
        <w:adjustRightInd w:val="0"/>
        <w:snapToGrid w:val="0"/>
        <w:spacing w:line="336" w:lineRule="auto"/>
        <w:ind w:firstLine="463" w:firstLineChars="193"/>
        <w:jc w:val="left"/>
        <w:rPr>
          <w:snapToGrid w:val="0"/>
          <w:color w:val="auto"/>
          <w:kern w:val="0"/>
          <w:sz w:val="24"/>
          <w:szCs w:val="24"/>
          <w:highlight w:val="none"/>
        </w:rPr>
      </w:pPr>
      <w:r>
        <w:rPr>
          <w:snapToGrid w:val="0"/>
          <w:color w:val="auto"/>
          <w:kern w:val="0"/>
          <w:sz w:val="24"/>
          <w:szCs w:val="24"/>
          <w:highlight w:val="none"/>
        </w:rPr>
        <w:t>5、本协议书自签署之日起生效，合同履行完毕后自动失效。</w:t>
      </w:r>
    </w:p>
    <w:p>
      <w:pPr>
        <w:autoSpaceDE w:val="0"/>
        <w:autoSpaceDN w:val="0"/>
        <w:adjustRightInd w:val="0"/>
        <w:snapToGrid w:val="0"/>
        <w:spacing w:line="336" w:lineRule="auto"/>
        <w:ind w:firstLine="446" w:firstLineChars="186"/>
        <w:jc w:val="left"/>
        <w:rPr>
          <w:snapToGrid w:val="0"/>
          <w:color w:val="auto"/>
          <w:kern w:val="0"/>
          <w:sz w:val="24"/>
          <w:szCs w:val="24"/>
          <w:highlight w:val="none"/>
        </w:rPr>
      </w:pPr>
      <w:r>
        <w:rPr>
          <w:snapToGrid w:val="0"/>
          <w:color w:val="auto"/>
          <w:kern w:val="0"/>
          <w:sz w:val="24"/>
          <w:szCs w:val="24"/>
          <w:highlight w:val="none"/>
        </w:rPr>
        <w:t>6、本协议书一式</w:t>
      </w:r>
      <w:r>
        <w:rPr>
          <w:rFonts w:hint="eastAsia"/>
          <w:snapToGrid w:val="0"/>
          <w:color w:val="auto"/>
          <w:kern w:val="0"/>
          <w:sz w:val="24"/>
          <w:szCs w:val="24"/>
          <w:highlight w:val="none"/>
          <w:u w:val="single"/>
        </w:rPr>
        <w:t xml:space="preserve">    </w:t>
      </w:r>
      <w:r>
        <w:rPr>
          <w:snapToGrid w:val="0"/>
          <w:color w:val="auto"/>
          <w:kern w:val="0"/>
          <w:sz w:val="24"/>
          <w:szCs w:val="24"/>
          <w:highlight w:val="none"/>
        </w:rPr>
        <w:t>份，联合体成员和招标人各执一份。</w:t>
      </w:r>
    </w:p>
    <w:p>
      <w:pPr>
        <w:autoSpaceDE w:val="0"/>
        <w:autoSpaceDN w:val="0"/>
        <w:adjustRightInd w:val="0"/>
        <w:snapToGrid w:val="0"/>
        <w:spacing w:line="336" w:lineRule="auto"/>
        <w:jc w:val="left"/>
        <w:rPr>
          <w:snapToGrid w:val="0"/>
          <w:color w:val="auto"/>
          <w:kern w:val="0"/>
          <w:sz w:val="24"/>
          <w:szCs w:val="24"/>
          <w:highlight w:val="none"/>
        </w:rPr>
      </w:pPr>
    </w:p>
    <w:p>
      <w:pPr>
        <w:tabs>
          <w:tab w:val="left" w:pos="8364"/>
        </w:tabs>
        <w:autoSpaceDE w:val="0"/>
        <w:autoSpaceDN w:val="0"/>
        <w:adjustRightInd w:val="0"/>
        <w:snapToGrid w:val="0"/>
        <w:spacing w:line="336" w:lineRule="auto"/>
        <w:ind w:firstLine="1418"/>
        <w:jc w:val="left"/>
        <w:rPr>
          <w:snapToGrid w:val="0"/>
          <w:color w:val="auto"/>
          <w:kern w:val="0"/>
          <w:sz w:val="24"/>
          <w:szCs w:val="24"/>
          <w:highlight w:val="none"/>
        </w:rPr>
      </w:pPr>
      <w:r>
        <w:rPr>
          <w:snapToGrid w:val="0"/>
          <w:color w:val="auto"/>
          <w:kern w:val="0"/>
          <w:sz w:val="24"/>
          <w:szCs w:val="24"/>
          <w:highlight w:val="none"/>
        </w:rPr>
        <w:t>牵头人名称：</w:t>
      </w:r>
      <w:r>
        <w:rPr>
          <w:snapToGrid w:val="0"/>
          <w:color w:val="auto"/>
          <w:w w:val="200"/>
          <w:kern w:val="0"/>
          <w:sz w:val="24"/>
          <w:szCs w:val="24"/>
          <w:highlight w:val="none"/>
          <w:u w:val="single"/>
        </w:rPr>
        <w:t>　</w:t>
      </w:r>
      <w:r>
        <w:rPr>
          <w:rFonts w:hint="eastAsia"/>
          <w:snapToGrid w:val="0"/>
          <w:color w:val="auto"/>
          <w:w w:val="200"/>
          <w:kern w:val="0"/>
          <w:sz w:val="24"/>
          <w:szCs w:val="24"/>
          <w:highlight w:val="none"/>
          <w:u w:val="single"/>
        </w:rPr>
        <w:t xml:space="preserve">   </w:t>
      </w:r>
      <w:r>
        <w:rPr>
          <w:snapToGrid w:val="0"/>
          <w:color w:val="auto"/>
          <w:kern w:val="0"/>
          <w:sz w:val="24"/>
          <w:szCs w:val="24"/>
          <w:highlight w:val="none"/>
        </w:rPr>
        <w:t>（盖单位章）</w:t>
      </w:r>
    </w:p>
    <w:p>
      <w:pPr>
        <w:tabs>
          <w:tab w:val="left" w:pos="5260"/>
        </w:tabs>
        <w:autoSpaceDE w:val="0"/>
        <w:autoSpaceDN w:val="0"/>
        <w:adjustRightInd w:val="0"/>
        <w:snapToGrid w:val="0"/>
        <w:spacing w:line="336" w:lineRule="auto"/>
        <w:ind w:firstLine="1214" w:firstLineChars="506"/>
        <w:jc w:val="left"/>
        <w:rPr>
          <w:snapToGrid w:val="0"/>
          <w:color w:val="auto"/>
          <w:kern w:val="0"/>
          <w:sz w:val="24"/>
          <w:szCs w:val="24"/>
          <w:highlight w:val="none"/>
        </w:rPr>
      </w:pPr>
      <w:r>
        <w:rPr>
          <w:snapToGrid w:val="0"/>
          <w:color w:val="auto"/>
          <w:kern w:val="0"/>
          <w:position w:val="-2"/>
          <w:sz w:val="24"/>
          <w:szCs w:val="24"/>
          <w:highlight w:val="none"/>
        </w:rPr>
        <w:t>法定代表人或其委托代理人：</w:t>
      </w:r>
      <w:r>
        <w:rPr>
          <w:snapToGrid w:val="0"/>
          <w:color w:val="auto"/>
          <w:w w:val="200"/>
          <w:kern w:val="0"/>
          <w:sz w:val="24"/>
          <w:szCs w:val="24"/>
          <w:highlight w:val="none"/>
          <w:u w:val="single"/>
        </w:rPr>
        <w:t>　</w:t>
      </w:r>
      <w:r>
        <w:rPr>
          <w:rFonts w:hint="eastAsia"/>
          <w:snapToGrid w:val="0"/>
          <w:color w:val="auto"/>
          <w:w w:val="200"/>
          <w:kern w:val="0"/>
          <w:sz w:val="24"/>
          <w:szCs w:val="24"/>
          <w:highlight w:val="none"/>
          <w:u w:val="single"/>
        </w:rPr>
        <w:t xml:space="preserve">   </w:t>
      </w:r>
      <w:r>
        <w:rPr>
          <w:snapToGrid w:val="0"/>
          <w:color w:val="auto"/>
          <w:kern w:val="0"/>
          <w:position w:val="-2"/>
          <w:sz w:val="24"/>
          <w:szCs w:val="24"/>
          <w:highlight w:val="none"/>
        </w:rPr>
        <w:t>（签字）</w:t>
      </w:r>
    </w:p>
    <w:p>
      <w:pPr>
        <w:autoSpaceDE w:val="0"/>
        <w:autoSpaceDN w:val="0"/>
        <w:adjustRightInd w:val="0"/>
        <w:snapToGrid w:val="0"/>
        <w:spacing w:line="336" w:lineRule="auto"/>
        <w:jc w:val="left"/>
        <w:rPr>
          <w:snapToGrid w:val="0"/>
          <w:color w:val="auto"/>
          <w:kern w:val="0"/>
          <w:sz w:val="24"/>
          <w:szCs w:val="24"/>
          <w:highlight w:val="none"/>
        </w:rPr>
      </w:pPr>
    </w:p>
    <w:p>
      <w:pPr>
        <w:tabs>
          <w:tab w:val="left" w:pos="6735"/>
        </w:tabs>
        <w:autoSpaceDE w:val="0"/>
        <w:autoSpaceDN w:val="0"/>
        <w:adjustRightInd w:val="0"/>
        <w:snapToGrid w:val="0"/>
        <w:spacing w:line="336" w:lineRule="auto"/>
        <w:ind w:firstLine="1418"/>
        <w:jc w:val="left"/>
        <w:rPr>
          <w:snapToGrid w:val="0"/>
          <w:color w:val="auto"/>
          <w:kern w:val="0"/>
          <w:sz w:val="24"/>
          <w:szCs w:val="24"/>
          <w:highlight w:val="none"/>
        </w:rPr>
      </w:pPr>
      <w:r>
        <w:rPr>
          <w:snapToGrid w:val="0"/>
          <w:color w:val="auto"/>
          <w:kern w:val="0"/>
          <w:sz w:val="24"/>
          <w:szCs w:val="24"/>
          <w:highlight w:val="none"/>
        </w:rPr>
        <w:t>成员一名称：</w:t>
      </w:r>
      <w:r>
        <w:rPr>
          <w:snapToGrid w:val="0"/>
          <w:color w:val="auto"/>
          <w:kern w:val="0"/>
          <w:sz w:val="24"/>
          <w:szCs w:val="24"/>
          <w:highlight w:val="none"/>
          <w:u w:val="single"/>
        </w:rPr>
        <w:tab/>
      </w:r>
      <w:r>
        <w:rPr>
          <w:snapToGrid w:val="0"/>
          <w:color w:val="auto"/>
          <w:kern w:val="0"/>
          <w:sz w:val="24"/>
          <w:szCs w:val="24"/>
          <w:highlight w:val="none"/>
        </w:rPr>
        <w:t>（盖单位章）</w:t>
      </w:r>
    </w:p>
    <w:p>
      <w:pPr>
        <w:tabs>
          <w:tab w:val="left" w:pos="4840"/>
          <w:tab w:val="left" w:pos="5260"/>
        </w:tabs>
        <w:autoSpaceDE w:val="0"/>
        <w:autoSpaceDN w:val="0"/>
        <w:adjustRightInd w:val="0"/>
        <w:snapToGrid w:val="0"/>
        <w:spacing w:line="336" w:lineRule="auto"/>
        <w:ind w:firstLine="1214" w:firstLineChars="506"/>
        <w:jc w:val="left"/>
        <w:rPr>
          <w:snapToGrid w:val="0"/>
          <w:color w:val="auto"/>
          <w:kern w:val="0"/>
          <w:sz w:val="24"/>
          <w:szCs w:val="24"/>
          <w:highlight w:val="none"/>
        </w:rPr>
      </w:pPr>
      <w:r>
        <w:rPr>
          <w:snapToGrid w:val="0"/>
          <w:color w:val="auto"/>
          <w:kern w:val="0"/>
          <w:sz w:val="24"/>
          <w:szCs w:val="24"/>
          <w:highlight w:val="none"/>
        </w:rPr>
        <w:t>法定代表人或其委托代理人：</w:t>
      </w:r>
      <w:r>
        <w:rPr>
          <w:snapToGrid w:val="0"/>
          <w:color w:val="auto"/>
          <w:w w:val="200"/>
          <w:kern w:val="0"/>
          <w:sz w:val="24"/>
          <w:szCs w:val="24"/>
          <w:highlight w:val="none"/>
          <w:u w:val="single"/>
        </w:rPr>
        <w:t>　　　</w:t>
      </w:r>
      <w:r>
        <w:rPr>
          <w:snapToGrid w:val="0"/>
          <w:color w:val="auto"/>
          <w:kern w:val="0"/>
          <w:sz w:val="24"/>
          <w:szCs w:val="24"/>
          <w:highlight w:val="none"/>
        </w:rPr>
        <w:t>（签字）</w:t>
      </w:r>
    </w:p>
    <w:p>
      <w:pPr>
        <w:tabs>
          <w:tab w:val="left" w:pos="3840"/>
          <w:tab w:val="left" w:pos="4780"/>
          <w:tab w:val="left" w:pos="5720"/>
        </w:tabs>
        <w:autoSpaceDE w:val="0"/>
        <w:autoSpaceDN w:val="0"/>
        <w:adjustRightInd w:val="0"/>
        <w:snapToGrid w:val="0"/>
        <w:spacing w:line="336" w:lineRule="auto"/>
        <w:ind w:firstLine="4800" w:firstLineChars="2000"/>
        <w:jc w:val="left"/>
        <w:rPr>
          <w:snapToGrid w:val="0"/>
          <w:color w:val="auto"/>
          <w:kern w:val="0"/>
          <w:sz w:val="24"/>
          <w:szCs w:val="24"/>
          <w:highlight w:val="none"/>
        </w:rPr>
      </w:pPr>
      <w:r>
        <w:rPr>
          <w:snapToGrid w:val="0"/>
          <w:color w:val="auto"/>
          <w:kern w:val="0"/>
          <w:sz w:val="24"/>
          <w:szCs w:val="24"/>
          <w:highlight w:val="none"/>
          <w:u w:val="single"/>
        </w:rPr>
        <w:tab/>
      </w:r>
      <w:r>
        <w:rPr>
          <w:snapToGrid w:val="0"/>
          <w:color w:val="auto"/>
          <w:kern w:val="0"/>
          <w:sz w:val="24"/>
          <w:szCs w:val="24"/>
          <w:highlight w:val="none"/>
        </w:rPr>
        <w:t>年</w:t>
      </w:r>
      <w:r>
        <w:rPr>
          <w:snapToGrid w:val="0"/>
          <w:color w:val="auto"/>
          <w:kern w:val="0"/>
          <w:sz w:val="24"/>
          <w:szCs w:val="24"/>
          <w:highlight w:val="none"/>
          <w:u w:val="single"/>
        </w:rPr>
        <w:tab/>
      </w:r>
      <w:r>
        <w:rPr>
          <w:rFonts w:hint="eastAsia"/>
          <w:snapToGrid w:val="0"/>
          <w:color w:val="auto"/>
          <w:kern w:val="0"/>
          <w:sz w:val="24"/>
          <w:szCs w:val="24"/>
          <w:highlight w:val="none"/>
          <w:u w:val="single"/>
        </w:rPr>
        <w:t xml:space="preserve"> </w:t>
      </w:r>
      <w:r>
        <w:rPr>
          <w:snapToGrid w:val="0"/>
          <w:color w:val="auto"/>
          <w:kern w:val="0"/>
          <w:sz w:val="24"/>
          <w:szCs w:val="24"/>
          <w:highlight w:val="none"/>
        </w:rPr>
        <w:t>月</w:t>
      </w:r>
      <w:r>
        <w:rPr>
          <w:snapToGrid w:val="0"/>
          <w:color w:val="auto"/>
          <w:kern w:val="0"/>
          <w:sz w:val="24"/>
          <w:szCs w:val="24"/>
          <w:highlight w:val="none"/>
          <w:u w:val="single"/>
        </w:rPr>
        <w:tab/>
      </w:r>
      <w:r>
        <w:rPr>
          <w:snapToGrid w:val="0"/>
          <w:color w:val="auto"/>
          <w:kern w:val="0"/>
          <w:sz w:val="24"/>
          <w:szCs w:val="24"/>
          <w:highlight w:val="none"/>
          <w:u w:val="single"/>
        </w:rPr>
        <w:tab/>
      </w:r>
      <w:r>
        <w:rPr>
          <w:snapToGrid w:val="0"/>
          <w:color w:val="auto"/>
          <w:kern w:val="0"/>
          <w:sz w:val="24"/>
          <w:szCs w:val="24"/>
          <w:highlight w:val="none"/>
        </w:rPr>
        <w:t>日</w:t>
      </w:r>
    </w:p>
    <w:p>
      <w:pPr>
        <w:pStyle w:val="2"/>
        <w:rPr>
          <w:snapToGrid w:val="0"/>
          <w:color w:val="auto"/>
          <w:sz w:val="24"/>
          <w:szCs w:val="24"/>
          <w:highlight w:val="none"/>
        </w:rPr>
      </w:pPr>
    </w:p>
    <w:p>
      <w:pPr>
        <w:rPr>
          <w:snapToGrid w:val="0"/>
          <w:color w:val="auto"/>
          <w:kern w:val="0"/>
          <w:sz w:val="24"/>
          <w:szCs w:val="24"/>
          <w:highlight w:val="none"/>
        </w:rPr>
      </w:pPr>
    </w:p>
    <w:p>
      <w:pPr>
        <w:pStyle w:val="2"/>
        <w:rPr>
          <w:snapToGrid w:val="0"/>
          <w:color w:val="auto"/>
          <w:sz w:val="24"/>
          <w:szCs w:val="24"/>
          <w:highlight w:val="none"/>
        </w:rPr>
      </w:pPr>
    </w:p>
    <w:p>
      <w:pPr>
        <w:rPr>
          <w:color w:val="auto"/>
          <w:highlight w:val="none"/>
        </w:rPr>
      </w:pPr>
    </w:p>
    <w:p>
      <w:pPr>
        <w:tabs>
          <w:tab w:val="left" w:pos="3840"/>
          <w:tab w:val="left" w:pos="4780"/>
          <w:tab w:val="left" w:pos="5720"/>
        </w:tabs>
        <w:autoSpaceDE w:val="0"/>
        <w:autoSpaceDN w:val="0"/>
        <w:adjustRightInd w:val="0"/>
        <w:snapToGrid w:val="0"/>
        <w:spacing w:line="360" w:lineRule="auto"/>
        <w:ind w:firstLine="4560" w:firstLineChars="1900"/>
        <w:jc w:val="left"/>
        <w:rPr>
          <w:rFonts w:eastAsia="楷体_GB2312"/>
          <w:color w:val="auto"/>
          <w:kern w:val="0"/>
          <w:sz w:val="24"/>
          <w:szCs w:val="24"/>
          <w:highlight w:val="none"/>
        </w:rPr>
      </w:pPr>
      <w:r>
        <w:rPr>
          <w:rFonts w:eastAsia="楷体_GB2312"/>
          <w:color w:val="auto"/>
          <w:kern w:val="0"/>
          <w:sz w:val="24"/>
          <w:szCs w:val="24"/>
          <w:highlight w:val="none"/>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220345</wp:posOffset>
                </wp:positionV>
                <wp:extent cx="2867025" cy="0"/>
                <wp:effectExtent l="0" t="0" r="9525" b="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wps:spPr>
                      <wps:bodyPr/>
                    </wps:wsp>
                  </a:graphicData>
                </a:graphic>
              </wp:anchor>
            </w:drawing>
          </mc:Choice>
          <mc:Fallback>
            <w:pict>
              <v:line id="Line 4" o:spid="_x0000_s1026" o:spt="20" style="position:absolute;left:0pt;margin-left:10.5pt;margin-top:17.35pt;height:0pt;width:225.75pt;z-index:251658240;mso-width-relative:page;mso-height-relative:page;" filled="f" stroked="t" coordsize="21600,21600" o:gfxdata="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ILOEtkAAAAIAQAADwAAAAAAAAABACAAAAAiAAAAZHJz&#10;L2Rvd25yZXYueG1sUEsBAhQAFAAAAAgAh07iQJiuWajKAQAAnwMAAA4AAAAAAAAAAQAgAAAAKAEA&#10;AGRycy9lMm9Eb2MueG1sUEsFBgAAAAAGAAYAWQEAAGQFAAAAAA==&#10;">
                <v:fill on="f" focussize="0,0"/>
                <v:stroke weight="0.25pt" color="#000000" joinstyle="round"/>
                <v:imagedata o:title=""/>
                <o:lock v:ext="edit" aspectratio="f"/>
              </v:line>
            </w:pict>
          </mc:Fallback>
        </mc:AlternateContent>
      </w:r>
    </w:p>
    <w:p>
      <w:pPr>
        <w:tabs>
          <w:tab w:val="left" w:pos="4840"/>
        </w:tabs>
        <w:autoSpaceDE w:val="0"/>
        <w:autoSpaceDN w:val="0"/>
        <w:adjustRightInd w:val="0"/>
        <w:snapToGrid w:val="0"/>
        <w:spacing w:line="360" w:lineRule="auto"/>
        <w:ind w:left="-283" w:leftChars="-101"/>
        <w:rPr>
          <w:color w:val="auto"/>
          <w:sz w:val="24"/>
          <w:szCs w:val="24"/>
          <w:highlight w:val="none"/>
        </w:rPr>
      </w:pPr>
      <w:r>
        <w:rPr>
          <w:snapToGrid w:val="0"/>
          <w:color w:val="auto"/>
          <w:kern w:val="0"/>
          <w:sz w:val="24"/>
          <w:szCs w:val="24"/>
          <w:highlight w:val="none"/>
        </w:rPr>
        <w:t>注：本协议书由委托代理人签字的，应附法定代表人签字的授权委托书</w:t>
      </w:r>
    </w:p>
    <w:p>
      <w:pPr>
        <w:tabs>
          <w:tab w:val="left" w:pos="6300"/>
        </w:tabs>
        <w:snapToGrid w:val="0"/>
        <w:spacing w:line="360" w:lineRule="auto"/>
        <w:jc w:val="left"/>
        <w:rPr>
          <w:color w:val="auto"/>
          <w:sz w:val="24"/>
          <w:szCs w:val="24"/>
          <w:highlight w:val="none"/>
        </w:rPr>
      </w:pPr>
    </w:p>
    <w:p>
      <w:pPr>
        <w:tabs>
          <w:tab w:val="left" w:pos="6300"/>
        </w:tabs>
        <w:snapToGrid w:val="0"/>
        <w:spacing w:line="360" w:lineRule="auto"/>
        <w:ind w:firstLine="570"/>
        <w:jc w:val="left"/>
        <w:rPr>
          <w:color w:val="auto"/>
          <w:sz w:val="24"/>
          <w:szCs w:val="24"/>
          <w:highlight w:val="none"/>
        </w:rPr>
      </w:pPr>
    </w:p>
    <w:p>
      <w:pPr>
        <w:tabs>
          <w:tab w:val="left" w:pos="6300"/>
        </w:tabs>
        <w:snapToGrid w:val="0"/>
        <w:spacing w:line="360" w:lineRule="auto"/>
        <w:ind w:firstLine="570"/>
        <w:jc w:val="left"/>
        <w:rPr>
          <w:color w:val="auto"/>
          <w:sz w:val="24"/>
          <w:szCs w:val="24"/>
          <w:highlight w:val="none"/>
        </w:rPr>
      </w:pPr>
      <w:r>
        <w:rPr>
          <w:color w:val="auto"/>
          <w:sz w:val="24"/>
          <w:szCs w:val="24"/>
          <w:highlight w:val="none"/>
        </w:rPr>
        <w:t>（三）其他与项目有关的资料（自附）</w:t>
      </w:r>
    </w:p>
    <w:p>
      <w:pPr>
        <w:autoSpaceDE w:val="0"/>
        <w:autoSpaceDN w:val="0"/>
        <w:adjustRightInd w:val="0"/>
        <w:snapToGrid w:val="0"/>
        <w:spacing w:line="360" w:lineRule="auto"/>
        <w:rPr>
          <w:color w:val="auto"/>
          <w:sz w:val="24"/>
          <w:szCs w:val="24"/>
          <w:highlight w:val="none"/>
        </w:rPr>
      </w:pPr>
    </w:p>
    <w:sectPr>
      <w:headerReference r:id="rId8" w:type="default"/>
      <w:footerReference r:id="rId9" w:type="default"/>
      <w:pgSz w:w="11906" w:h="16838"/>
      <w:pgMar w:top="1440" w:right="1797" w:bottom="1440" w:left="1797" w:header="964"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2</w:t>
                          </w:r>
                          <w:r>
                            <w:rPr>
                              <w:rStyle w:val="61"/>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58240;mso-width-relative:page;mso-height-relative:page;" filled="f" stroked="f" coordsize="21600,21600" o:gfxdata="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OgDTdEAAAADAQAADwAAAAAAAAABACAAAAAiAAAAZHJzL2Rvd25yZXYueG1sUEsBAhQAFAAA&#10;AAgAh07iQEq8i/cvAgAAUgQAAA4AAAAAAAAAAQAgAAAAIAEAAGRycy9lMm9Eb2MueG1sUEsFBgAA&#10;AAAGAAYAWQEAAMEFAAAAAA==&#10;">
              <v:fill on="f" focussize="0,0"/>
              <v:stroke on="f" weight="0.5pt"/>
              <v:imagedata o:title=""/>
              <o:lock v:ext="edit" aspectratio="f"/>
              <v:textbox inset="0mm,0mm,0mm,0mm" style="mso-fit-shape-to-text:t;">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2</w:t>
                    </w:r>
                    <w:r>
                      <w:rPr>
                        <w:rStyle w:val="61"/>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5</w:t>
                          </w:r>
                          <w:r>
                            <w:rPr>
                              <w:rStyle w:val="61"/>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12.05pt;mso-position-horizontal:center;mso-position-horizontal-relative:margin;mso-wrap-style:none;z-index:251659264;mso-width-relative:page;mso-height-relative:page;" filled="f" stroked="f" coordsize="21600,21600" o:gfxdata="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6Nt+3SAAAAAwEAAA8AAAAAAAAAAQAgAAAAIgAAAGRycy9kb3ducmV2LnhtbFBLAQIUABQA&#10;AAAIAIdO4kDTRVVmLwIAAFMEAAAOAAAAAAAAAAEAIAAAACEBAABkcnMvZTJvRG9jLnhtbFBLBQYA&#10;AAAABgAGAFkBAADCBQAAAAA=&#10;">
              <v:fill on="f" focussize="0,0"/>
              <v:stroke on="f" weight="0.5pt"/>
              <v:imagedata o:title=""/>
              <o:lock v:ext="edit" aspectratio="f"/>
              <v:textbox inset="0mm,0mm,0mm,0mm" style="mso-fit-shape-to-text:t;">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5</w:t>
                    </w:r>
                    <w:r>
                      <w:rPr>
                        <w:rStyle w:val="61"/>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1752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55</w:t>
                          </w:r>
                          <w:r>
                            <w:rPr>
                              <w:rStyle w:val="61"/>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12.05pt;mso-position-horizontal:center;mso-position-horizontal-relative:margin;mso-wrap-style:none;z-index:251660288;mso-width-relative:page;mso-height-relative:page;" filled="f" stroked="f" coordsize="21600,21600" o:gfxdata="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jbft0gAAAAMBAAAPAAAAAAAAAAEAIAAAACIAAABkcnMvZG93bnJldi54bWxQSwECFAAUAAAA&#10;CACHTuJAr4o24C0CAABTBAAADgAAAAAAAAABACAAAAAhAQAAZHJzL2Uyb0RvYy54bWxQSwUGAAAA&#10;AAYABgBZAQAAwAUAAAAA&#10;">
              <v:fill on="f" focussize="0,0"/>
              <v:stroke on="f" weight="0.5pt"/>
              <v:imagedata o:title=""/>
              <o:lock v:ext="edit" aspectratio="f"/>
              <v:textbox inset="0mm,0mm,0mm,0mm" style="mso-fit-shape-to-text:t;">
                <w:txbxContent>
                  <w:p>
                    <w:pPr>
                      <w:pStyle w:val="35"/>
                      <w:jc w:val="center"/>
                    </w:pPr>
                    <w:r>
                      <w:rPr>
                        <w:rStyle w:val="61"/>
                        <w:sz w:val="24"/>
                        <w:szCs w:val="24"/>
                      </w:rPr>
                      <w:fldChar w:fldCharType="begin"/>
                    </w:r>
                    <w:r>
                      <w:rPr>
                        <w:rStyle w:val="61"/>
                        <w:sz w:val="24"/>
                        <w:szCs w:val="24"/>
                      </w:rPr>
                      <w:instrText xml:space="preserve"> PAGE </w:instrText>
                    </w:r>
                    <w:r>
                      <w:rPr>
                        <w:rStyle w:val="61"/>
                        <w:sz w:val="24"/>
                        <w:szCs w:val="24"/>
                      </w:rPr>
                      <w:fldChar w:fldCharType="separate"/>
                    </w:r>
                    <w:r>
                      <w:rPr>
                        <w:rStyle w:val="61"/>
                        <w:sz w:val="24"/>
                        <w:szCs w:val="24"/>
                      </w:rPr>
                      <w:t>55</w:t>
                    </w:r>
                    <w:r>
                      <w:rPr>
                        <w:rStyle w:val="61"/>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79325"/>
    <w:multiLevelType w:val="singleLevel"/>
    <w:tmpl w:val="F3279325"/>
    <w:lvl w:ilvl="0" w:tentative="0">
      <w:start w:val="7"/>
      <w:numFmt w:val="chineseCounting"/>
      <w:suff w:val="nothing"/>
      <w:lvlText w:val="（%1）"/>
      <w:lvlJc w:val="left"/>
      <w:rPr>
        <w:rFonts w:hint="eastAsia"/>
      </w:rPr>
    </w:lvl>
  </w:abstractNum>
  <w:abstractNum w:abstractNumId="1">
    <w:nsid w:val="00000014"/>
    <w:multiLevelType w:val="multilevel"/>
    <w:tmpl w:val="00000014"/>
    <w:lvl w:ilvl="0" w:tentative="0">
      <w:start w:val="1"/>
      <w:numFmt w:val="japaneseCounting"/>
      <w:lvlText w:val="第%1篇"/>
      <w:lvlJc w:val="left"/>
      <w:pPr>
        <w:tabs>
          <w:tab w:val="left" w:pos="4365"/>
        </w:tabs>
        <w:ind w:left="4365" w:hanging="1530"/>
      </w:pPr>
      <w:rPr>
        <w:rFonts w:hint="default"/>
      </w:rPr>
    </w:lvl>
    <w:lvl w:ilvl="1" w:tentative="0">
      <w:start w:val="1"/>
      <w:numFmt w:val="lowerLetter"/>
      <w:lvlText w:val="%2)"/>
      <w:lvlJc w:val="left"/>
      <w:pPr>
        <w:tabs>
          <w:tab w:val="left" w:pos="3675"/>
        </w:tabs>
        <w:ind w:left="3675" w:hanging="420"/>
      </w:pPr>
    </w:lvl>
    <w:lvl w:ilvl="2" w:tentative="0">
      <w:start w:val="1"/>
      <w:numFmt w:val="lowerRoman"/>
      <w:lvlText w:val="%3."/>
      <w:lvlJc w:val="right"/>
      <w:pPr>
        <w:tabs>
          <w:tab w:val="left" w:pos="4095"/>
        </w:tabs>
        <w:ind w:left="4095" w:hanging="420"/>
      </w:pPr>
    </w:lvl>
    <w:lvl w:ilvl="3" w:tentative="0">
      <w:start w:val="1"/>
      <w:numFmt w:val="decimal"/>
      <w:lvlText w:val="%4."/>
      <w:lvlJc w:val="left"/>
      <w:pPr>
        <w:tabs>
          <w:tab w:val="left" w:pos="4515"/>
        </w:tabs>
        <w:ind w:left="4515" w:hanging="420"/>
      </w:pPr>
    </w:lvl>
    <w:lvl w:ilvl="4" w:tentative="0">
      <w:start w:val="1"/>
      <w:numFmt w:val="lowerLetter"/>
      <w:lvlText w:val="%5)"/>
      <w:lvlJc w:val="left"/>
      <w:pPr>
        <w:tabs>
          <w:tab w:val="left" w:pos="4935"/>
        </w:tabs>
        <w:ind w:left="4935" w:hanging="420"/>
      </w:pPr>
    </w:lvl>
    <w:lvl w:ilvl="5" w:tentative="0">
      <w:start w:val="1"/>
      <w:numFmt w:val="lowerRoman"/>
      <w:lvlText w:val="%6."/>
      <w:lvlJc w:val="right"/>
      <w:pPr>
        <w:tabs>
          <w:tab w:val="left" w:pos="5355"/>
        </w:tabs>
        <w:ind w:left="5355" w:hanging="420"/>
      </w:pPr>
    </w:lvl>
    <w:lvl w:ilvl="6" w:tentative="0">
      <w:start w:val="1"/>
      <w:numFmt w:val="decimal"/>
      <w:lvlText w:val="%7."/>
      <w:lvlJc w:val="left"/>
      <w:pPr>
        <w:tabs>
          <w:tab w:val="left" w:pos="5775"/>
        </w:tabs>
        <w:ind w:left="5775" w:hanging="420"/>
      </w:pPr>
    </w:lvl>
    <w:lvl w:ilvl="7" w:tentative="0">
      <w:start w:val="1"/>
      <w:numFmt w:val="lowerLetter"/>
      <w:lvlText w:val="%8)"/>
      <w:lvlJc w:val="left"/>
      <w:pPr>
        <w:tabs>
          <w:tab w:val="left" w:pos="6195"/>
        </w:tabs>
        <w:ind w:left="6195" w:hanging="420"/>
      </w:pPr>
    </w:lvl>
    <w:lvl w:ilvl="8" w:tentative="0">
      <w:start w:val="1"/>
      <w:numFmt w:val="lowerRoman"/>
      <w:lvlText w:val="%9."/>
      <w:lvlJc w:val="right"/>
      <w:pPr>
        <w:tabs>
          <w:tab w:val="left" w:pos="6615"/>
        </w:tabs>
        <w:ind w:left="6615" w:hanging="420"/>
      </w:pPr>
    </w:lvl>
  </w:abstractNum>
  <w:abstractNum w:abstractNumId="2">
    <w:nsid w:val="13667305"/>
    <w:multiLevelType w:val="multilevel"/>
    <w:tmpl w:val="136673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2A01A0"/>
    <w:multiLevelType w:val="multilevel"/>
    <w:tmpl w:val="302A01A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280"/>
  <w:doNotHyphenateCaps/>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5D"/>
    <w:rsid w:val="00003043"/>
    <w:rsid w:val="00003471"/>
    <w:rsid w:val="00005486"/>
    <w:rsid w:val="00005FB2"/>
    <w:rsid w:val="00006290"/>
    <w:rsid w:val="000072F0"/>
    <w:rsid w:val="00007821"/>
    <w:rsid w:val="0000788B"/>
    <w:rsid w:val="0001038B"/>
    <w:rsid w:val="00011AF1"/>
    <w:rsid w:val="0001283A"/>
    <w:rsid w:val="00013731"/>
    <w:rsid w:val="00013C3D"/>
    <w:rsid w:val="00014386"/>
    <w:rsid w:val="00015B68"/>
    <w:rsid w:val="000216B2"/>
    <w:rsid w:val="00021946"/>
    <w:rsid w:val="00021F15"/>
    <w:rsid w:val="00021FFF"/>
    <w:rsid w:val="000227B2"/>
    <w:rsid w:val="0002381F"/>
    <w:rsid w:val="00023B94"/>
    <w:rsid w:val="00023CCB"/>
    <w:rsid w:val="00024257"/>
    <w:rsid w:val="00024EC0"/>
    <w:rsid w:val="00025BF2"/>
    <w:rsid w:val="000266A1"/>
    <w:rsid w:val="00027638"/>
    <w:rsid w:val="00027641"/>
    <w:rsid w:val="00030EEB"/>
    <w:rsid w:val="00031BB8"/>
    <w:rsid w:val="00032805"/>
    <w:rsid w:val="000330C1"/>
    <w:rsid w:val="000330FD"/>
    <w:rsid w:val="00034357"/>
    <w:rsid w:val="00034449"/>
    <w:rsid w:val="00034A67"/>
    <w:rsid w:val="00034C91"/>
    <w:rsid w:val="00035FD7"/>
    <w:rsid w:val="0003663C"/>
    <w:rsid w:val="000368E7"/>
    <w:rsid w:val="00036E7B"/>
    <w:rsid w:val="0003726B"/>
    <w:rsid w:val="0003767C"/>
    <w:rsid w:val="000376BA"/>
    <w:rsid w:val="00042250"/>
    <w:rsid w:val="00042895"/>
    <w:rsid w:val="00043311"/>
    <w:rsid w:val="000440B0"/>
    <w:rsid w:val="00045221"/>
    <w:rsid w:val="00045526"/>
    <w:rsid w:val="000459E6"/>
    <w:rsid w:val="000471A0"/>
    <w:rsid w:val="00047EC0"/>
    <w:rsid w:val="000519FC"/>
    <w:rsid w:val="00055E38"/>
    <w:rsid w:val="00056058"/>
    <w:rsid w:val="00056D70"/>
    <w:rsid w:val="00057611"/>
    <w:rsid w:val="00057CE2"/>
    <w:rsid w:val="00060807"/>
    <w:rsid w:val="00060ECE"/>
    <w:rsid w:val="00062740"/>
    <w:rsid w:val="0006409C"/>
    <w:rsid w:val="0006572E"/>
    <w:rsid w:val="0006737B"/>
    <w:rsid w:val="0006788E"/>
    <w:rsid w:val="00067D6B"/>
    <w:rsid w:val="00072497"/>
    <w:rsid w:val="00074320"/>
    <w:rsid w:val="00074A53"/>
    <w:rsid w:val="00074BA4"/>
    <w:rsid w:val="00075520"/>
    <w:rsid w:val="00080C3B"/>
    <w:rsid w:val="000819B2"/>
    <w:rsid w:val="00082E45"/>
    <w:rsid w:val="00083C2F"/>
    <w:rsid w:val="00084765"/>
    <w:rsid w:val="00084E6C"/>
    <w:rsid w:val="00086165"/>
    <w:rsid w:val="0009038B"/>
    <w:rsid w:val="00090632"/>
    <w:rsid w:val="00090C0A"/>
    <w:rsid w:val="00091A40"/>
    <w:rsid w:val="00092024"/>
    <w:rsid w:val="000926A0"/>
    <w:rsid w:val="000935DD"/>
    <w:rsid w:val="00093A26"/>
    <w:rsid w:val="000944EF"/>
    <w:rsid w:val="000946BD"/>
    <w:rsid w:val="000947D4"/>
    <w:rsid w:val="00094D91"/>
    <w:rsid w:val="0009666C"/>
    <w:rsid w:val="0009715C"/>
    <w:rsid w:val="000A0046"/>
    <w:rsid w:val="000A0A60"/>
    <w:rsid w:val="000A0CD9"/>
    <w:rsid w:val="000A15AD"/>
    <w:rsid w:val="000A1CFF"/>
    <w:rsid w:val="000A24D0"/>
    <w:rsid w:val="000A26CB"/>
    <w:rsid w:val="000A2B30"/>
    <w:rsid w:val="000A5589"/>
    <w:rsid w:val="000B242A"/>
    <w:rsid w:val="000B2716"/>
    <w:rsid w:val="000B2AED"/>
    <w:rsid w:val="000B2ED1"/>
    <w:rsid w:val="000B3651"/>
    <w:rsid w:val="000B48B1"/>
    <w:rsid w:val="000B62D2"/>
    <w:rsid w:val="000B6330"/>
    <w:rsid w:val="000B7DAD"/>
    <w:rsid w:val="000C01CA"/>
    <w:rsid w:val="000C1B0E"/>
    <w:rsid w:val="000C2017"/>
    <w:rsid w:val="000C37CD"/>
    <w:rsid w:val="000C5061"/>
    <w:rsid w:val="000C50CD"/>
    <w:rsid w:val="000C5E6A"/>
    <w:rsid w:val="000C6FDF"/>
    <w:rsid w:val="000D011C"/>
    <w:rsid w:val="000D0A22"/>
    <w:rsid w:val="000D0B1A"/>
    <w:rsid w:val="000D16C0"/>
    <w:rsid w:val="000D1B77"/>
    <w:rsid w:val="000D3383"/>
    <w:rsid w:val="000D4901"/>
    <w:rsid w:val="000D7594"/>
    <w:rsid w:val="000D7E60"/>
    <w:rsid w:val="000E025F"/>
    <w:rsid w:val="000E43DC"/>
    <w:rsid w:val="000E5C81"/>
    <w:rsid w:val="000F158D"/>
    <w:rsid w:val="000F16AA"/>
    <w:rsid w:val="000F176A"/>
    <w:rsid w:val="000F28F3"/>
    <w:rsid w:val="000F4EE2"/>
    <w:rsid w:val="000F5882"/>
    <w:rsid w:val="000F5FAF"/>
    <w:rsid w:val="000F60C1"/>
    <w:rsid w:val="000F631A"/>
    <w:rsid w:val="000F636B"/>
    <w:rsid w:val="00102E23"/>
    <w:rsid w:val="00106AA4"/>
    <w:rsid w:val="00107970"/>
    <w:rsid w:val="001103D7"/>
    <w:rsid w:val="00110AA3"/>
    <w:rsid w:val="0011194D"/>
    <w:rsid w:val="00111DF4"/>
    <w:rsid w:val="00111FE5"/>
    <w:rsid w:val="00113340"/>
    <w:rsid w:val="00113CA8"/>
    <w:rsid w:val="00114351"/>
    <w:rsid w:val="00115303"/>
    <w:rsid w:val="001158B1"/>
    <w:rsid w:val="00115C1C"/>
    <w:rsid w:val="00115FA9"/>
    <w:rsid w:val="00116D84"/>
    <w:rsid w:val="0012080C"/>
    <w:rsid w:val="00121509"/>
    <w:rsid w:val="001226B5"/>
    <w:rsid w:val="00124156"/>
    <w:rsid w:val="001244BA"/>
    <w:rsid w:val="00125A77"/>
    <w:rsid w:val="00126F0E"/>
    <w:rsid w:val="001275EF"/>
    <w:rsid w:val="001311E8"/>
    <w:rsid w:val="00131866"/>
    <w:rsid w:val="00131A52"/>
    <w:rsid w:val="001345B8"/>
    <w:rsid w:val="00135250"/>
    <w:rsid w:val="00135F31"/>
    <w:rsid w:val="00136CC7"/>
    <w:rsid w:val="00137756"/>
    <w:rsid w:val="00137970"/>
    <w:rsid w:val="0014021B"/>
    <w:rsid w:val="001407F6"/>
    <w:rsid w:val="0014090A"/>
    <w:rsid w:val="00140C00"/>
    <w:rsid w:val="00140F76"/>
    <w:rsid w:val="00142916"/>
    <w:rsid w:val="00142C1C"/>
    <w:rsid w:val="00143522"/>
    <w:rsid w:val="00143A0F"/>
    <w:rsid w:val="00143DE0"/>
    <w:rsid w:val="001445A8"/>
    <w:rsid w:val="0014516C"/>
    <w:rsid w:val="00145A83"/>
    <w:rsid w:val="0014627E"/>
    <w:rsid w:val="0014757A"/>
    <w:rsid w:val="00150A8A"/>
    <w:rsid w:val="00151703"/>
    <w:rsid w:val="00151D06"/>
    <w:rsid w:val="0015205C"/>
    <w:rsid w:val="001528E5"/>
    <w:rsid w:val="001534A2"/>
    <w:rsid w:val="0015353E"/>
    <w:rsid w:val="001545B5"/>
    <w:rsid w:val="00154DE0"/>
    <w:rsid w:val="00155E73"/>
    <w:rsid w:val="00156CE9"/>
    <w:rsid w:val="001601A7"/>
    <w:rsid w:val="00161645"/>
    <w:rsid w:val="00161E47"/>
    <w:rsid w:val="001626FE"/>
    <w:rsid w:val="0016423B"/>
    <w:rsid w:val="001648E1"/>
    <w:rsid w:val="00165ED0"/>
    <w:rsid w:val="00171213"/>
    <w:rsid w:val="0017135F"/>
    <w:rsid w:val="0017149F"/>
    <w:rsid w:val="00171524"/>
    <w:rsid w:val="001726C3"/>
    <w:rsid w:val="001728F0"/>
    <w:rsid w:val="00172A27"/>
    <w:rsid w:val="00173559"/>
    <w:rsid w:val="001752EF"/>
    <w:rsid w:val="001767A8"/>
    <w:rsid w:val="001778B9"/>
    <w:rsid w:val="001802C2"/>
    <w:rsid w:val="00180433"/>
    <w:rsid w:val="00180B83"/>
    <w:rsid w:val="00180E98"/>
    <w:rsid w:val="00182A6F"/>
    <w:rsid w:val="001831F4"/>
    <w:rsid w:val="0018394F"/>
    <w:rsid w:val="00183EAD"/>
    <w:rsid w:val="001853AB"/>
    <w:rsid w:val="00185C26"/>
    <w:rsid w:val="001864B0"/>
    <w:rsid w:val="001867C9"/>
    <w:rsid w:val="0019054C"/>
    <w:rsid w:val="00193549"/>
    <w:rsid w:val="001938D9"/>
    <w:rsid w:val="001A0940"/>
    <w:rsid w:val="001A0AFE"/>
    <w:rsid w:val="001A0B24"/>
    <w:rsid w:val="001A3A0D"/>
    <w:rsid w:val="001A3FB1"/>
    <w:rsid w:val="001A556D"/>
    <w:rsid w:val="001A5816"/>
    <w:rsid w:val="001A6392"/>
    <w:rsid w:val="001B1B3D"/>
    <w:rsid w:val="001B247B"/>
    <w:rsid w:val="001B3EC8"/>
    <w:rsid w:val="001B4284"/>
    <w:rsid w:val="001B59DF"/>
    <w:rsid w:val="001B6A2C"/>
    <w:rsid w:val="001C019A"/>
    <w:rsid w:val="001C0E70"/>
    <w:rsid w:val="001C31BE"/>
    <w:rsid w:val="001C3454"/>
    <w:rsid w:val="001C4DF2"/>
    <w:rsid w:val="001C7E47"/>
    <w:rsid w:val="001D0D2F"/>
    <w:rsid w:val="001D108E"/>
    <w:rsid w:val="001D12A7"/>
    <w:rsid w:val="001D22E8"/>
    <w:rsid w:val="001D283C"/>
    <w:rsid w:val="001D2CB7"/>
    <w:rsid w:val="001D3B7E"/>
    <w:rsid w:val="001D5F45"/>
    <w:rsid w:val="001D67C0"/>
    <w:rsid w:val="001D67D5"/>
    <w:rsid w:val="001D68AD"/>
    <w:rsid w:val="001D7060"/>
    <w:rsid w:val="001D71DC"/>
    <w:rsid w:val="001D7E69"/>
    <w:rsid w:val="001E01CB"/>
    <w:rsid w:val="001E1279"/>
    <w:rsid w:val="001E134C"/>
    <w:rsid w:val="001E2993"/>
    <w:rsid w:val="001E307A"/>
    <w:rsid w:val="001E3AED"/>
    <w:rsid w:val="001E4F32"/>
    <w:rsid w:val="001E6F95"/>
    <w:rsid w:val="001F0611"/>
    <w:rsid w:val="001F0F93"/>
    <w:rsid w:val="001F1A90"/>
    <w:rsid w:val="001F2746"/>
    <w:rsid w:val="001F2FF0"/>
    <w:rsid w:val="001F30AF"/>
    <w:rsid w:val="001F30FA"/>
    <w:rsid w:val="001F39BD"/>
    <w:rsid w:val="001F4196"/>
    <w:rsid w:val="001F45D7"/>
    <w:rsid w:val="001F530E"/>
    <w:rsid w:val="001F71E7"/>
    <w:rsid w:val="0020439E"/>
    <w:rsid w:val="00204A5C"/>
    <w:rsid w:val="002054F0"/>
    <w:rsid w:val="002059FB"/>
    <w:rsid w:val="00205A1B"/>
    <w:rsid w:val="00206E7C"/>
    <w:rsid w:val="00210C72"/>
    <w:rsid w:val="0021110F"/>
    <w:rsid w:val="00212B62"/>
    <w:rsid w:val="00215057"/>
    <w:rsid w:val="0021511B"/>
    <w:rsid w:val="0021699C"/>
    <w:rsid w:val="00216A5F"/>
    <w:rsid w:val="00217640"/>
    <w:rsid w:val="002178DA"/>
    <w:rsid w:val="00217C0F"/>
    <w:rsid w:val="002201FF"/>
    <w:rsid w:val="00220EFE"/>
    <w:rsid w:val="00221179"/>
    <w:rsid w:val="0022267A"/>
    <w:rsid w:val="0022357D"/>
    <w:rsid w:val="00223B03"/>
    <w:rsid w:val="00224A15"/>
    <w:rsid w:val="00226AC9"/>
    <w:rsid w:val="0022711C"/>
    <w:rsid w:val="00227611"/>
    <w:rsid w:val="00230403"/>
    <w:rsid w:val="00231EC5"/>
    <w:rsid w:val="0023395D"/>
    <w:rsid w:val="00233AFE"/>
    <w:rsid w:val="00235733"/>
    <w:rsid w:val="0023696C"/>
    <w:rsid w:val="00237A91"/>
    <w:rsid w:val="00237AAB"/>
    <w:rsid w:val="002416AB"/>
    <w:rsid w:val="00241B83"/>
    <w:rsid w:val="00241DCD"/>
    <w:rsid w:val="00242605"/>
    <w:rsid w:val="002435D0"/>
    <w:rsid w:val="00243F8F"/>
    <w:rsid w:val="00245246"/>
    <w:rsid w:val="00247A61"/>
    <w:rsid w:val="00250CC9"/>
    <w:rsid w:val="002524E8"/>
    <w:rsid w:val="00252999"/>
    <w:rsid w:val="00252A6D"/>
    <w:rsid w:val="0025308A"/>
    <w:rsid w:val="00254979"/>
    <w:rsid w:val="0025601D"/>
    <w:rsid w:val="00256142"/>
    <w:rsid w:val="00256A6C"/>
    <w:rsid w:val="00257881"/>
    <w:rsid w:val="00257FF1"/>
    <w:rsid w:val="00260F90"/>
    <w:rsid w:val="00261CD8"/>
    <w:rsid w:val="00262267"/>
    <w:rsid w:val="00262380"/>
    <w:rsid w:val="00263E01"/>
    <w:rsid w:val="00263F00"/>
    <w:rsid w:val="00264A68"/>
    <w:rsid w:val="002658F1"/>
    <w:rsid w:val="00265F99"/>
    <w:rsid w:val="002665C7"/>
    <w:rsid w:val="00270A46"/>
    <w:rsid w:val="00271A0A"/>
    <w:rsid w:val="00273C6D"/>
    <w:rsid w:val="002753E6"/>
    <w:rsid w:val="00275696"/>
    <w:rsid w:val="002771CA"/>
    <w:rsid w:val="0028066C"/>
    <w:rsid w:val="002833CF"/>
    <w:rsid w:val="002837B8"/>
    <w:rsid w:val="00283AE3"/>
    <w:rsid w:val="00285E27"/>
    <w:rsid w:val="002870B7"/>
    <w:rsid w:val="00287D48"/>
    <w:rsid w:val="0029022C"/>
    <w:rsid w:val="00292544"/>
    <w:rsid w:val="00293266"/>
    <w:rsid w:val="00293EC4"/>
    <w:rsid w:val="0029578B"/>
    <w:rsid w:val="00295B0D"/>
    <w:rsid w:val="00296564"/>
    <w:rsid w:val="002973AA"/>
    <w:rsid w:val="002A0576"/>
    <w:rsid w:val="002A2F81"/>
    <w:rsid w:val="002A4240"/>
    <w:rsid w:val="002A5063"/>
    <w:rsid w:val="002B0F6B"/>
    <w:rsid w:val="002B1C58"/>
    <w:rsid w:val="002B26F0"/>
    <w:rsid w:val="002B3273"/>
    <w:rsid w:val="002B492C"/>
    <w:rsid w:val="002B49BE"/>
    <w:rsid w:val="002B5F62"/>
    <w:rsid w:val="002B606F"/>
    <w:rsid w:val="002C0013"/>
    <w:rsid w:val="002C0268"/>
    <w:rsid w:val="002C08FF"/>
    <w:rsid w:val="002C1898"/>
    <w:rsid w:val="002C18A6"/>
    <w:rsid w:val="002C3CCA"/>
    <w:rsid w:val="002C6675"/>
    <w:rsid w:val="002C6836"/>
    <w:rsid w:val="002C6AC2"/>
    <w:rsid w:val="002C7966"/>
    <w:rsid w:val="002C7F2B"/>
    <w:rsid w:val="002D084E"/>
    <w:rsid w:val="002D0B34"/>
    <w:rsid w:val="002D2F75"/>
    <w:rsid w:val="002D517B"/>
    <w:rsid w:val="002E0FB6"/>
    <w:rsid w:val="002E11A5"/>
    <w:rsid w:val="002E1597"/>
    <w:rsid w:val="002E2816"/>
    <w:rsid w:val="002E3591"/>
    <w:rsid w:val="002E41DF"/>
    <w:rsid w:val="002E5420"/>
    <w:rsid w:val="002E5E75"/>
    <w:rsid w:val="002E63A3"/>
    <w:rsid w:val="002E6DFA"/>
    <w:rsid w:val="002F0156"/>
    <w:rsid w:val="002F0997"/>
    <w:rsid w:val="002F1086"/>
    <w:rsid w:val="002F24D9"/>
    <w:rsid w:val="002F539D"/>
    <w:rsid w:val="002F5EEF"/>
    <w:rsid w:val="002F6E31"/>
    <w:rsid w:val="002F6FAA"/>
    <w:rsid w:val="0030052E"/>
    <w:rsid w:val="003033BE"/>
    <w:rsid w:val="00303AA3"/>
    <w:rsid w:val="00305073"/>
    <w:rsid w:val="00305511"/>
    <w:rsid w:val="00307E11"/>
    <w:rsid w:val="0031088C"/>
    <w:rsid w:val="0031093D"/>
    <w:rsid w:val="00311BE2"/>
    <w:rsid w:val="00313592"/>
    <w:rsid w:val="00314AA7"/>
    <w:rsid w:val="00315087"/>
    <w:rsid w:val="003150BA"/>
    <w:rsid w:val="00315EAD"/>
    <w:rsid w:val="00320C2C"/>
    <w:rsid w:val="00321495"/>
    <w:rsid w:val="003222AF"/>
    <w:rsid w:val="003231A8"/>
    <w:rsid w:val="00323C38"/>
    <w:rsid w:val="00324599"/>
    <w:rsid w:val="0032499D"/>
    <w:rsid w:val="0032592A"/>
    <w:rsid w:val="00331597"/>
    <w:rsid w:val="00335501"/>
    <w:rsid w:val="00337A4C"/>
    <w:rsid w:val="003417F7"/>
    <w:rsid w:val="00342723"/>
    <w:rsid w:val="00344ABE"/>
    <w:rsid w:val="00344FF3"/>
    <w:rsid w:val="003458F9"/>
    <w:rsid w:val="003477F9"/>
    <w:rsid w:val="00347A8A"/>
    <w:rsid w:val="003502B4"/>
    <w:rsid w:val="003507F4"/>
    <w:rsid w:val="003532B5"/>
    <w:rsid w:val="00353C64"/>
    <w:rsid w:val="0035429A"/>
    <w:rsid w:val="00354DF4"/>
    <w:rsid w:val="003550E7"/>
    <w:rsid w:val="00355459"/>
    <w:rsid w:val="00355E61"/>
    <w:rsid w:val="00356E8E"/>
    <w:rsid w:val="003572BD"/>
    <w:rsid w:val="003601BD"/>
    <w:rsid w:val="00360B5D"/>
    <w:rsid w:val="0036132B"/>
    <w:rsid w:val="00363D86"/>
    <w:rsid w:val="00364BC7"/>
    <w:rsid w:val="00365DF4"/>
    <w:rsid w:val="00365E79"/>
    <w:rsid w:val="003662FA"/>
    <w:rsid w:val="00370BF4"/>
    <w:rsid w:val="0037169E"/>
    <w:rsid w:val="00372D1D"/>
    <w:rsid w:val="00374053"/>
    <w:rsid w:val="00375F2C"/>
    <w:rsid w:val="00376535"/>
    <w:rsid w:val="003765CD"/>
    <w:rsid w:val="00377426"/>
    <w:rsid w:val="00377C73"/>
    <w:rsid w:val="00377D0D"/>
    <w:rsid w:val="00381F50"/>
    <w:rsid w:val="0038217B"/>
    <w:rsid w:val="0038224D"/>
    <w:rsid w:val="00382866"/>
    <w:rsid w:val="00382D7D"/>
    <w:rsid w:val="00382DAF"/>
    <w:rsid w:val="00383C9F"/>
    <w:rsid w:val="0038419C"/>
    <w:rsid w:val="00384E31"/>
    <w:rsid w:val="00385644"/>
    <w:rsid w:val="0038571A"/>
    <w:rsid w:val="00385A59"/>
    <w:rsid w:val="0038635F"/>
    <w:rsid w:val="00386CA0"/>
    <w:rsid w:val="003902F6"/>
    <w:rsid w:val="00390B0F"/>
    <w:rsid w:val="0039238A"/>
    <w:rsid w:val="0039346B"/>
    <w:rsid w:val="003A11A8"/>
    <w:rsid w:val="003A1AA9"/>
    <w:rsid w:val="003A1E8A"/>
    <w:rsid w:val="003A28B9"/>
    <w:rsid w:val="003A3B76"/>
    <w:rsid w:val="003A4636"/>
    <w:rsid w:val="003A5CE2"/>
    <w:rsid w:val="003A60D6"/>
    <w:rsid w:val="003A74DD"/>
    <w:rsid w:val="003A7C53"/>
    <w:rsid w:val="003B1154"/>
    <w:rsid w:val="003B1748"/>
    <w:rsid w:val="003B2CFE"/>
    <w:rsid w:val="003B32AC"/>
    <w:rsid w:val="003B33AE"/>
    <w:rsid w:val="003B384A"/>
    <w:rsid w:val="003B4046"/>
    <w:rsid w:val="003B4759"/>
    <w:rsid w:val="003B4D48"/>
    <w:rsid w:val="003B5E9D"/>
    <w:rsid w:val="003B77DD"/>
    <w:rsid w:val="003C1279"/>
    <w:rsid w:val="003C1699"/>
    <w:rsid w:val="003C1B33"/>
    <w:rsid w:val="003C2CEE"/>
    <w:rsid w:val="003C3359"/>
    <w:rsid w:val="003C3995"/>
    <w:rsid w:val="003C3A71"/>
    <w:rsid w:val="003C3EFD"/>
    <w:rsid w:val="003C5619"/>
    <w:rsid w:val="003C62EA"/>
    <w:rsid w:val="003C685A"/>
    <w:rsid w:val="003D0992"/>
    <w:rsid w:val="003D176B"/>
    <w:rsid w:val="003D1F45"/>
    <w:rsid w:val="003D4F12"/>
    <w:rsid w:val="003D5B07"/>
    <w:rsid w:val="003D5CE5"/>
    <w:rsid w:val="003D6593"/>
    <w:rsid w:val="003D708A"/>
    <w:rsid w:val="003E403C"/>
    <w:rsid w:val="003E5548"/>
    <w:rsid w:val="003E5E42"/>
    <w:rsid w:val="003E5E95"/>
    <w:rsid w:val="003E699F"/>
    <w:rsid w:val="003E7143"/>
    <w:rsid w:val="003E7D2B"/>
    <w:rsid w:val="003F1449"/>
    <w:rsid w:val="003F1887"/>
    <w:rsid w:val="003F2CFF"/>
    <w:rsid w:val="003F3F4F"/>
    <w:rsid w:val="003F4B40"/>
    <w:rsid w:val="003F58B2"/>
    <w:rsid w:val="003F5BC7"/>
    <w:rsid w:val="003F6852"/>
    <w:rsid w:val="003F68ED"/>
    <w:rsid w:val="003F72FF"/>
    <w:rsid w:val="003F74E7"/>
    <w:rsid w:val="004003B5"/>
    <w:rsid w:val="004003CD"/>
    <w:rsid w:val="0040069D"/>
    <w:rsid w:val="00401175"/>
    <w:rsid w:val="0040154D"/>
    <w:rsid w:val="004015FC"/>
    <w:rsid w:val="004022BE"/>
    <w:rsid w:val="004033C7"/>
    <w:rsid w:val="004034A2"/>
    <w:rsid w:val="00403A1A"/>
    <w:rsid w:val="00403B67"/>
    <w:rsid w:val="0040799A"/>
    <w:rsid w:val="00410D92"/>
    <w:rsid w:val="00411C41"/>
    <w:rsid w:val="00413427"/>
    <w:rsid w:val="0041385D"/>
    <w:rsid w:val="00413DD3"/>
    <w:rsid w:val="004142EA"/>
    <w:rsid w:val="004147D2"/>
    <w:rsid w:val="004157DD"/>
    <w:rsid w:val="00415899"/>
    <w:rsid w:val="00415F8D"/>
    <w:rsid w:val="00417C6C"/>
    <w:rsid w:val="00417EF8"/>
    <w:rsid w:val="004201DA"/>
    <w:rsid w:val="004208D9"/>
    <w:rsid w:val="004226FB"/>
    <w:rsid w:val="00422860"/>
    <w:rsid w:val="004229E2"/>
    <w:rsid w:val="00423956"/>
    <w:rsid w:val="00423D0E"/>
    <w:rsid w:val="0042475A"/>
    <w:rsid w:val="00424DA4"/>
    <w:rsid w:val="00425244"/>
    <w:rsid w:val="00425B08"/>
    <w:rsid w:val="00427712"/>
    <w:rsid w:val="004277C4"/>
    <w:rsid w:val="004310D5"/>
    <w:rsid w:val="00432125"/>
    <w:rsid w:val="00432336"/>
    <w:rsid w:val="00432D6D"/>
    <w:rsid w:val="0043306F"/>
    <w:rsid w:val="00433937"/>
    <w:rsid w:val="00433F46"/>
    <w:rsid w:val="004340C0"/>
    <w:rsid w:val="0043441C"/>
    <w:rsid w:val="00436B7D"/>
    <w:rsid w:val="00436EDE"/>
    <w:rsid w:val="00437C27"/>
    <w:rsid w:val="00440017"/>
    <w:rsid w:val="004409F8"/>
    <w:rsid w:val="00442474"/>
    <w:rsid w:val="0044361E"/>
    <w:rsid w:val="0044551D"/>
    <w:rsid w:val="004456A2"/>
    <w:rsid w:val="004475EF"/>
    <w:rsid w:val="0045181E"/>
    <w:rsid w:val="00451A66"/>
    <w:rsid w:val="00452384"/>
    <w:rsid w:val="00454511"/>
    <w:rsid w:val="0045455C"/>
    <w:rsid w:val="00455495"/>
    <w:rsid w:val="0045590E"/>
    <w:rsid w:val="00455AB6"/>
    <w:rsid w:val="004601E8"/>
    <w:rsid w:val="00460E82"/>
    <w:rsid w:val="00462F7A"/>
    <w:rsid w:val="00463273"/>
    <w:rsid w:val="004632FE"/>
    <w:rsid w:val="00464977"/>
    <w:rsid w:val="00467EF8"/>
    <w:rsid w:val="004721D1"/>
    <w:rsid w:val="00473ED8"/>
    <w:rsid w:val="004743EC"/>
    <w:rsid w:val="00474902"/>
    <w:rsid w:val="00474A6F"/>
    <w:rsid w:val="00474DEB"/>
    <w:rsid w:val="00474E52"/>
    <w:rsid w:val="0047518E"/>
    <w:rsid w:val="00475385"/>
    <w:rsid w:val="00475584"/>
    <w:rsid w:val="0047562B"/>
    <w:rsid w:val="00475EA5"/>
    <w:rsid w:val="00477E45"/>
    <w:rsid w:val="00480F25"/>
    <w:rsid w:val="004820E0"/>
    <w:rsid w:val="00483196"/>
    <w:rsid w:val="0048396B"/>
    <w:rsid w:val="00483A47"/>
    <w:rsid w:val="00485174"/>
    <w:rsid w:val="00486112"/>
    <w:rsid w:val="00486BEF"/>
    <w:rsid w:val="00487A24"/>
    <w:rsid w:val="00487CDA"/>
    <w:rsid w:val="0049190F"/>
    <w:rsid w:val="0049288E"/>
    <w:rsid w:val="004933B1"/>
    <w:rsid w:val="00493A7D"/>
    <w:rsid w:val="00494151"/>
    <w:rsid w:val="00494425"/>
    <w:rsid w:val="00494898"/>
    <w:rsid w:val="00496DA3"/>
    <w:rsid w:val="00497193"/>
    <w:rsid w:val="004973BF"/>
    <w:rsid w:val="00497570"/>
    <w:rsid w:val="004977E9"/>
    <w:rsid w:val="004978F0"/>
    <w:rsid w:val="004A0052"/>
    <w:rsid w:val="004A00E8"/>
    <w:rsid w:val="004A0546"/>
    <w:rsid w:val="004A1198"/>
    <w:rsid w:val="004A1C4B"/>
    <w:rsid w:val="004A263F"/>
    <w:rsid w:val="004A2AAD"/>
    <w:rsid w:val="004A5371"/>
    <w:rsid w:val="004A6324"/>
    <w:rsid w:val="004A7625"/>
    <w:rsid w:val="004A7957"/>
    <w:rsid w:val="004B063D"/>
    <w:rsid w:val="004B1497"/>
    <w:rsid w:val="004B1A5F"/>
    <w:rsid w:val="004B333F"/>
    <w:rsid w:val="004B3ABF"/>
    <w:rsid w:val="004B3E26"/>
    <w:rsid w:val="004B3EC3"/>
    <w:rsid w:val="004B4BC7"/>
    <w:rsid w:val="004B58ED"/>
    <w:rsid w:val="004B6CA6"/>
    <w:rsid w:val="004B6F67"/>
    <w:rsid w:val="004B7158"/>
    <w:rsid w:val="004B7FE0"/>
    <w:rsid w:val="004C17DA"/>
    <w:rsid w:val="004C18ED"/>
    <w:rsid w:val="004C1FC5"/>
    <w:rsid w:val="004C2527"/>
    <w:rsid w:val="004C2A6E"/>
    <w:rsid w:val="004C7C60"/>
    <w:rsid w:val="004D009E"/>
    <w:rsid w:val="004D122D"/>
    <w:rsid w:val="004D179E"/>
    <w:rsid w:val="004D18C8"/>
    <w:rsid w:val="004D2273"/>
    <w:rsid w:val="004D2C05"/>
    <w:rsid w:val="004D58CA"/>
    <w:rsid w:val="004D6362"/>
    <w:rsid w:val="004D6AA8"/>
    <w:rsid w:val="004D7DFD"/>
    <w:rsid w:val="004E0AD2"/>
    <w:rsid w:val="004E14CD"/>
    <w:rsid w:val="004E1A74"/>
    <w:rsid w:val="004E257E"/>
    <w:rsid w:val="004E5160"/>
    <w:rsid w:val="004E5882"/>
    <w:rsid w:val="004E5DCD"/>
    <w:rsid w:val="004E6D73"/>
    <w:rsid w:val="004E732A"/>
    <w:rsid w:val="004F23DB"/>
    <w:rsid w:val="004F4C18"/>
    <w:rsid w:val="004F6A42"/>
    <w:rsid w:val="00500583"/>
    <w:rsid w:val="005016D9"/>
    <w:rsid w:val="00502629"/>
    <w:rsid w:val="005050F9"/>
    <w:rsid w:val="005055A6"/>
    <w:rsid w:val="00507EC5"/>
    <w:rsid w:val="0051063F"/>
    <w:rsid w:val="00511C18"/>
    <w:rsid w:val="00511E2C"/>
    <w:rsid w:val="00511E5B"/>
    <w:rsid w:val="00512D74"/>
    <w:rsid w:val="0051398C"/>
    <w:rsid w:val="00513CBD"/>
    <w:rsid w:val="00514A51"/>
    <w:rsid w:val="005157FE"/>
    <w:rsid w:val="00516460"/>
    <w:rsid w:val="00522664"/>
    <w:rsid w:val="00522DAF"/>
    <w:rsid w:val="00523C86"/>
    <w:rsid w:val="005254A2"/>
    <w:rsid w:val="00525E4A"/>
    <w:rsid w:val="00526B4F"/>
    <w:rsid w:val="00531C5D"/>
    <w:rsid w:val="00531FF4"/>
    <w:rsid w:val="00535348"/>
    <w:rsid w:val="00537C42"/>
    <w:rsid w:val="00541231"/>
    <w:rsid w:val="00542B29"/>
    <w:rsid w:val="0054420A"/>
    <w:rsid w:val="00544FC5"/>
    <w:rsid w:val="0054569E"/>
    <w:rsid w:val="00546C36"/>
    <w:rsid w:val="00550CAD"/>
    <w:rsid w:val="005513BE"/>
    <w:rsid w:val="0055311C"/>
    <w:rsid w:val="005542FA"/>
    <w:rsid w:val="00554468"/>
    <w:rsid w:val="0055523F"/>
    <w:rsid w:val="0055607B"/>
    <w:rsid w:val="005561DD"/>
    <w:rsid w:val="00557A3B"/>
    <w:rsid w:val="00561F6F"/>
    <w:rsid w:val="00562889"/>
    <w:rsid w:val="00562CF4"/>
    <w:rsid w:val="00562EFA"/>
    <w:rsid w:val="00564493"/>
    <w:rsid w:val="005645D3"/>
    <w:rsid w:val="00564892"/>
    <w:rsid w:val="005649ED"/>
    <w:rsid w:val="00565A0A"/>
    <w:rsid w:val="00566065"/>
    <w:rsid w:val="00566B2A"/>
    <w:rsid w:val="00566CBB"/>
    <w:rsid w:val="00567209"/>
    <w:rsid w:val="00571D35"/>
    <w:rsid w:val="0057360A"/>
    <w:rsid w:val="0057433D"/>
    <w:rsid w:val="00580002"/>
    <w:rsid w:val="005845B2"/>
    <w:rsid w:val="00585EFE"/>
    <w:rsid w:val="00586977"/>
    <w:rsid w:val="00587496"/>
    <w:rsid w:val="00590EE0"/>
    <w:rsid w:val="0059107E"/>
    <w:rsid w:val="0059135D"/>
    <w:rsid w:val="00591764"/>
    <w:rsid w:val="0059184F"/>
    <w:rsid w:val="00593EBE"/>
    <w:rsid w:val="00594A31"/>
    <w:rsid w:val="0059708D"/>
    <w:rsid w:val="005A0979"/>
    <w:rsid w:val="005A0A6C"/>
    <w:rsid w:val="005A18A4"/>
    <w:rsid w:val="005A2F1D"/>
    <w:rsid w:val="005A396B"/>
    <w:rsid w:val="005A3A2C"/>
    <w:rsid w:val="005A403C"/>
    <w:rsid w:val="005A4829"/>
    <w:rsid w:val="005A5C3F"/>
    <w:rsid w:val="005A6846"/>
    <w:rsid w:val="005A7A70"/>
    <w:rsid w:val="005B0388"/>
    <w:rsid w:val="005B1105"/>
    <w:rsid w:val="005B1829"/>
    <w:rsid w:val="005B1E52"/>
    <w:rsid w:val="005B3B5D"/>
    <w:rsid w:val="005B3E2A"/>
    <w:rsid w:val="005B4230"/>
    <w:rsid w:val="005B545C"/>
    <w:rsid w:val="005B5A69"/>
    <w:rsid w:val="005B5D00"/>
    <w:rsid w:val="005B7390"/>
    <w:rsid w:val="005B7F0B"/>
    <w:rsid w:val="005C1D89"/>
    <w:rsid w:val="005C1EEF"/>
    <w:rsid w:val="005C4345"/>
    <w:rsid w:val="005C5351"/>
    <w:rsid w:val="005C5D8E"/>
    <w:rsid w:val="005C6C44"/>
    <w:rsid w:val="005D11E0"/>
    <w:rsid w:val="005D2500"/>
    <w:rsid w:val="005D2F52"/>
    <w:rsid w:val="005D374F"/>
    <w:rsid w:val="005D3FAC"/>
    <w:rsid w:val="005D4D50"/>
    <w:rsid w:val="005D6669"/>
    <w:rsid w:val="005D7D92"/>
    <w:rsid w:val="005E010C"/>
    <w:rsid w:val="005E117E"/>
    <w:rsid w:val="005E12B4"/>
    <w:rsid w:val="005E1ED6"/>
    <w:rsid w:val="005E1F08"/>
    <w:rsid w:val="005E480A"/>
    <w:rsid w:val="005E6230"/>
    <w:rsid w:val="005E6300"/>
    <w:rsid w:val="005E7B12"/>
    <w:rsid w:val="005F1594"/>
    <w:rsid w:val="005F2EC0"/>
    <w:rsid w:val="005F395F"/>
    <w:rsid w:val="005F5262"/>
    <w:rsid w:val="005F56F9"/>
    <w:rsid w:val="005F65A7"/>
    <w:rsid w:val="005F7319"/>
    <w:rsid w:val="005F7A3B"/>
    <w:rsid w:val="0060031C"/>
    <w:rsid w:val="00600CB0"/>
    <w:rsid w:val="00600DF2"/>
    <w:rsid w:val="00601283"/>
    <w:rsid w:val="006016E0"/>
    <w:rsid w:val="0060321F"/>
    <w:rsid w:val="0060349D"/>
    <w:rsid w:val="00603FCC"/>
    <w:rsid w:val="0060469C"/>
    <w:rsid w:val="00604CE1"/>
    <w:rsid w:val="006107BA"/>
    <w:rsid w:val="00611BA8"/>
    <w:rsid w:val="00613229"/>
    <w:rsid w:val="006133BE"/>
    <w:rsid w:val="0061664B"/>
    <w:rsid w:val="0061668F"/>
    <w:rsid w:val="00616AB8"/>
    <w:rsid w:val="00616EC6"/>
    <w:rsid w:val="006208FB"/>
    <w:rsid w:val="00630556"/>
    <w:rsid w:val="00630A11"/>
    <w:rsid w:val="00631F8E"/>
    <w:rsid w:val="0063326D"/>
    <w:rsid w:val="00633D01"/>
    <w:rsid w:val="006341BD"/>
    <w:rsid w:val="00634F39"/>
    <w:rsid w:val="006368E9"/>
    <w:rsid w:val="00636C1F"/>
    <w:rsid w:val="00636F4A"/>
    <w:rsid w:val="0064056F"/>
    <w:rsid w:val="006427DF"/>
    <w:rsid w:val="006428A4"/>
    <w:rsid w:val="00643D90"/>
    <w:rsid w:val="00643FF4"/>
    <w:rsid w:val="006446D8"/>
    <w:rsid w:val="00644CF0"/>
    <w:rsid w:val="006456C7"/>
    <w:rsid w:val="0064792C"/>
    <w:rsid w:val="00650540"/>
    <w:rsid w:val="00650AE3"/>
    <w:rsid w:val="00651075"/>
    <w:rsid w:val="00652337"/>
    <w:rsid w:val="00652479"/>
    <w:rsid w:val="00652988"/>
    <w:rsid w:val="00652E38"/>
    <w:rsid w:val="00652F02"/>
    <w:rsid w:val="00653AE9"/>
    <w:rsid w:val="00653F06"/>
    <w:rsid w:val="00653FC4"/>
    <w:rsid w:val="00654717"/>
    <w:rsid w:val="006555B1"/>
    <w:rsid w:val="006558D7"/>
    <w:rsid w:val="00655CB3"/>
    <w:rsid w:val="00657D82"/>
    <w:rsid w:val="00663720"/>
    <w:rsid w:val="0066444D"/>
    <w:rsid w:val="006661A4"/>
    <w:rsid w:val="00666BB9"/>
    <w:rsid w:val="0066764A"/>
    <w:rsid w:val="006703F2"/>
    <w:rsid w:val="00672051"/>
    <w:rsid w:val="0067208C"/>
    <w:rsid w:val="00673040"/>
    <w:rsid w:val="00674E89"/>
    <w:rsid w:val="00675735"/>
    <w:rsid w:val="00675E52"/>
    <w:rsid w:val="00675EB2"/>
    <w:rsid w:val="006773EA"/>
    <w:rsid w:val="00680027"/>
    <w:rsid w:val="006800A2"/>
    <w:rsid w:val="006802EF"/>
    <w:rsid w:val="0068039E"/>
    <w:rsid w:val="00680880"/>
    <w:rsid w:val="00680CC4"/>
    <w:rsid w:val="00680EEC"/>
    <w:rsid w:val="00681DDE"/>
    <w:rsid w:val="00682470"/>
    <w:rsid w:val="00682B85"/>
    <w:rsid w:val="00682C51"/>
    <w:rsid w:val="0068314B"/>
    <w:rsid w:val="0068367F"/>
    <w:rsid w:val="00683AB9"/>
    <w:rsid w:val="006848C0"/>
    <w:rsid w:val="00685100"/>
    <w:rsid w:val="006854D8"/>
    <w:rsid w:val="00687999"/>
    <w:rsid w:val="00687D9D"/>
    <w:rsid w:val="0069068D"/>
    <w:rsid w:val="00692295"/>
    <w:rsid w:val="0069313A"/>
    <w:rsid w:val="00694CB8"/>
    <w:rsid w:val="00695379"/>
    <w:rsid w:val="00695B8C"/>
    <w:rsid w:val="00696EEA"/>
    <w:rsid w:val="00697673"/>
    <w:rsid w:val="006979BE"/>
    <w:rsid w:val="006A0B45"/>
    <w:rsid w:val="006A1617"/>
    <w:rsid w:val="006A1D96"/>
    <w:rsid w:val="006A3DC1"/>
    <w:rsid w:val="006A4A02"/>
    <w:rsid w:val="006A4EB8"/>
    <w:rsid w:val="006A5644"/>
    <w:rsid w:val="006A6605"/>
    <w:rsid w:val="006A6D56"/>
    <w:rsid w:val="006A71EB"/>
    <w:rsid w:val="006A7D23"/>
    <w:rsid w:val="006B0E0A"/>
    <w:rsid w:val="006B2CAB"/>
    <w:rsid w:val="006B3164"/>
    <w:rsid w:val="006B3E5C"/>
    <w:rsid w:val="006B4CE0"/>
    <w:rsid w:val="006C02AB"/>
    <w:rsid w:val="006C0C8B"/>
    <w:rsid w:val="006C0E3B"/>
    <w:rsid w:val="006C1D26"/>
    <w:rsid w:val="006C1DCD"/>
    <w:rsid w:val="006C23C3"/>
    <w:rsid w:val="006C32BC"/>
    <w:rsid w:val="006C399C"/>
    <w:rsid w:val="006C4663"/>
    <w:rsid w:val="006C4B62"/>
    <w:rsid w:val="006C4EC2"/>
    <w:rsid w:val="006C54A1"/>
    <w:rsid w:val="006C5AE0"/>
    <w:rsid w:val="006C6217"/>
    <w:rsid w:val="006C68EC"/>
    <w:rsid w:val="006C75F2"/>
    <w:rsid w:val="006C7A50"/>
    <w:rsid w:val="006D0153"/>
    <w:rsid w:val="006D3135"/>
    <w:rsid w:val="006D35A9"/>
    <w:rsid w:val="006D42FA"/>
    <w:rsid w:val="006D4D44"/>
    <w:rsid w:val="006D68D4"/>
    <w:rsid w:val="006D6CF2"/>
    <w:rsid w:val="006D7125"/>
    <w:rsid w:val="006D73A6"/>
    <w:rsid w:val="006D750D"/>
    <w:rsid w:val="006E016E"/>
    <w:rsid w:val="006E21E0"/>
    <w:rsid w:val="006E2EE4"/>
    <w:rsid w:val="006E2F2B"/>
    <w:rsid w:val="006E32AD"/>
    <w:rsid w:val="006E3605"/>
    <w:rsid w:val="006E49DC"/>
    <w:rsid w:val="006E4BF8"/>
    <w:rsid w:val="006E6A42"/>
    <w:rsid w:val="006E72EC"/>
    <w:rsid w:val="006F1824"/>
    <w:rsid w:val="006F1A60"/>
    <w:rsid w:val="006F1E9B"/>
    <w:rsid w:val="006F3DDE"/>
    <w:rsid w:val="006F3F11"/>
    <w:rsid w:val="006F5281"/>
    <w:rsid w:val="006F545C"/>
    <w:rsid w:val="006F5751"/>
    <w:rsid w:val="006F7A65"/>
    <w:rsid w:val="006F7B0F"/>
    <w:rsid w:val="00700BB9"/>
    <w:rsid w:val="00701E8B"/>
    <w:rsid w:val="00702B2A"/>
    <w:rsid w:val="00704E9F"/>
    <w:rsid w:val="007070E3"/>
    <w:rsid w:val="00707471"/>
    <w:rsid w:val="00707B51"/>
    <w:rsid w:val="007101F0"/>
    <w:rsid w:val="0071049F"/>
    <w:rsid w:val="00711E49"/>
    <w:rsid w:val="00713090"/>
    <w:rsid w:val="00713C99"/>
    <w:rsid w:val="00714EED"/>
    <w:rsid w:val="00714F7C"/>
    <w:rsid w:val="007202C0"/>
    <w:rsid w:val="00720780"/>
    <w:rsid w:val="00722521"/>
    <w:rsid w:val="007239FB"/>
    <w:rsid w:val="00725B57"/>
    <w:rsid w:val="0073044C"/>
    <w:rsid w:val="00731516"/>
    <w:rsid w:val="007316BF"/>
    <w:rsid w:val="00731832"/>
    <w:rsid w:val="00733ED3"/>
    <w:rsid w:val="00736602"/>
    <w:rsid w:val="007367A9"/>
    <w:rsid w:val="00736ECE"/>
    <w:rsid w:val="00736EF9"/>
    <w:rsid w:val="00737BC7"/>
    <w:rsid w:val="007440E6"/>
    <w:rsid w:val="007445DB"/>
    <w:rsid w:val="0074576B"/>
    <w:rsid w:val="00745978"/>
    <w:rsid w:val="00747DE0"/>
    <w:rsid w:val="00750C14"/>
    <w:rsid w:val="00750E6B"/>
    <w:rsid w:val="00751BD7"/>
    <w:rsid w:val="00752553"/>
    <w:rsid w:val="007537EF"/>
    <w:rsid w:val="00753CD1"/>
    <w:rsid w:val="00754FAD"/>
    <w:rsid w:val="00755906"/>
    <w:rsid w:val="00755DAC"/>
    <w:rsid w:val="00755EB8"/>
    <w:rsid w:val="0075613F"/>
    <w:rsid w:val="00756B2B"/>
    <w:rsid w:val="00757139"/>
    <w:rsid w:val="0076003A"/>
    <w:rsid w:val="0076035A"/>
    <w:rsid w:val="00760682"/>
    <w:rsid w:val="00761128"/>
    <w:rsid w:val="007613AA"/>
    <w:rsid w:val="007615A8"/>
    <w:rsid w:val="00761E7F"/>
    <w:rsid w:val="00762005"/>
    <w:rsid w:val="007629D1"/>
    <w:rsid w:val="007641FC"/>
    <w:rsid w:val="007650B6"/>
    <w:rsid w:val="00765232"/>
    <w:rsid w:val="007664B3"/>
    <w:rsid w:val="00766536"/>
    <w:rsid w:val="0076701E"/>
    <w:rsid w:val="00767246"/>
    <w:rsid w:val="00767BFB"/>
    <w:rsid w:val="00770AE6"/>
    <w:rsid w:val="00770E19"/>
    <w:rsid w:val="0077586D"/>
    <w:rsid w:val="00781E90"/>
    <w:rsid w:val="00782905"/>
    <w:rsid w:val="007829DF"/>
    <w:rsid w:val="007832E9"/>
    <w:rsid w:val="007843B7"/>
    <w:rsid w:val="00785294"/>
    <w:rsid w:val="007907E0"/>
    <w:rsid w:val="00790D6C"/>
    <w:rsid w:val="00791B25"/>
    <w:rsid w:val="0079204A"/>
    <w:rsid w:val="007927E4"/>
    <w:rsid w:val="00793BD1"/>
    <w:rsid w:val="007943E5"/>
    <w:rsid w:val="007947BB"/>
    <w:rsid w:val="00794D39"/>
    <w:rsid w:val="007950DA"/>
    <w:rsid w:val="0079565F"/>
    <w:rsid w:val="00796514"/>
    <w:rsid w:val="00796AF1"/>
    <w:rsid w:val="00797090"/>
    <w:rsid w:val="007971AC"/>
    <w:rsid w:val="007977A7"/>
    <w:rsid w:val="0079789F"/>
    <w:rsid w:val="007A0D6B"/>
    <w:rsid w:val="007A1958"/>
    <w:rsid w:val="007A1D16"/>
    <w:rsid w:val="007A1EFA"/>
    <w:rsid w:val="007A3869"/>
    <w:rsid w:val="007A4D8F"/>
    <w:rsid w:val="007A53F5"/>
    <w:rsid w:val="007A6128"/>
    <w:rsid w:val="007A7BC3"/>
    <w:rsid w:val="007B08DC"/>
    <w:rsid w:val="007B0C39"/>
    <w:rsid w:val="007B0F8B"/>
    <w:rsid w:val="007B2457"/>
    <w:rsid w:val="007B3339"/>
    <w:rsid w:val="007B33F5"/>
    <w:rsid w:val="007B4895"/>
    <w:rsid w:val="007B4E60"/>
    <w:rsid w:val="007B515B"/>
    <w:rsid w:val="007B5A96"/>
    <w:rsid w:val="007B68A7"/>
    <w:rsid w:val="007B6CD3"/>
    <w:rsid w:val="007C0441"/>
    <w:rsid w:val="007C1E58"/>
    <w:rsid w:val="007C2438"/>
    <w:rsid w:val="007C2F02"/>
    <w:rsid w:val="007C45F6"/>
    <w:rsid w:val="007C6C63"/>
    <w:rsid w:val="007C772E"/>
    <w:rsid w:val="007D0535"/>
    <w:rsid w:val="007D367F"/>
    <w:rsid w:val="007D41A2"/>
    <w:rsid w:val="007D4667"/>
    <w:rsid w:val="007D5273"/>
    <w:rsid w:val="007D5328"/>
    <w:rsid w:val="007D578D"/>
    <w:rsid w:val="007D677C"/>
    <w:rsid w:val="007D7106"/>
    <w:rsid w:val="007E02BC"/>
    <w:rsid w:val="007E0FF7"/>
    <w:rsid w:val="007E18A8"/>
    <w:rsid w:val="007E1FF3"/>
    <w:rsid w:val="007E26C7"/>
    <w:rsid w:val="007E324E"/>
    <w:rsid w:val="007E49E3"/>
    <w:rsid w:val="007E4D36"/>
    <w:rsid w:val="007E5BD5"/>
    <w:rsid w:val="007E5D1E"/>
    <w:rsid w:val="007E5FBE"/>
    <w:rsid w:val="007E60BF"/>
    <w:rsid w:val="007E7604"/>
    <w:rsid w:val="007E7A69"/>
    <w:rsid w:val="007E7B21"/>
    <w:rsid w:val="007E7C90"/>
    <w:rsid w:val="007F001B"/>
    <w:rsid w:val="007F0087"/>
    <w:rsid w:val="007F1272"/>
    <w:rsid w:val="007F13D4"/>
    <w:rsid w:val="007F13DC"/>
    <w:rsid w:val="007F170C"/>
    <w:rsid w:val="007F21A9"/>
    <w:rsid w:val="007F396F"/>
    <w:rsid w:val="007F3A06"/>
    <w:rsid w:val="007F3ED7"/>
    <w:rsid w:val="007F5F50"/>
    <w:rsid w:val="007F66FE"/>
    <w:rsid w:val="00800C1E"/>
    <w:rsid w:val="008013D3"/>
    <w:rsid w:val="0080331E"/>
    <w:rsid w:val="00804177"/>
    <w:rsid w:val="00805498"/>
    <w:rsid w:val="008068A3"/>
    <w:rsid w:val="008074A1"/>
    <w:rsid w:val="0081188E"/>
    <w:rsid w:val="00811F61"/>
    <w:rsid w:val="008120BA"/>
    <w:rsid w:val="008124C6"/>
    <w:rsid w:val="00813DCB"/>
    <w:rsid w:val="008150A4"/>
    <w:rsid w:val="0081622E"/>
    <w:rsid w:val="008208B3"/>
    <w:rsid w:val="008208F2"/>
    <w:rsid w:val="00823323"/>
    <w:rsid w:val="00824195"/>
    <w:rsid w:val="00824C1A"/>
    <w:rsid w:val="00824CB0"/>
    <w:rsid w:val="00825467"/>
    <w:rsid w:val="00826EED"/>
    <w:rsid w:val="00830C31"/>
    <w:rsid w:val="0083135E"/>
    <w:rsid w:val="00831EE5"/>
    <w:rsid w:val="0083220A"/>
    <w:rsid w:val="0083278F"/>
    <w:rsid w:val="0083396D"/>
    <w:rsid w:val="00833E82"/>
    <w:rsid w:val="00834772"/>
    <w:rsid w:val="008349CB"/>
    <w:rsid w:val="00835837"/>
    <w:rsid w:val="00836907"/>
    <w:rsid w:val="00836B51"/>
    <w:rsid w:val="00837C91"/>
    <w:rsid w:val="00842A4C"/>
    <w:rsid w:val="0084335C"/>
    <w:rsid w:val="008441D5"/>
    <w:rsid w:val="00844609"/>
    <w:rsid w:val="008447E5"/>
    <w:rsid w:val="00846820"/>
    <w:rsid w:val="00847CE5"/>
    <w:rsid w:val="0085010A"/>
    <w:rsid w:val="00850495"/>
    <w:rsid w:val="00851557"/>
    <w:rsid w:val="008520A6"/>
    <w:rsid w:val="00852EFD"/>
    <w:rsid w:val="008536DB"/>
    <w:rsid w:val="00853A54"/>
    <w:rsid w:val="00853D3A"/>
    <w:rsid w:val="00854583"/>
    <w:rsid w:val="008553EA"/>
    <w:rsid w:val="00855695"/>
    <w:rsid w:val="00856309"/>
    <w:rsid w:val="00857624"/>
    <w:rsid w:val="00860FA0"/>
    <w:rsid w:val="00861F0D"/>
    <w:rsid w:val="008623E6"/>
    <w:rsid w:val="00863FE1"/>
    <w:rsid w:val="008656C2"/>
    <w:rsid w:val="00866C3D"/>
    <w:rsid w:val="00866C42"/>
    <w:rsid w:val="00866D5B"/>
    <w:rsid w:val="0086780B"/>
    <w:rsid w:val="00872CE0"/>
    <w:rsid w:val="00873414"/>
    <w:rsid w:val="008747CF"/>
    <w:rsid w:val="008805E7"/>
    <w:rsid w:val="008807B6"/>
    <w:rsid w:val="00881113"/>
    <w:rsid w:val="00882B47"/>
    <w:rsid w:val="00883407"/>
    <w:rsid w:val="00883BD8"/>
    <w:rsid w:val="008859AC"/>
    <w:rsid w:val="00885CBF"/>
    <w:rsid w:val="00887B4A"/>
    <w:rsid w:val="00887F44"/>
    <w:rsid w:val="008903D4"/>
    <w:rsid w:val="00892F7A"/>
    <w:rsid w:val="00893F88"/>
    <w:rsid w:val="0089544D"/>
    <w:rsid w:val="00896250"/>
    <w:rsid w:val="00896A01"/>
    <w:rsid w:val="008972F0"/>
    <w:rsid w:val="008A04FC"/>
    <w:rsid w:val="008A0CEB"/>
    <w:rsid w:val="008A312C"/>
    <w:rsid w:val="008A34AE"/>
    <w:rsid w:val="008A3811"/>
    <w:rsid w:val="008A3A32"/>
    <w:rsid w:val="008A610D"/>
    <w:rsid w:val="008A6DB1"/>
    <w:rsid w:val="008A7AA8"/>
    <w:rsid w:val="008A7F0D"/>
    <w:rsid w:val="008B1AB9"/>
    <w:rsid w:val="008B1C6A"/>
    <w:rsid w:val="008B243F"/>
    <w:rsid w:val="008B2EFE"/>
    <w:rsid w:val="008B3C7E"/>
    <w:rsid w:val="008B5B13"/>
    <w:rsid w:val="008B749E"/>
    <w:rsid w:val="008B74AF"/>
    <w:rsid w:val="008B7F06"/>
    <w:rsid w:val="008C0317"/>
    <w:rsid w:val="008C0AB7"/>
    <w:rsid w:val="008C0F22"/>
    <w:rsid w:val="008C24D7"/>
    <w:rsid w:val="008C2EAC"/>
    <w:rsid w:val="008C3DEB"/>
    <w:rsid w:val="008C4238"/>
    <w:rsid w:val="008C54D0"/>
    <w:rsid w:val="008C5917"/>
    <w:rsid w:val="008C603B"/>
    <w:rsid w:val="008C6647"/>
    <w:rsid w:val="008D2C89"/>
    <w:rsid w:val="008D2FB6"/>
    <w:rsid w:val="008D5647"/>
    <w:rsid w:val="008D5D99"/>
    <w:rsid w:val="008D6958"/>
    <w:rsid w:val="008D76BD"/>
    <w:rsid w:val="008E19F1"/>
    <w:rsid w:val="008E2EEB"/>
    <w:rsid w:val="008E32AB"/>
    <w:rsid w:val="008E3540"/>
    <w:rsid w:val="008E4A4A"/>
    <w:rsid w:val="008E4E64"/>
    <w:rsid w:val="008E6122"/>
    <w:rsid w:val="008E727D"/>
    <w:rsid w:val="008F0CB3"/>
    <w:rsid w:val="008F1145"/>
    <w:rsid w:val="008F11CB"/>
    <w:rsid w:val="008F1752"/>
    <w:rsid w:val="008F3897"/>
    <w:rsid w:val="008F3D9A"/>
    <w:rsid w:val="008F521A"/>
    <w:rsid w:val="008F55DE"/>
    <w:rsid w:val="008F5B11"/>
    <w:rsid w:val="008F6B0B"/>
    <w:rsid w:val="008F7FC7"/>
    <w:rsid w:val="009016B2"/>
    <w:rsid w:val="00902BCC"/>
    <w:rsid w:val="00902F6B"/>
    <w:rsid w:val="00904544"/>
    <w:rsid w:val="00904B67"/>
    <w:rsid w:val="0090648F"/>
    <w:rsid w:val="00906CF9"/>
    <w:rsid w:val="00906D78"/>
    <w:rsid w:val="009070CF"/>
    <w:rsid w:val="00907D95"/>
    <w:rsid w:val="00910B2B"/>
    <w:rsid w:val="009111F7"/>
    <w:rsid w:val="00911288"/>
    <w:rsid w:val="00913058"/>
    <w:rsid w:val="0091450F"/>
    <w:rsid w:val="00915464"/>
    <w:rsid w:val="00917595"/>
    <w:rsid w:val="00917E01"/>
    <w:rsid w:val="00920F19"/>
    <w:rsid w:val="00921BA6"/>
    <w:rsid w:val="00923C4C"/>
    <w:rsid w:val="0092759C"/>
    <w:rsid w:val="00931365"/>
    <w:rsid w:val="00931436"/>
    <w:rsid w:val="00932299"/>
    <w:rsid w:val="0093230B"/>
    <w:rsid w:val="009327BB"/>
    <w:rsid w:val="009328EA"/>
    <w:rsid w:val="00933573"/>
    <w:rsid w:val="00934721"/>
    <w:rsid w:val="00935941"/>
    <w:rsid w:val="00936036"/>
    <w:rsid w:val="00936084"/>
    <w:rsid w:val="0093619F"/>
    <w:rsid w:val="00940324"/>
    <w:rsid w:val="00940343"/>
    <w:rsid w:val="009431CE"/>
    <w:rsid w:val="009500AD"/>
    <w:rsid w:val="00951D16"/>
    <w:rsid w:val="00952A37"/>
    <w:rsid w:val="00953453"/>
    <w:rsid w:val="0095360A"/>
    <w:rsid w:val="00954D5E"/>
    <w:rsid w:val="00955FCE"/>
    <w:rsid w:val="0095666B"/>
    <w:rsid w:val="00956CBF"/>
    <w:rsid w:val="00961A68"/>
    <w:rsid w:val="00962073"/>
    <w:rsid w:val="00963DE3"/>
    <w:rsid w:val="00964A1B"/>
    <w:rsid w:val="00965D3C"/>
    <w:rsid w:val="009673AD"/>
    <w:rsid w:val="00970105"/>
    <w:rsid w:val="0097013D"/>
    <w:rsid w:val="009704E8"/>
    <w:rsid w:val="0097209B"/>
    <w:rsid w:val="0097431F"/>
    <w:rsid w:val="009764D6"/>
    <w:rsid w:val="00976ADA"/>
    <w:rsid w:val="00977EA2"/>
    <w:rsid w:val="009815D1"/>
    <w:rsid w:val="00981741"/>
    <w:rsid w:val="009847F2"/>
    <w:rsid w:val="00984A6A"/>
    <w:rsid w:val="00986BB4"/>
    <w:rsid w:val="0099274C"/>
    <w:rsid w:val="009931BD"/>
    <w:rsid w:val="00993E75"/>
    <w:rsid w:val="009942CA"/>
    <w:rsid w:val="00994CC9"/>
    <w:rsid w:val="00995961"/>
    <w:rsid w:val="009961AF"/>
    <w:rsid w:val="0099680A"/>
    <w:rsid w:val="009969DD"/>
    <w:rsid w:val="00997ED7"/>
    <w:rsid w:val="009A15D3"/>
    <w:rsid w:val="009A1805"/>
    <w:rsid w:val="009A1C38"/>
    <w:rsid w:val="009A225E"/>
    <w:rsid w:val="009A2F0C"/>
    <w:rsid w:val="009A30DF"/>
    <w:rsid w:val="009A3936"/>
    <w:rsid w:val="009A411E"/>
    <w:rsid w:val="009A559F"/>
    <w:rsid w:val="009A5AE1"/>
    <w:rsid w:val="009A6286"/>
    <w:rsid w:val="009A6584"/>
    <w:rsid w:val="009A6CCE"/>
    <w:rsid w:val="009B0F91"/>
    <w:rsid w:val="009B229B"/>
    <w:rsid w:val="009B34A3"/>
    <w:rsid w:val="009B5B3E"/>
    <w:rsid w:val="009B7144"/>
    <w:rsid w:val="009C2382"/>
    <w:rsid w:val="009C2BB1"/>
    <w:rsid w:val="009C2BED"/>
    <w:rsid w:val="009C33FD"/>
    <w:rsid w:val="009C3AFE"/>
    <w:rsid w:val="009C3EFF"/>
    <w:rsid w:val="009C5AC9"/>
    <w:rsid w:val="009C63AC"/>
    <w:rsid w:val="009C6566"/>
    <w:rsid w:val="009C662B"/>
    <w:rsid w:val="009C6960"/>
    <w:rsid w:val="009C7733"/>
    <w:rsid w:val="009D0F67"/>
    <w:rsid w:val="009D15A6"/>
    <w:rsid w:val="009D1E8D"/>
    <w:rsid w:val="009D2A0D"/>
    <w:rsid w:val="009D3468"/>
    <w:rsid w:val="009D3B7C"/>
    <w:rsid w:val="009D4A07"/>
    <w:rsid w:val="009D5BE5"/>
    <w:rsid w:val="009D6208"/>
    <w:rsid w:val="009D7932"/>
    <w:rsid w:val="009E085F"/>
    <w:rsid w:val="009E1021"/>
    <w:rsid w:val="009E2807"/>
    <w:rsid w:val="009E6755"/>
    <w:rsid w:val="009E6C19"/>
    <w:rsid w:val="009E7274"/>
    <w:rsid w:val="009F0404"/>
    <w:rsid w:val="009F0D59"/>
    <w:rsid w:val="009F0EF4"/>
    <w:rsid w:val="009F3F85"/>
    <w:rsid w:val="009F64F0"/>
    <w:rsid w:val="009F6D6A"/>
    <w:rsid w:val="00A0128B"/>
    <w:rsid w:val="00A01A99"/>
    <w:rsid w:val="00A05776"/>
    <w:rsid w:val="00A072EA"/>
    <w:rsid w:val="00A10F33"/>
    <w:rsid w:val="00A11DAE"/>
    <w:rsid w:val="00A11FBF"/>
    <w:rsid w:val="00A136B8"/>
    <w:rsid w:val="00A14A23"/>
    <w:rsid w:val="00A157E7"/>
    <w:rsid w:val="00A15EB2"/>
    <w:rsid w:val="00A16D6F"/>
    <w:rsid w:val="00A17118"/>
    <w:rsid w:val="00A17B1D"/>
    <w:rsid w:val="00A20597"/>
    <w:rsid w:val="00A20B7A"/>
    <w:rsid w:val="00A2140E"/>
    <w:rsid w:val="00A216BD"/>
    <w:rsid w:val="00A22AE6"/>
    <w:rsid w:val="00A23C67"/>
    <w:rsid w:val="00A23CD5"/>
    <w:rsid w:val="00A2447B"/>
    <w:rsid w:val="00A24612"/>
    <w:rsid w:val="00A26FED"/>
    <w:rsid w:val="00A2741D"/>
    <w:rsid w:val="00A30801"/>
    <w:rsid w:val="00A31CB9"/>
    <w:rsid w:val="00A32D2B"/>
    <w:rsid w:val="00A33719"/>
    <w:rsid w:val="00A33DAC"/>
    <w:rsid w:val="00A341E5"/>
    <w:rsid w:val="00A348D5"/>
    <w:rsid w:val="00A34A40"/>
    <w:rsid w:val="00A34AED"/>
    <w:rsid w:val="00A34F4B"/>
    <w:rsid w:val="00A36EAF"/>
    <w:rsid w:val="00A37AFC"/>
    <w:rsid w:val="00A40F6D"/>
    <w:rsid w:val="00A43B02"/>
    <w:rsid w:val="00A43BAD"/>
    <w:rsid w:val="00A43BFA"/>
    <w:rsid w:val="00A45341"/>
    <w:rsid w:val="00A468C3"/>
    <w:rsid w:val="00A469EE"/>
    <w:rsid w:val="00A508EB"/>
    <w:rsid w:val="00A50D8A"/>
    <w:rsid w:val="00A511F1"/>
    <w:rsid w:val="00A51714"/>
    <w:rsid w:val="00A52466"/>
    <w:rsid w:val="00A5336A"/>
    <w:rsid w:val="00A550C3"/>
    <w:rsid w:val="00A5591D"/>
    <w:rsid w:val="00A55E52"/>
    <w:rsid w:val="00A55ED9"/>
    <w:rsid w:val="00A621D6"/>
    <w:rsid w:val="00A62D98"/>
    <w:rsid w:val="00A62F2D"/>
    <w:rsid w:val="00A66FFD"/>
    <w:rsid w:val="00A70A3A"/>
    <w:rsid w:val="00A70CFF"/>
    <w:rsid w:val="00A73CBD"/>
    <w:rsid w:val="00A749E5"/>
    <w:rsid w:val="00A74D8C"/>
    <w:rsid w:val="00A74DA7"/>
    <w:rsid w:val="00A755F2"/>
    <w:rsid w:val="00A75BAB"/>
    <w:rsid w:val="00A76DD9"/>
    <w:rsid w:val="00A77071"/>
    <w:rsid w:val="00A77C18"/>
    <w:rsid w:val="00A77CC4"/>
    <w:rsid w:val="00A77CEB"/>
    <w:rsid w:val="00A77E7A"/>
    <w:rsid w:val="00A81E62"/>
    <w:rsid w:val="00A829D2"/>
    <w:rsid w:val="00A83F48"/>
    <w:rsid w:val="00A84CC4"/>
    <w:rsid w:val="00A85534"/>
    <w:rsid w:val="00A85AFE"/>
    <w:rsid w:val="00A87965"/>
    <w:rsid w:val="00A92480"/>
    <w:rsid w:val="00A96FAC"/>
    <w:rsid w:val="00A970C1"/>
    <w:rsid w:val="00A97804"/>
    <w:rsid w:val="00AA0199"/>
    <w:rsid w:val="00AA1013"/>
    <w:rsid w:val="00AA178F"/>
    <w:rsid w:val="00AA19EB"/>
    <w:rsid w:val="00AA2193"/>
    <w:rsid w:val="00AA29D5"/>
    <w:rsid w:val="00AA3559"/>
    <w:rsid w:val="00AA3A39"/>
    <w:rsid w:val="00AA3DB5"/>
    <w:rsid w:val="00AA3E02"/>
    <w:rsid w:val="00AA3EA9"/>
    <w:rsid w:val="00AA52BA"/>
    <w:rsid w:val="00AA5FAE"/>
    <w:rsid w:val="00AA64E1"/>
    <w:rsid w:val="00AB04D7"/>
    <w:rsid w:val="00AB0C1A"/>
    <w:rsid w:val="00AB0FF3"/>
    <w:rsid w:val="00AB196C"/>
    <w:rsid w:val="00AB2F4F"/>
    <w:rsid w:val="00AB43A4"/>
    <w:rsid w:val="00AB5F73"/>
    <w:rsid w:val="00AB65A4"/>
    <w:rsid w:val="00AC01DB"/>
    <w:rsid w:val="00AC0256"/>
    <w:rsid w:val="00AC0D4B"/>
    <w:rsid w:val="00AC1141"/>
    <w:rsid w:val="00AC156E"/>
    <w:rsid w:val="00AC1906"/>
    <w:rsid w:val="00AC3499"/>
    <w:rsid w:val="00AC34AA"/>
    <w:rsid w:val="00AC34CB"/>
    <w:rsid w:val="00AC67AA"/>
    <w:rsid w:val="00AC6B67"/>
    <w:rsid w:val="00AC6D72"/>
    <w:rsid w:val="00AC7E13"/>
    <w:rsid w:val="00AD02A1"/>
    <w:rsid w:val="00AD0502"/>
    <w:rsid w:val="00AD15A5"/>
    <w:rsid w:val="00AD2C6D"/>
    <w:rsid w:val="00AD386D"/>
    <w:rsid w:val="00AD57EE"/>
    <w:rsid w:val="00AE0932"/>
    <w:rsid w:val="00AE1A67"/>
    <w:rsid w:val="00AE410B"/>
    <w:rsid w:val="00AE4259"/>
    <w:rsid w:val="00AE6D6B"/>
    <w:rsid w:val="00AE7CE9"/>
    <w:rsid w:val="00AE7F15"/>
    <w:rsid w:val="00AF23FE"/>
    <w:rsid w:val="00AF3A09"/>
    <w:rsid w:val="00AF3F07"/>
    <w:rsid w:val="00AF44B6"/>
    <w:rsid w:val="00AF5D58"/>
    <w:rsid w:val="00AF7A34"/>
    <w:rsid w:val="00B011FF"/>
    <w:rsid w:val="00B01232"/>
    <w:rsid w:val="00B018B3"/>
    <w:rsid w:val="00B01CBD"/>
    <w:rsid w:val="00B03427"/>
    <w:rsid w:val="00B053E6"/>
    <w:rsid w:val="00B070D6"/>
    <w:rsid w:val="00B10447"/>
    <w:rsid w:val="00B11082"/>
    <w:rsid w:val="00B117E8"/>
    <w:rsid w:val="00B13CDB"/>
    <w:rsid w:val="00B141BF"/>
    <w:rsid w:val="00B159F5"/>
    <w:rsid w:val="00B16982"/>
    <w:rsid w:val="00B16C25"/>
    <w:rsid w:val="00B20DE3"/>
    <w:rsid w:val="00B21C8C"/>
    <w:rsid w:val="00B258A9"/>
    <w:rsid w:val="00B30F78"/>
    <w:rsid w:val="00B3296C"/>
    <w:rsid w:val="00B332F8"/>
    <w:rsid w:val="00B3369C"/>
    <w:rsid w:val="00B351D8"/>
    <w:rsid w:val="00B35329"/>
    <w:rsid w:val="00B3578E"/>
    <w:rsid w:val="00B37280"/>
    <w:rsid w:val="00B40E48"/>
    <w:rsid w:val="00B42C7A"/>
    <w:rsid w:val="00B45894"/>
    <w:rsid w:val="00B45BFC"/>
    <w:rsid w:val="00B46AE5"/>
    <w:rsid w:val="00B46AF2"/>
    <w:rsid w:val="00B47211"/>
    <w:rsid w:val="00B477F3"/>
    <w:rsid w:val="00B479A2"/>
    <w:rsid w:val="00B51282"/>
    <w:rsid w:val="00B51CB7"/>
    <w:rsid w:val="00B51FCA"/>
    <w:rsid w:val="00B5280C"/>
    <w:rsid w:val="00B52940"/>
    <w:rsid w:val="00B5331B"/>
    <w:rsid w:val="00B5392B"/>
    <w:rsid w:val="00B5406C"/>
    <w:rsid w:val="00B54592"/>
    <w:rsid w:val="00B54879"/>
    <w:rsid w:val="00B54C95"/>
    <w:rsid w:val="00B55225"/>
    <w:rsid w:val="00B55C55"/>
    <w:rsid w:val="00B56E1E"/>
    <w:rsid w:val="00B61041"/>
    <w:rsid w:val="00B61D5E"/>
    <w:rsid w:val="00B62BB4"/>
    <w:rsid w:val="00B62D6F"/>
    <w:rsid w:val="00B62EA7"/>
    <w:rsid w:val="00B635A3"/>
    <w:rsid w:val="00B649DA"/>
    <w:rsid w:val="00B66538"/>
    <w:rsid w:val="00B66F07"/>
    <w:rsid w:val="00B7170B"/>
    <w:rsid w:val="00B7177D"/>
    <w:rsid w:val="00B71CE7"/>
    <w:rsid w:val="00B723DD"/>
    <w:rsid w:val="00B723F8"/>
    <w:rsid w:val="00B727D4"/>
    <w:rsid w:val="00B73B0E"/>
    <w:rsid w:val="00B744BA"/>
    <w:rsid w:val="00B74E30"/>
    <w:rsid w:val="00B752E7"/>
    <w:rsid w:val="00B754F7"/>
    <w:rsid w:val="00B75707"/>
    <w:rsid w:val="00B77732"/>
    <w:rsid w:val="00B8034B"/>
    <w:rsid w:val="00B8037A"/>
    <w:rsid w:val="00B82429"/>
    <w:rsid w:val="00B82C14"/>
    <w:rsid w:val="00B83B94"/>
    <w:rsid w:val="00B83E7A"/>
    <w:rsid w:val="00B8440F"/>
    <w:rsid w:val="00B9002D"/>
    <w:rsid w:val="00B9347F"/>
    <w:rsid w:val="00B9366C"/>
    <w:rsid w:val="00B93E02"/>
    <w:rsid w:val="00B94DDB"/>
    <w:rsid w:val="00B964AE"/>
    <w:rsid w:val="00B964E1"/>
    <w:rsid w:val="00B97EDA"/>
    <w:rsid w:val="00BA0493"/>
    <w:rsid w:val="00BA0D7A"/>
    <w:rsid w:val="00BA0FE3"/>
    <w:rsid w:val="00BA18D4"/>
    <w:rsid w:val="00BA1ADB"/>
    <w:rsid w:val="00BA33A9"/>
    <w:rsid w:val="00BA3B19"/>
    <w:rsid w:val="00BA4209"/>
    <w:rsid w:val="00BA4C26"/>
    <w:rsid w:val="00BA53B4"/>
    <w:rsid w:val="00BA5C53"/>
    <w:rsid w:val="00BA5D21"/>
    <w:rsid w:val="00BB4961"/>
    <w:rsid w:val="00BB5975"/>
    <w:rsid w:val="00BB6A1C"/>
    <w:rsid w:val="00BB6DC9"/>
    <w:rsid w:val="00BC1C50"/>
    <w:rsid w:val="00BC1D0C"/>
    <w:rsid w:val="00BC1F99"/>
    <w:rsid w:val="00BC3315"/>
    <w:rsid w:val="00BC41CD"/>
    <w:rsid w:val="00BC4871"/>
    <w:rsid w:val="00BC4D5D"/>
    <w:rsid w:val="00BC54B1"/>
    <w:rsid w:val="00BC5CB3"/>
    <w:rsid w:val="00BC73EC"/>
    <w:rsid w:val="00BC7CD5"/>
    <w:rsid w:val="00BC7E6F"/>
    <w:rsid w:val="00BD064F"/>
    <w:rsid w:val="00BD16E3"/>
    <w:rsid w:val="00BD5896"/>
    <w:rsid w:val="00BD6A2D"/>
    <w:rsid w:val="00BD6D76"/>
    <w:rsid w:val="00BE0DCE"/>
    <w:rsid w:val="00BE200A"/>
    <w:rsid w:val="00BE35A7"/>
    <w:rsid w:val="00BE3786"/>
    <w:rsid w:val="00BE3CCA"/>
    <w:rsid w:val="00BE4155"/>
    <w:rsid w:val="00BE4168"/>
    <w:rsid w:val="00BE55E1"/>
    <w:rsid w:val="00BE6E70"/>
    <w:rsid w:val="00BE6F74"/>
    <w:rsid w:val="00BF0C84"/>
    <w:rsid w:val="00BF1E0F"/>
    <w:rsid w:val="00BF3362"/>
    <w:rsid w:val="00BF398F"/>
    <w:rsid w:val="00BF4212"/>
    <w:rsid w:val="00BF79C9"/>
    <w:rsid w:val="00C01D8E"/>
    <w:rsid w:val="00C02784"/>
    <w:rsid w:val="00C037A8"/>
    <w:rsid w:val="00C044CA"/>
    <w:rsid w:val="00C04A62"/>
    <w:rsid w:val="00C079BF"/>
    <w:rsid w:val="00C10BB9"/>
    <w:rsid w:val="00C11DF3"/>
    <w:rsid w:val="00C134BC"/>
    <w:rsid w:val="00C14C59"/>
    <w:rsid w:val="00C14DB8"/>
    <w:rsid w:val="00C153A8"/>
    <w:rsid w:val="00C15C99"/>
    <w:rsid w:val="00C169AF"/>
    <w:rsid w:val="00C206BA"/>
    <w:rsid w:val="00C208BF"/>
    <w:rsid w:val="00C20D3E"/>
    <w:rsid w:val="00C2119D"/>
    <w:rsid w:val="00C217A7"/>
    <w:rsid w:val="00C219F0"/>
    <w:rsid w:val="00C21D91"/>
    <w:rsid w:val="00C22FB5"/>
    <w:rsid w:val="00C23C59"/>
    <w:rsid w:val="00C24F9D"/>
    <w:rsid w:val="00C255D0"/>
    <w:rsid w:val="00C27898"/>
    <w:rsid w:val="00C311EB"/>
    <w:rsid w:val="00C321D7"/>
    <w:rsid w:val="00C3255D"/>
    <w:rsid w:val="00C348AA"/>
    <w:rsid w:val="00C35111"/>
    <w:rsid w:val="00C35BFF"/>
    <w:rsid w:val="00C35F43"/>
    <w:rsid w:val="00C36BEC"/>
    <w:rsid w:val="00C36F56"/>
    <w:rsid w:val="00C377D8"/>
    <w:rsid w:val="00C37D18"/>
    <w:rsid w:val="00C406AE"/>
    <w:rsid w:val="00C40777"/>
    <w:rsid w:val="00C417A9"/>
    <w:rsid w:val="00C423BA"/>
    <w:rsid w:val="00C42497"/>
    <w:rsid w:val="00C42B59"/>
    <w:rsid w:val="00C42CC1"/>
    <w:rsid w:val="00C43E68"/>
    <w:rsid w:val="00C4573F"/>
    <w:rsid w:val="00C45ACD"/>
    <w:rsid w:val="00C46455"/>
    <w:rsid w:val="00C47A12"/>
    <w:rsid w:val="00C50848"/>
    <w:rsid w:val="00C51498"/>
    <w:rsid w:val="00C51BAF"/>
    <w:rsid w:val="00C51C51"/>
    <w:rsid w:val="00C51EC7"/>
    <w:rsid w:val="00C5243B"/>
    <w:rsid w:val="00C53549"/>
    <w:rsid w:val="00C54204"/>
    <w:rsid w:val="00C54405"/>
    <w:rsid w:val="00C558E6"/>
    <w:rsid w:val="00C56817"/>
    <w:rsid w:val="00C56B2F"/>
    <w:rsid w:val="00C56ED6"/>
    <w:rsid w:val="00C60280"/>
    <w:rsid w:val="00C60C76"/>
    <w:rsid w:val="00C60F26"/>
    <w:rsid w:val="00C623D5"/>
    <w:rsid w:val="00C62A1C"/>
    <w:rsid w:val="00C62C4F"/>
    <w:rsid w:val="00C633AC"/>
    <w:rsid w:val="00C6417C"/>
    <w:rsid w:val="00C65C25"/>
    <w:rsid w:val="00C70E35"/>
    <w:rsid w:val="00C70EB2"/>
    <w:rsid w:val="00C71166"/>
    <w:rsid w:val="00C71788"/>
    <w:rsid w:val="00C71A69"/>
    <w:rsid w:val="00C7326C"/>
    <w:rsid w:val="00C7341E"/>
    <w:rsid w:val="00C73E95"/>
    <w:rsid w:val="00C74517"/>
    <w:rsid w:val="00C74BE1"/>
    <w:rsid w:val="00C768A4"/>
    <w:rsid w:val="00C770CC"/>
    <w:rsid w:val="00C77233"/>
    <w:rsid w:val="00C778A3"/>
    <w:rsid w:val="00C7796A"/>
    <w:rsid w:val="00C80594"/>
    <w:rsid w:val="00C80D1A"/>
    <w:rsid w:val="00C81003"/>
    <w:rsid w:val="00C815BF"/>
    <w:rsid w:val="00C84D6B"/>
    <w:rsid w:val="00C85EE0"/>
    <w:rsid w:val="00C86035"/>
    <w:rsid w:val="00C86060"/>
    <w:rsid w:val="00C86071"/>
    <w:rsid w:val="00C87195"/>
    <w:rsid w:val="00C878EF"/>
    <w:rsid w:val="00C90823"/>
    <w:rsid w:val="00C90C23"/>
    <w:rsid w:val="00C911CD"/>
    <w:rsid w:val="00C926CA"/>
    <w:rsid w:val="00C92787"/>
    <w:rsid w:val="00C93D13"/>
    <w:rsid w:val="00C9413B"/>
    <w:rsid w:val="00C95622"/>
    <w:rsid w:val="00C959A8"/>
    <w:rsid w:val="00C979F9"/>
    <w:rsid w:val="00CA156E"/>
    <w:rsid w:val="00CA15C7"/>
    <w:rsid w:val="00CA3292"/>
    <w:rsid w:val="00CA35F2"/>
    <w:rsid w:val="00CA4768"/>
    <w:rsid w:val="00CA72A0"/>
    <w:rsid w:val="00CB0233"/>
    <w:rsid w:val="00CB033F"/>
    <w:rsid w:val="00CB1B17"/>
    <w:rsid w:val="00CB4200"/>
    <w:rsid w:val="00CB5B2B"/>
    <w:rsid w:val="00CC19FC"/>
    <w:rsid w:val="00CC22E9"/>
    <w:rsid w:val="00CC2980"/>
    <w:rsid w:val="00CC38F8"/>
    <w:rsid w:val="00CC4633"/>
    <w:rsid w:val="00CC658E"/>
    <w:rsid w:val="00CC71FA"/>
    <w:rsid w:val="00CC791C"/>
    <w:rsid w:val="00CD07B0"/>
    <w:rsid w:val="00CD093B"/>
    <w:rsid w:val="00CD0EFF"/>
    <w:rsid w:val="00CD1F51"/>
    <w:rsid w:val="00CE1D95"/>
    <w:rsid w:val="00CE2016"/>
    <w:rsid w:val="00CE25B8"/>
    <w:rsid w:val="00CE2F03"/>
    <w:rsid w:val="00CE43FE"/>
    <w:rsid w:val="00CE67FB"/>
    <w:rsid w:val="00CE6901"/>
    <w:rsid w:val="00CE69EB"/>
    <w:rsid w:val="00CE6A29"/>
    <w:rsid w:val="00CE6AA2"/>
    <w:rsid w:val="00CE74A0"/>
    <w:rsid w:val="00CF67D7"/>
    <w:rsid w:val="00CF68BB"/>
    <w:rsid w:val="00CF747D"/>
    <w:rsid w:val="00CF7D09"/>
    <w:rsid w:val="00D00074"/>
    <w:rsid w:val="00D00320"/>
    <w:rsid w:val="00D004DE"/>
    <w:rsid w:val="00D01BB9"/>
    <w:rsid w:val="00D04804"/>
    <w:rsid w:val="00D04AF9"/>
    <w:rsid w:val="00D05A21"/>
    <w:rsid w:val="00D0722D"/>
    <w:rsid w:val="00D12514"/>
    <w:rsid w:val="00D15F17"/>
    <w:rsid w:val="00D16844"/>
    <w:rsid w:val="00D175E6"/>
    <w:rsid w:val="00D2283F"/>
    <w:rsid w:val="00D2387A"/>
    <w:rsid w:val="00D26582"/>
    <w:rsid w:val="00D26C90"/>
    <w:rsid w:val="00D31E01"/>
    <w:rsid w:val="00D32BC1"/>
    <w:rsid w:val="00D32E09"/>
    <w:rsid w:val="00D3352F"/>
    <w:rsid w:val="00D3366C"/>
    <w:rsid w:val="00D33903"/>
    <w:rsid w:val="00D34EB9"/>
    <w:rsid w:val="00D34F81"/>
    <w:rsid w:val="00D35FEA"/>
    <w:rsid w:val="00D40C43"/>
    <w:rsid w:val="00D40ED4"/>
    <w:rsid w:val="00D4146F"/>
    <w:rsid w:val="00D4338A"/>
    <w:rsid w:val="00D44F64"/>
    <w:rsid w:val="00D473D4"/>
    <w:rsid w:val="00D50168"/>
    <w:rsid w:val="00D50A4B"/>
    <w:rsid w:val="00D50E4D"/>
    <w:rsid w:val="00D528D7"/>
    <w:rsid w:val="00D52F18"/>
    <w:rsid w:val="00D53558"/>
    <w:rsid w:val="00D53788"/>
    <w:rsid w:val="00D54477"/>
    <w:rsid w:val="00D5598F"/>
    <w:rsid w:val="00D55BA0"/>
    <w:rsid w:val="00D56691"/>
    <w:rsid w:val="00D629C4"/>
    <w:rsid w:val="00D6421B"/>
    <w:rsid w:val="00D6601A"/>
    <w:rsid w:val="00D70362"/>
    <w:rsid w:val="00D7279F"/>
    <w:rsid w:val="00D72A76"/>
    <w:rsid w:val="00D733BA"/>
    <w:rsid w:val="00D74322"/>
    <w:rsid w:val="00D74ED1"/>
    <w:rsid w:val="00D75316"/>
    <w:rsid w:val="00D771DD"/>
    <w:rsid w:val="00D82517"/>
    <w:rsid w:val="00D8759C"/>
    <w:rsid w:val="00D907E7"/>
    <w:rsid w:val="00D93E8A"/>
    <w:rsid w:val="00D944E7"/>
    <w:rsid w:val="00D9577C"/>
    <w:rsid w:val="00D95EF5"/>
    <w:rsid w:val="00D96006"/>
    <w:rsid w:val="00D967E6"/>
    <w:rsid w:val="00D96AAC"/>
    <w:rsid w:val="00D96D4D"/>
    <w:rsid w:val="00D976B5"/>
    <w:rsid w:val="00DA1CF6"/>
    <w:rsid w:val="00DA217C"/>
    <w:rsid w:val="00DA27C6"/>
    <w:rsid w:val="00DA3DF8"/>
    <w:rsid w:val="00DA3E5A"/>
    <w:rsid w:val="00DA46EA"/>
    <w:rsid w:val="00DA473D"/>
    <w:rsid w:val="00DA4A26"/>
    <w:rsid w:val="00DA5311"/>
    <w:rsid w:val="00DA5BB9"/>
    <w:rsid w:val="00DA5DE7"/>
    <w:rsid w:val="00DA6FB6"/>
    <w:rsid w:val="00DA7457"/>
    <w:rsid w:val="00DA7874"/>
    <w:rsid w:val="00DB0DC3"/>
    <w:rsid w:val="00DB1D5A"/>
    <w:rsid w:val="00DB1DD6"/>
    <w:rsid w:val="00DB361F"/>
    <w:rsid w:val="00DB4665"/>
    <w:rsid w:val="00DB494C"/>
    <w:rsid w:val="00DB54D4"/>
    <w:rsid w:val="00DB6CB0"/>
    <w:rsid w:val="00DB758D"/>
    <w:rsid w:val="00DB7DF8"/>
    <w:rsid w:val="00DC1093"/>
    <w:rsid w:val="00DC16CA"/>
    <w:rsid w:val="00DC1A00"/>
    <w:rsid w:val="00DC3799"/>
    <w:rsid w:val="00DC38CB"/>
    <w:rsid w:val="00DC3A09"/>
    <w:rsid w:val="00DC3BCC"/>
    <w:rsid w:val="00DC634F"/>
    <w:rsid w:val="00DC663A"/>
    <w:rsid w:val="00DC7754"/>
    <w:rsid w:val="00DC7955"/>
    <w:rsid w:val="00DD0496"/>
    <w:rsid w:val="00DD16EF"/>
    <w:rsid w:val="00DD2166"/>
    <w:rsid w:val="00DD71CA"/>
    <w:rsid w:val="00DD72E5"/>
    <w:rsid w:val="00DE0046"/>
    <w:rsid w:val="00DE11A5"/>
    <w:rsid w:val="00DE1F3F"/>
    <w:rsid w:val="00DE3FE2"/>
    <w:rsid w:val="00DE41AA"/>
    <w:rsid w:val="00DE4E0A"/>
    <w:rsid w:val="00DE5F6D"/>
    <w:rsid w:val="00DE6196"/>
    <w:rsid w:val="00DE63D8"/>
    <w:rsid w:val="00DF1786"/>
    <w:rsid w:val="00DF22EE"/>
    <w:rsid w:val="00DF461B"/>
    <w:rsid w:val="00DF4F9E"/>
    <w:rsid w:val="00DF625A"/>
    <w:rsid w:val="00DF77FD"/>
    <w:rsid w:val="00E00AC5"/>
    <w:rsid w:val="00E00BDE"/>
    <w:rsid w:val="00E0108A"/>
    <w:rsid w:val="00E0238D"/>
    <w:rsid w:val="00E0374D"/>
    <w:rsid w:val="00E03A0F"/>
    <w:rsid w:val="00E0507E"/>
    <w:rsid w:val="00E0635F"/>
    <w:rsid w:val="00E064CF"/>
    <w:rsid w:val="00E06C28"/>
    <w:rsid w:val="00E06CD2"/>
    <w:rsid w:val="00E0779B"/>
    <w:rsid w:val="00E10A26"/>
    <w:rsid w:val="00E10B58"/>
    <w:rsid w:val="00E11185"/>
    <w:rsid w:val="00E11426"/>
    <w:rsid w:val="00E11E1C"/>
    <w:rsid w:val="00E12C6C"/>
    <w:rsid w:val="00E13735"/>
    <w:rsid w:val="00E1568E"/>
    <w:rsid w:val="00E15A14"/>
    <w:rsid w:val="00E15AE5"/>
    <w:rsid w:val="00E15EB4"/>
    <w:rsid w:val="00E17A7C"/>
    <w:rsid w:val="00E20D2A"/>
    <w:rsid w:val="00E20DFA"/>
    <w:rsid w:val="00E212CA"/>
    <w:rsid w:val="00E2158E"/>
    <w:rsid w:val="00E2225F"/>
    <w:rsid w:val="00E240E2"/>
    <w:rsid w:val="00E24701"/>
    <w:rsid w:val="00E26C20"/>
    <w:rsid w:val="00E303ED"/>
    <w:rsid w:val="00E30A71"/>
    <w:rsid w:val="00E30B66"/>
    <w:rsid w:val="00E31E17"/>
    <w:rsid w:val="00E344B6"/>
    <w:rsid w:val="00E34CE2"/>
    <w:rsid w:val="00E350D0"/>
    <w:rsid w:val="00E40489"/>
    <w:rsid w:val="00E41680"/>
    <w:rsid w:val="00E42D80"/>
    <w:rsid w:val="00E42DEB"/>
    <w:rsid w:val="00E43368"/>
    <w:rsid w:val="00E4432B"/>
    <w:rsid w:val="00E44CE0"/>
    <w:rsid w:val="00E4619F"/>
    <w:rsid w:val="00E46221"/>
    <w:rsid w:val="00E46794"/>
    <w:rsid w:val="00E46B62"/>
    <w:rsid w:val="00E476ED"/>
    <w:rsid w:val="00E47B17"/>
    <w:rsid w:val="00E47B2D"/>
    <w:rsid w:val="00E53078"/>
    <w:rsid w:val="00E53AD3"/>
    <w:rsid w:val="00E541D1"/>
    <w:rsid w:val="00E54880"/>
    <w:rsid w:val="00E54EA4"/>
    <w:rsid w:val="00E55650"/>
    <w:rsid w:val="00E55706"/>
    <w:rsid w:val="00E60B6E"/>
    <w:rsid w:val="00E61FA6"/>
    <w:rsid w:val="00E63154"/>
    <w:rsid w:val="00E634EF"/>
    <w:rsid w:val="00E6372D"/>
    <w:rsid w:val="00E63E55"/>
    <w:rsid w:val="00E6536E"/>
    <w:rsid w:val="00E66B2D"/>
    <w:rsid w:val="00E66C26"/>
    <w:rsid w:val="00E66E1A"/>
    <w:rsid w:val="00E66F50"/>
    <w:rsid w:val="00E7073A"/>
    <w:rsid w:val="00E70C2A"/>
    <w:rsid w:val="00E73433"/>
    <w:rsid w:val="00E750BC"/>
    <w:rsid w:val="00E769FE"/>
    <w:rsid w:val="00E82AE8"/>
    <w:rsid w:val="00E82C15"/>
    <w:rsid w:val="00E8423F"/>
    <w:rsid w:val="00E84599"/>
    <w:rsid w:val="00E8561A"/>
    <w:rsid w:val="00E917CA"/>
    <w:rsid w:val="00E91C13"/>
    <w:rsid w:val="00E92611"/>
    <w:rsid w:val="00E92662"/>
    <w:rsid w:val="00E93790"/>
    <w:rsid w:val="00E937CB"/>
    <w:rsid w:val="00E94E91"/>
    <w:rsid w:val="00E978F4"/>
    <w:rsid w:val="00EA09A7"/>
    <w:rsid w:val="00EA229F"/>
    <w:rsid w:val="00EA2579"/>
    <w:rsid w:val="00EA2E4D"/>
    <w:rsid w:val="00EA316C"/>
    <w:rsid w:val="00EA35D8"/>
    <w:rsid w:val="00EA3F40"/>
    <w:rsid w:val="00EA41EA"/>
    <w:rsid w:val="00EA44EC"/>
    <w:rsid w:val="00EA5253"/>
    <w:rsid w:val="00EA5FB0"/>
    <w:rsid w:val="00EA653E"/>
    <w:rsid w:val="00EA6F5A"/>
    <w:rsid w:val="00EB1E85"/>
    <w:rsid w:val="00EB3757"/>
    <w:rsid w:val="00EB47F3"/>
    <w:rsid w:val="00EB48AA"/>
    <w:rsid w:val="00EB508E"/>
    <w:rsid w:val="00EB64FC"/>
    <w:rsid w:val="00EB77EA"/>
    <w:rsid w:val="00EB7EBC"/>
    <w:rsid w:val="00EC0F0D"/>
    <w:rsid w:val="00EC12A8"/>
    <w:rsid w:val="00EC1B09"/>
    <w:rsid w:val="00EC2F64"/>
    <w:rsid w:val="00EC53CC"/>
    <w:rsid w:val="00EC57D6"/>
    <w:rsid w:val="00EC5CAA"/>
    <w:rsid w:val="00ED05B6"/>
    <w:rsid w:val="00ED11A8"/>
    <w:rsid w:val="00ED33A5"/>
    <w:rsid w:val="00ED34C1"/>
    <w:rsid w:val="00ED36FA"/>
    <w:rsid w:val="00ED4F75"/>
    <w:rsid w:val="00ED4F8B"/>
    <w:rsid w:val="00ED51FD"/>
    <w:rsid w:val="00ED66FD"/>
    <w:rsid w:val="00ED6869"/>
    <w:rsid w:val="00EE181E"/>
    <w:rsid w:val="00EE4B26"/>
    <w:rsid w:val="00EE50D3"/>
    <w:rsid w:val="00EE6FB0"/>
    <w:rsid w:val="00EE719A"/>
    <w:rsid w:val="00EF0D3F"/>
    <w:rsid w:val="00EF1F9E"/>
    <w:rsid w:val="00EF429B"/>
    <w:rsid w:val="00EF5D1E"/>
    <w:rsid w:val="00EF6312"/>
    <w:rsid w:val="00EF7184"/>
    <w:rsid w:val="00EF7212"/>
    <w:rsid w:val="00EF7D65"/>
    <w:rsid w:val="00F00B87"/>
    <w:rsid w:val="00F01482"/>
    <w:rsid w:val="00F028F2"/>
    <w:rsid w:val="00F040E0"/>
    <w:rsid w:val="00F0575B"/>
    <w:rsid w:val="00F05D32"/>
    <w:rsid w:val="00F0672D"/>
    <w:rsid w:val="00F06FCC"/>
    <w:rsid w:val="00F10E82"/>
    <w:rsid w:val="00F11682"/>
    <w:rsid w:val="00F11915"/>
    <w:rsid w:val="00F11B03"/>
    <w:rsid w:val="00F12B1B"/>
    <w:rsid w:val="00F1469D"/>
    <w:rsid w:val="00F1553C"/>
    <w:rsid w:val="00F178C9"/>
    <w:rsid w:val="00F21AAB"/>
    <w:rsid w:val="00F22395"/>
    <w:rsid w:val="00F22D95"/>
    <w:rsid w:val="00F23D13"/>
    <w:rsid w:val="00F2439F"/>
    <w:rsid w:val="00F244DF"/>
    <w:rsid w:val="00F25F9D"/>
    <w:rsid w:val="00F2642E"/>
    <w:rsid w:val="00F30AAC"/>
    <w:rsid w:val="00F321FD"/>
    <w:rsid w:val="00F33E1A"/>
    <w:rsid w:val="00F355E6"/>
    <w:rsid w:val="00F35A01"/>
    <w:rsid w:val="00F35E61"/>
    <w:rsid w:val="00F36132"/>
    <w:rsid w:val="00F41620"/>
    <w:rsid w:val="00F42111"/>
    <w:rsid w:val="00F45A20"/>
    <w:rsid w:val="00F46366"/>
    <w:rsid w:val="00F4758E"/>
    <w:rsid w:val="00F5045C"/>
    <w:rsid w:val="00F516FA"/>
    <w:rsid w:val="00F54E7A"/>
    <w:rsid w:val="00F55EA6"/>
    <w:rsid w:val="00F570FF"/>
    <w:rsid w:val="00F57907"/>
    <w:rsid w:val="00F63E30"/>
    <w:rsid w:val="00F65435"/>
    <w:rsid w:val="00F6663B"/>
    <w:rsid w:val="00F66A29"/>
    <w:rsid w:val="00F713EE"/>
    <w:rsid w:val="00F7180E"/>
    <w:rsid w:val="00F72073"/>
    <w:rsid w:val="00F735D5"/>
    <w:rsid w:val="00F74423"/>
    <w:rsid w:val="00F753A8"/>
    <w:rsid w:val="00F75637"/>
    <w:rsid w:val="00F76E49"/>
    <w:rsid w:val="00F7735B"/>
    <w:rsid w:val="00F80E0E"/>
    <w:rsid w:val="00F81C45"/>
    <w:rsid w:val="00F81EA8"/>
    <w:rsid w:val="00F829AD"/>
    <w:rsid w:val="00F830A4"/>
    <w:rsid w:val="00F839A8"/>
    <w:rsid w:val="00F84DB8"/>
    <w:rsid w:val="00F8632C"/>
    <w:rsid w:val="00F87CF8"/>
    <w:rsid w:val="00F91EA9"/>
    <w:rsid w:val="00F938A4"/>
    <w:rsid w:val="00F947DA"/>
    <w:rsid w:val="00F9714F"/>
    <w:rsid w:val="00FA0097"/>
    <w:rsid w:val="00FA07F7"/>
    <w:rsid w:val="00FA0F5B"/>
    <w:rsid w:val="00FA1FE4"/>
    <w:rsid w:val="00FA246B"/>
    <w:rsid w:val="00FA2488"/>
    <w:rsid w:val="00FA422E"/>
    <w:rsid w:val="00FA521A"/>
    <w:rsid w:val="00FA598E"/>
    <w:rsid w:val="00FA65AC"/>
    <w:rsid w:val="00FA72B1"/>
    <w:rsid w:val="00FB0190"/>
    <w:rsid w:val="00FB1C75"/>
    <w:rsid w:val="00FB1E89"/>
    <w:rsid w:val="00FB26B3"/>
    <w:rsid w:val="00FB2F81"/>
    <w:rsid w:val="00FB4270"/>
    <w:rsid w:val="00FB4752"/>
    <w:rsid w:val="00FB62C2"/>
    <w:rsid w:val="00FB69E3"/>
    <w:rsid w:val="00FB789A"/>
    <w:rsid w:val="00FB7965"/>
    <w:rsid w:val="00FC0484"/>
    <w:rsid w:val="00FC059C"/>
    <w:rsid w:val="00FC10F7"/>
    <w:rsid w:val="00FC117B"/>
    <w:rsid w:val="00FC2204"/>
    <w:rsid w:val="00FC2970"/>
    <w:rsid w:val="00FC30DF"/>
    <w:rsid w:val="00FC3A3A"/>
    <w:rsid w:val="00FC5FED"/>
    <w:rsid w:val="00FC6A7B"/>
    <w:rsid w:val="00FD0F8C"/>
    <w:rsid w:val="00FD17C9"/>
    <w:rsid w:val="00FD1AD7"/>
    <w:rsid w:val="00FD229E"/>
    <w:rsid w:val="00FD5C43"/>
    <w:rsid w:val="00FD6F94"/>
    <w:rsid w:val="00FD7DED"/>
    <w:rsid w:val="00FE0AE3"/>
    <w:rsid w:val="00FE53DD"/>
    <w:rsid w:val="00FE5B08"/>
    <w:rsid w:val="00FE5D67"/>
    <w:rsid w:val="00FE6911"/>
    <w:rsid w:val="00FE6EC3"/>
    <w:rsid w:val="00FE714C"/>
    <w:rsid w:val="00FF068B"/>
    <w:rsid w:val="00FF0A98"/>
    <w:rsid w:val="00FF1219"/>
    <w:rsid w:val="00FF1A72"/>
    <w:rsid w:val="00FF2D68"/>
    <w:rsid w:val="00FF5B12"/>
    <w:rsid w:val="00FF7EB1"/>
    <w:rsid w:val="00FF7FE9"/>
    <w:rsid w:val="010D16FA"/>
    <w:rsid w:val="016D1EAA"/>
    <w:rsid w:val="021F7AE1"/>
    <w:rsid w:val="024E3909"/>
    <w:rsid w:val="0252727A"/>
    <w:rsid w:val="027D1EB6"/>
    <w:rsid w:val="02DF7E71"/>
    <w:rsid w:val="03123E66"/>
    <w:rsid w:val="035774F9"/>
    <w:rsid w:val="041724B8"/>
    <w:rsid w:val="043E1044"/>
    <w:rsid w:val="04A84F35"/>
    <w:rsid w:val="05B34C9B"/>
    <w:rsid w:val="064A7EE0"/>
    <w:rsid w:val="075D1C73"/>
    <w:rsid w:val="078E767D"/>
    <w:rsid w:val="07CD5CF5"/>
    <w:rsid w:val="082A7DC1"/>
    <w:rsid w:val="08BD52DF"/>
    <w:rsid w:val="08C157EB"/>
    <w:rsid w:val="09E46C32"/>
    <w:rsid w:val="0A28279C"/>
    <w:rsid w:val="0A6207E7"/>
    <w:rsid w:val="0AB14494"/>
    <w:rsid w:val="0AB24EB1"/>
    <w:rsid w:val="0B440B80"/>
    <w:rsid w:val="0BB7180E"/>
    <w:rsid w:val="0BDB06A4"/>
    <w:rsid w:val="0C266A00"/>
    <w:rsid w:val="0E9B7ADE"/>
    <w:rsid w:val="0EA51655"/>
    <w:rsid w:val="0EE400DE"/>
    <w:rsid w:val="0F827D28"/>
    <w:rsid w:val="10182D1C"/>
    <w:rsid w:val="10212856"/>
    <w:rsid w:val="10B344F4"/>
    <w:rsid w:val="11DE3CDE"/>
    <w:rsid w:val="12FD40AE"/>
    <w:rsid w:val="13194E5D"/>
    <w:rsid w:val="133854A7"/>
    <w:rsid w:val="146525E1"/>
    <w:rsid w:val="149B41F2"/>
    <w:rsid w:val="1530329F"/>
    <w:rsid w:val="1533383D"/>
    <w:rsid w:val="158B7258"/>
    <w:rsid w:val="15BC32E5"/>
    <w:rsid w:val="16366CFF"/>
    <w:rsid w:val="16451EA7"/>
    <w:rsid w:val="186C10D5"/>
    <w:rsid w:val="19797B0E"/>
    <w:rsid w:val="19897BA7"/>
    <w:rsid w:val="19C76437"/>
    <w:rsid w:val="1AC4021E"/>
    <w:rsid w:val="1C5471AE"/>
    <w:rsid w:val="1C5C3199"/>
    <w:rsid w:val="1C816E09"/>
    <w:rsid w:val="1C84748C"/>
    <w:rsid w:val="1CF525E7"/>
    <w:rsid w:val="1DAD4620"/>
    <w:rsid w:val="1DC029F2"/>
    <w:rsid w:val="1E260B4F"/>
    <w:rsid w:val="1EB76DB0"/>
    <w:rsid w:val="1F900179"/>
    <w:rsid w:val="1FBC6370"/>
    <w:rsid w:val="20370EEF"/>
    <w:rsid w:val="209846CB"/>
    <w:rsid w:val="21BE3CA1"/>
    <w:rsid w:val="21DE149C"/>
    <w:rsid w:val="223B58E0"/>
    <w:rsid w:val="22E91D43"/>
    <w:rsid w:val="23780A16"/>
    <w:rsid w:val="24CF6830"/>
    <w:rsid w:val="252D0167"/>
    <w:rsid w:val="256E5D60"/>
    <w:rsid w:val="25FB7E96"/>
    <w:rsid w:val="2633654C"/>
    <w:rsid w:val="26A92767"/>
    <w:rsid w:val="26D02310"/>
    <w:rsid w:val="26D06223"/>
    <w:rsid w:val="26D74AD3"/>
    <w:rsid w:val="274867BC"/>
    <w:rsid w:val="27DC23A3"/>
    <w:rsid w:val="28072A92"/>
    <w:rsid w:val="2A205F01"/>
    <w:rsid w:val="2A35016E"/>
    <w:rsid w:val="2A771C7F"/>
    <w:rsid w:val="2B122A63"/>
    <w:rsid w:val="2C093B57"/>
    <w:rsid w:val="2D3A6515"/>
    <w:rsid w:val="2DFA14C3"/>
    <w:rsid w:val="2E2C2E27"/>
    <w:rsid w:val="2E605594"/>
    <w:rsid w:val="2E8D315C"/>
    <w:rsid w:val="2F2E1761"/>
    <w:rsid w:val="2FA77853"/>
    <w:rsid w:val="305B3D80"/>
    <w:rsid w:val="32B07C6C"/>
    <w:rsid w:val="32C57DE1"/>
    <w:rsid w:val="32D072A2"/>
    <w:rsid w:val="3464395A"/>
    <w:rsid w:val="357C3F07"/>
    <w:rsid w:val="35E107DA"/>
    <w:rsid w:val="36CD62B2"/>
    <w:rsid w:val="3708058D"/>
    <w:rsid w:val="37172A18"/>
    <w:rsid w:val="3729648D"/>
    <w:rsid w:val="37B638E9"/>
    <w:rsid w:val="37E4176D"/>
    <w:rsid w:val="382559AF"/>
    <w:rsid w:val="3869725C"/>
    <w:rsid w:val="38D32983"/>
    <w:rsid w:val="38DA47A4"/>
    <w:rsid w:val="38E422D5"/>
    <w:rsid w:val="39056CE6"/>
    <w:rsid w:val="39406189"/>
    <w:rsid w:val="3A48034A"/>
    <w:rsid w:val="3B607304"/>
    <w:rsid w:val="3C6A6945"/>
    <w:rsid w:val="3CCA6F02"/>
    <w:rsid w:val="3CDF3882"/>
    <w:rsid w:val="3D4040ED"/>
    <w:rsid w:val="3D4E5B70"/>
    <w:rsid w:val="3DC977BA"/>
    <w:rsid w:val="3E91684C"/>
    <w:rsid w:val="3ED00568"/>
    <w:rsid w:val="3EFB08A1"/>
    <w:rsid w:val="3F1867A5"/>
    <w:rsid w:val="3F7E764F"/>
    <w:rsid w:val="3F9D2EA2"/>
    <w:rsid w:val="3FE72D9F"/>
    <w:rsid w:val="402A313D"/>
    <w:rsid w:val="40FA5A9B"/>
    <w:rsid w:val="416F7F58"/>
    <w:rsid w:val="41AF79DB"/>
    <w:rsid w:val="421B74B8"/>
    <w:rsid w:val="42D77C7E"/>
    <w:rsid w:val="42F15661"/>
    <w:rsid w:val="42FE3B4C"/>
    <w:rsid w:val="43523C4E"/>
    <w:rsid w:val="447C36EB"/>
    <w:rsid w:val="45A51BE4"/>
    <w:rsid w:val="46654587"/>
    <w:rsid w:val="47300AE4"/>
    <w:rsid w:val="4775023F"/>
    <w:rsid w:val="481068E9"/>
    <w:rsid w:val="49304C94"/>
    <w:rsid w:val="4A1A6839"/>
    <w:rsid w:val="4BD21146"/>
    <w:rsid w:val="4BDA0841"/>
    <w:rsid w:val="4C5000EC"/>
    <w:rsid w:val="4C5A7491"/>
    <w:rsid w:val="4DA53FF1"/>
    <w:rsid w:val="4E8E2B47"/>
    <w:rsid w:val="4EB86D56"/>
    <w:rsid w:val="4F5A64D6"/>
    <w:rsid w:val="4FAF092B"/>
    <w:rsid w:val="4FC6150D"/>
    <w:rsid w:val="4FD1087E"/>
    <w:rsid w:val="50154E5B"/>
    <w:rsid w:val="50CA219C"/>
    <w:rsid w:val="51563BA1"/>
    <w:rsid w:val="52756E01"/>
    <w:rsid w:val="52F072CD"/>
    <w:rsid w:val="53425EC5"/>
    <w:rsid w:val="540337B6"/>
    <w:rsid w:val="55B66D4E"/>
    <w:rsid w:val="55B675B5"/>
    <w:rsid w:val="56855893"/>
    <w:rsid w:val="5692498B"/>
    <w:rsid w:val="56C03388"/>
    <w:rsid w:val="56FE406E"/>
    <w:rsid w:val="571F0E00"/>
    <w:rsid w:val="576805C1"/>
    <w:rsid w:val="57C54E13"/>
    <w:rsid w:val="588E3ECA"/>
    <w:rsid w:val="594B7A10"/>
    <w:rsid w:val="59871D0F"/>
    <w:rsid w:val="599818DD"/>
    <w:rsid w:val="59EB5796"/>
    <w:rsid w:val="5B926761"/>
    <w:rsid w:val="5B9C5C88"/>
    <w:rsid w:val="5C6D2BCB"/>
    <w:rsid w:val="5CA95EEA"/>
    <w:rsid w:val="5CF20379"/>
    <w:rsid w:val="5CFD5D94"/>
    <w:rsid w:val="5D304DFB"/>
    <w:rsid w:val="5DF4561A"/>
    <w:rsid w:val="5E157955"/>
    <w:rsid w:val="5E37018D"/>
    <w:rsid w:val="5F165D08"/>
    <w:rsid w:val="5F37080A"/>
    <w:rsid w:val="5F6F36D8"/>
    <w:rsid w:val="5F79647D"/>
    <w:rsid w:val="5F855E07"/>
    <w:rsid w:val="5FAB1A34"/>
    <w:rsid w:val="5FB60346"/>
    <w:rsid w:val="5FB76BCE"/>
    <w:rsid w:val="5FB973E0"/>
    <w:rsid w:val="5FCE2712"/>
    <w:rsid w:val="603E2142"/>
    <w:rsid w:val="60871B95"/>
    <w:rsid w:val="60D13ADE"/>
    <w:rsid w:val="613417BF"/>
    <w:rsid w:val="61930302"/>
    <w:rsid w:val="622C5A30"/>
    <w:rsid w:val="62C40080"/>
    <w:rsid w:val="63366B25"/>
    <w:rsid w:val="63501142"/>
    <w:rsid w:val="635B5DA4"/>
    <w:rsid w:val="642A5D8F"/>
    <w:rsid w:val="64670768"/>
    <w:rsid w:val="64EF56A4"/>
    <w:rsid w:val="6643277C"/>
    <w:rsid w:val="66F54605"/>
    <w:rsid w:val="66FC0650"/>
    <w:rsid w:val="674179BD"/>
    <w:rsid w:val="67686434"/>
    <w:rsid w:val="676D0F7C"/>
    <w:rsid w:val="678866AA"/>
    <w:rsid w:val="67AC6A7C"/>
    <w:rsid w:val="67F35907"/>
    <w:rsid w:val="67F41BE0"/>
    <w:rsid w:val="68533D45"/>
    <w:rsid w:val="688A5325"/>
    <w:rsid w:val="69033A2F"/>
    <w:rsid w:val="69770F1E"/>
    <w:rsid w:val="6998693F"/>
    <w:rsid w:val="6B5F2E21"/>
    <w:rsid w:val="6B7B0889"/>
    <w:rsid w:val="6C776C7F"/>
    <w:rsid w:val="6CF5019A"/>
    <w:rsid w:val="6D1E2C7B"/>
    <w:rsid w:val="6D230046"/>
    <w:rsid w:val="6D3E3E0E"/>
    <w:rsid w:val="6D7925CE"/>
    <w:rsid w:val="6D7A12A4"/>
    <w:rsid w:val="6E987E42"/>
    <w:rsid w:val="6EAB79A4"/>
    <w:rsid w:val="6FAE3567"/>
    <w:rsid w:val="6FBB587B"/>
    <w:rsid w:val="704D514D"/>
    <w:rsid w:val="70530D11"/>
    <w:rsid w:val="70804F3B"/>
    <w:rsid w:val="70A31961"/>
    <w:rsid w:val="71D33760"/>
    <w:rsid w:val="722C437D"/>
    <w:rsid w:val="72513319"/>
    <w:rsid w:val="7298516D"/>
    <w:rsid w:val="72B55E47"/>
    <w:rsid w:val="73184539"/>
    <w:rsid w:val="7356215C"/>
    <w:rsid w:val="73CA2D4E"/>
    <w:rsid w:val="745C7EB2"/>
    <w:rsid w:val="74890668"/>
    <w:rsid w:val="760337DE"/>
    <w:rsid w:val="763D5B1A"/>
    <w:rsid w:val="76AE05CB"/>
    <w:rsid w:val="77856155"/>
    <w:rsid w:val="77952362"/>
    <w:rsid w:val="78135FFB"/>
    <w:rsid w:val="784779C1"/>
    <w:rsid w:val="793C691A"/>
    <w:rsid w:val="7A0927BB"/>
    <w:rsid w:val="7A877E1C"/>
    <w:rsid w:val="7AAC06D5"/>
    <w:rsid w:val="7ADF4A2F"/>
    <w:rsid w:val="7BD83280"/>
    <w:rsid w:val="7C04799B"/>
    <w:rsid w:val="7C4B09AB"/>
    <w:rsid w:val="7D89645D"/>
    <w:rsid w:val="7D8B4028"/>
    <w:rsid w:val="7DA25319"/>
    <w:rsid w:val="7DAE4766"/>
    <w:rsid w:val="7DBA0CE6"/>
    <w:rsid w:val="7E195F61"/>
    <w:rsid w:val="7E513129"/>
    <w:rsid w:val="7E8461EB"/>
    <w:rsid w:val="7ECA3967"/>
    <w:rsid w:val="7ED728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next w:val="1"/>
    <w:link w:val="75"/>
    <w:qFormat/>
    <w:uiPriority w:val="99"/>
    <w:pPr>
      <w:keepNext/>
      <w:tabs>
        <w:tab w:val="left" w:pos="3360"/>
      </w:tabs>
      <w:snapToGrid w:val="0"/>
      <w:spacing w:beforeLines="100" w:afterLines="50" w:line="800" w:lineRule="atLeast"/>
      <w:jc w:val="center"/>
      <w:outlineLvl w:val="0"/>
    </w:pPr>
    <w:rPr>
      <w:b/>
      <w:bCs/>
      <w:kern w:val="44"/>
      <w:sz w:val="44"/>
      <w:szCs w:val="44"/>
    </w:rPr>
  </w:style>
  <w:style w:type="paragraph" w:styleId="4">
    <w:name w:val="heading 2"/>
    <w:basedOn w:val="1"/>
    <w:next w:val="1"/>
    <w:link w:val="76"/>
    <w:qFormat/>
    <w:uiPriority w:val="99"/>
    <w:pPr>
      <w:keepNext/>
      <w:keepLines/>
      <w:adjustRightInd w:val="0"/>
      <w:snapToGrid w:val="0"/>
      <w:spacing w:line="360" w:lineRule="auto"/>
      <w:outlineLvl w:val="1"/>
    </w:pPr>
    <w:rPr>
      <w:rFonts w:ascii="宋体"/>
    </w:rPr>
  </w:style>
  <w:style w:type="paragraph" w:styleId="5">
    <w:name w:val="heading 3"/>
    <w:basedOn w:val="1"/>
    <w:next w:val="1"/>
    <w:link w:val="77"/>
    <w:qFormat/>
    <w:uiPriority w:val="99"/>
    <w:pPr>
      <w:keepNext/>
      <w:keepLines/>
      <w:spacing w:before="260" w:after="260" w:line="413" w:lineRule="auto"/>
      <w:jc w:val="center"/>
      <w:outlineLvl w:val="2"/>
    </w:pPr>
    <w:rPr>
      <w:b/>
      <w:bCs/>
      <w:kern w:val="0"/>
      <w:sz w:val="32"/>
      <w:szCs w:val="32"/>
    </w:rPr>
  </w:style>
  <w:style w:type="paragraph" w:styleId="2">
    <w:name w:val="heading 4"/>
    <w:basedOn w:val="1"/>
    <w:next w:val="1"/>
    <w:link w:val="78"/>
    <w:qFormat/>
    <w:uiPriority w:val="99"/>
    <w:pPr>
      <w:keepNext/>
      <w:keepLines/>
      <w:tabs>
        <w:tab w:val="left" w:pos="720"/>
      </w:tabs>
      <w:spacing w:before="560" w:after="290" w:line="377" w:lineRule="auto"/>
      <w:ind w:left="420" w:hanging="420"/>
      <w:outlineLvl w:val="3"/>
    </w:pPr>
    <w:rPr>
      <w:rFonts w:ascii="Cambria" w:hAnsi="Cambria"/>
      <w:b/>
      <w:bCs/>
      <w:kern w:val="0"/>
    </w:rPr>
  </w:style>
  <w:style w:type="paragraph" w:styleId="6">
    <w:name w:val="heading 5"/>
    <w:basedOn w:val="1"/>
    <w:next w:val="1"/>
    <w:link w:val="79"/>
    <w:qFormat/>
    <w:uiPriority w:val="99"/>
    <w:pPr>
      <w:keepNext/>
      <w:keepLines/>
      <w:tabs>
        <w:tab w:val="left" w:pos="2551"/>
      </w:tabs>
      <w:spacing w:before="280" w:after="290" w:line="372" w:lineRule="auto"/>
      <w:ind w:left="2551" w:hanging="850"/>
      <w:outlineLvl w:val="4"/>
    </w:pPr>
    <w:rPr>
      <w:b/>
      <w:bCs/>
      <w:kern w:val="0"/>
    </w:rPr>
  </w:style>
  <w:style w:type="paragraph" w:styleId="7">
    <w:name w:val="heading 6"/>
    <w:basedOn w:val="1"/>
    <w:next w:val="1"/>
    <w:link w:val="80"/>
    <w:qFormat/>
    <w:uiPriority w:val="99"/>
    <w:pPr>
      <w:keepNext/>
      <w:keepLines/>
      <w:tabs>
        <w:tab w:val="left" w:pos="1152"/>
      </w:tabs>
      <w:adjustRightInd w:val="0"/>
      <w:snapToGrid w:val="0"/>
      <w:spacing w:before="240" w:after="64" w:line="317" w:lineRule="auto"/>
      <w:ind w:left="1152" w:hanging="1152"/>
      <w:outlineLvl w:val="5"/>
    </w:pPr>
    <w:rPr>
      <w:rFonts w:ascii="Cambria" w:hAnsi="Cambria"/>
      <w:b/>
      <w:bCs/>
      <w:kern w:val="0"/>
      <w:sz w:val="24"/>
      <w:szCs w:val="24"/>
    </w:rPr>
  </w:style>
  <w:style w:type="paragraph" w:styleId="8">
    <w:name w:val="heading 7"/>
    <w:basedOn w:val="1"/>
    <w:next w:val="1"/>
    <w:link w:val="81"/>
    <w:qFormat/>
    <w:uiPriority w:val="99"/>
    <w:pPr>
      <w:keepNext/>
      <w:keepLines/>
      <w:tabs>
        <w:tab w:val="left" w:pos="1296"/>
      </w:tabs>
      <w:adjustRightInd w:val="0"/>
      <w:snapToGrid w:val="0"/>
      <w:spacing w:before="240" w:after="64" w:line="317" w:lineRule="auto"/>
      <w:ind w:left="1296" w:hanging="1296"/>
      <w:outlineLvl w:val="6"/>
    </w:pPr>
    <w:rPr>
      <w:b/>
      <w:bCs/>
      <w:kern w:val="0"/>
      <w:sz w:val="24"/>
      <w:szCs w:val="24"/>
    </w:rPr>
  </w:style>
  <w:style w:type="paragraph" w:styleId="9">
    <w:name w:val="heading 8"/>
    <w:basedOn w:val="1"/>
    <w:next w:val="1"/>
    <w:link w:val="82"/>
    <w:qFormat/>
    <w:uiPriority w:val="99"/>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4"/>
    </w:rPr>
  </w:style>
  <w:style w:type="paragraph" w:styleId="10">
    <w:name w:val="heading 9"/>
    <w:basedOn w:val="1"/>
    <w:next w:val="1"/>
    <w:link w:val="83"/>
    <w:qFormat/>
    <w:uiPriority w:val="99"/>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adjustRightInd w:val="0"/>
      <w:snapToGrid w:val="0"/>
      <w:spacing w:line="360" w:lineRule="auto"/>
      <w:ind w:left="100" w:leftChars="400" w:hanging="200" w:hangingChars="200"/>
    </w:pPr>
    <w:rPr>
      <w:sz w:val="24"/>
      <w:szCs w:val="24"/>
    </w:rPr>
  </w:style>
  <w:style w:type="paragraph" w:styleId="12">
    <w:name w:val="toc 7"/>
    <w:basedOn w:val="1"/>
    <w:next w:val="1"/>
    <w:semiHidden/>
    <w:qFormat/>
    <w:uiPriority w:val="99"/>
    <w:pPr>
      <w:ind w:left="2520" w:leftChars="1200"/>
    </w:pPr>
  </w:style>
  <w:style w:type="paragraph" w:styleId="13">
    <w:name w:val="List Number 2"/>
    <w:basedOn w:val="1"/>
    <w:qFormat/>
    <w:uiPriority w:val="99"/>
    <w:pPr>
      <w:tabs>
        <w:tab w:val="left" w:pos="780"/>
      </w:tabs>
      <w:spacing w:line="360" w:lineRule="auto"/>
      <w:ind w:left="780" w:hanging="360"/>
    </w:pPr>
    <w:rPr>
      <w:sz w:val="24"/>
      <w:szCs w:val="24"/>
    </w:rPr>
  </w:style>
  <w:style w:type="paragraph" w:styleId="14">
    <w:name w:val="List Bullet 4"/>
    <w:basedOn w:val="1"/>
    <w:qFormat/>
    <w:uiPriority w:val="99"/>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5">
    <w:name w:val="Normal Indent"/>
    <w:basedOn w:val="1"/>
    <w:qFormat/>
    <w:uiPriority w:val="99"/>
    <w:pPr>
      <w:adjustRightInd w:val="0"/>
      <w:snapToGrid w:val="0"/>
      <w:spacing w:line="360" w:lineRule="auto"/>
      <w:ind w:firstLine="420"/>
    </w:pPr>
    <w:rPr>
      <w:sz w:val="24"/>
      <w:szCs w:val="24"/>
    </w:rPr>
  </w:style>
  <w:style w:type="paragraph" w:styleId="16">
    <w:name w:val="caption"/>
    <w:basedOn w:val="1"/>
    <w:next w:val="1"/>
    <w:qFormat/>
    <w:uiPriority w:val="99"/>
    <w:pPr>
      <w:widowControl/>
      <w:tabs>
        <w:tab w:val="left" w:pos="1134"/>
      </w:tabs>
      <w:adjustRightInd w:val="0"/>
      <w:snapToGrid w:val="0"/>
      <w:spacing w:line="280" w:lineRule="atLeast"/>
      <w:jc w:val="left"/>
    </w:pPr>
    <w:rPr>
      <w:rFonts w:eastAsia="PMingLiU"/>
      <w:b/>
      <w:bCs/>
      <w:kern w:val="0"/>
      <w:sz w:val="24"/>
      <w:szCs w:val="24"/>
      <w:lang w:eastAsia="zh-TW"/>
    </w:rPr>
  </w:style>
  <w:style w:type="paragraph" w:styleId="17">
    <w:name w:val="Document Map"/>
    <w:basedOn w:val="1"/>
    <w:link w:val="88"/>
    <w:semiHidden/>
    <w:qFormat/>
    <w:uiPriority w:val="99"/>
    <w:pPr>
      <w:shd w:val="clear" w:color="auto" w:fill="000080"/>
    </w:pPr>
    <w:rPr>
      <w:kern w:val="0"/>
      <w:sz w:val="2"/>
      <w:szCs w:val="2"/>
    </w:rPr>
  </w:style>
  <w:style w:type="paragraph" w:styleId="18">
    <w:name w:val="toa heading"/>
    <w:basedOn w:val="1"/>
    <w:next w:val="1"/>
    <w:semiHidden/>
    <w:qFormat/>
    <w:uiPriority w:val="99"/>
    <w:pPr>
      <w:spacing w:before="120"/>
    </w:pPr>
    <w:rPr>
      <w:rFonts w:ascii="Arial" w:hAnsi="Arial" w:cs="Arial"/>
      <w:sz w:val="24"/>
      <w:szCs w:val="24"/>
    </w:rPr>
  </w:style>
  <w:style w:type="paragraph" w:styleId="19">
    <w:name w:val="annotation text"/>
    <w:basedOn w:val="1"/>
    <w:link w:val="84"/>
    <w:semiHidden/>
    <w:qFormat/>
    <w:uiPriority w:val="99"/>
    <w:pPr>
      <w:widowControl/>
      <w:tabs>
        <w:tab w:val="left" w:pos="1134"/>
      </w:tabs>
      <w:adjustRightInd w:val="0"/>
      <w:snapToGrid w:val="0"/>
      <w:spacing w:line="280" w:lineRule="atLeast"/>
      <w:jc w:val="left"/>
    </w:pPr>
    <w:rPr>
      <w:kern w:val="0"/>
    </w:rPr>
  </w:style>
  <w:style w:type="paragraph" w:styleId="20">
    <w:name w:val="Body Text 3"/>
    <w:basedOn w:val="1"/>
    <w:link w:val="89"/>
    <w:qFormat/>
    <w:uiPriority w:val="99"/>
    <w:pPr>
      <w:adjustRightInd w:val="0"/>
      <w:snapToGrid w:val="0"/>
      <w:spacing w:after="120" w:line="360" w:lineRule="auto"/>
    </w:pPr>
    <w:rPr>
      <w:kern w:val="0"/>
      <w:sz w:val="16"/>
      <w:szCs w:val="16"/>
    </w:rPr>
  </w:style>
  <w:style w:type="paragraph" w:styleId="21">
    <w:name w:val="List Bullet 3"/>
    <w:basedOn w:val="1"/>
    <w:qFormat/>
    <w:uiPriority w:val="99"/>
    <w:pPr>
      <w:tabs>
        <w:tab w:val="left" w:pos="1200"/>
      </w:tabs>
      <w:adjustRightInd w:val="0"/>
      <w:snapToGrid w:val="0"/>
      <w:spacing w:line="360" w:lineRule="auto"/>
      <w:ind w:left="1200" w:hanging="360"/>
    </w:pPr>
    <w:rPr>
      <w:sz w:val="24"/>
      <w:szCs w:val="24"/>
    </w:rPr>
  </w:style>
  <w:style w:type="paragraph" w:styleId="22">
    <w:name w:val="Body Text"/>
    <w:basedOn w:val="1"/>
    <w:link w:val="86"/>
    <w:qFormat/>
    <w:uiPriority w:val="99"/>
    <w:rPr>
      <w:kern w:val="0"/>
    </w:rPr>
  </w:style>
  <w:style w:type="paragraph" w:styleId="23">
    <w:name w:val="Body Text Indent"/>
    <w:basedOn w:val="1"/>
    <w:link w:val="90"/>
    <w:qFormat/>
    <w:uiPriority w:val="99"/>
    <w:pPr>
      <w:spacing w:line="700" w:lineRule="exact"/>
      <w:ind w:left="960"/>
    </w:pPr>
    <w:rPr>
      <w:sz w:val="44"/>
      <w:szCs w:val="44"/>
    </w:rPr>
  </w:style>
  <w:style w:type="paragraph" w:styleId="24">
    <w:name w:val="List Number 3"/>
    <w:basedOn w:val="1"/>
    <w:qFormat/>
    <w:uiPriority w:val="99"/>
    <w:pPr>
      <w:tabs>
        <w:tab w:val="left" w:pos="2120"/>
      </w:tabs>
      <w:adjustRightInd w:val="0"/>
      <w:snapToGrid w:val="0"/>
      <w:spacing w:line="360" w:lineRule="auto"/>
      <w:ind w:left="2120" w:hanging="720"/>
    </w:pPr>
    <w:rPr>
      <w:sz w:val="24"/>
      <w:szCs w:val="24"/>
    </w:rPr>
  </w:style>
  <w:style w:type="paragraph" w:styleId="25">
    <w:name w:val="List 2"/>
    <w:basedOn w:val="1"/>
    <w:qFormat/>
    <w:uiPriority w:val="99"/>
    <w:pPr>
      <w:adjustRightInd w:val="0"/>
      <w:snapToGrid w:val="0"/>
      <w:spacing w:line="360" w:lineRule="auto"/>
      <w:ind w:left="100" w:leftChars="200" w:hanging="200" w:hangingChars="200"/>
    </w:pPr>
    <w:rPr>
      <w:sz w:val="24"/>
      <w:szCs w:val="24"/>
    </w:rPr>
  </w:style>
  <w:style w:type="paragraph" w:styleId="26">
    <w:name w:val="List Continue"/>
    <w:basedOn w:val="1"/>
    <w:qFormat/>
    <w:uiPriority w:val="99"/>
    <w:pPr>
      <w:adjustRightInd w:val="0"/>
      <w:snapToGrid w:val="0"/>
      <w:spacing w:after="120" w:line="360" w:lineRule="auto"/>
      <w:ind w:left="420" w:leftChars="200"/>
    </w:pPr>
    <w:rPr>
      <w:sz w:val="24"/>
      <w:szCs w:val="24"/>
    </w:rPr>
  </w:style>
  <w:style w:type="paragraph" w:styleId="27">
    <w:name w:val="List Bullet 2"/>
    <w:basedOn w:val="1"/>
    <w:qFormat/>
    <w:uiPriority w:val="99"/>
    <w:pPr>
      <w:tabs>
        <w:tab w:val="left" w:pos="780"/>
      </w:tabs>
      <w:adjustRightInd w:val="0"/>
      <w:snapToGrid w:val="0"/>
      <w:spacing w:line="360" w:lineRule="auto"/>
      <w:ind w:left="780" w:hanging="360"/>
    </w:pPr>
    <w:rPr>
      <w:sz w:val="24"/>
      <w:szCs w:val="24"/>
    </w:rPr>
  </w:style>
  <w:style w:type="paragraph" w:styleId="28">
    <w:name w:val="toc 5"/>
    <w:basedOn w:val="1"/>
    <w:next w:val="1"/>
    <w:semiHidden/>
    <w:qFormat/>
    <w:uiPriority w:val="99"/>
    <w:pPr>
      <w:ind w:left="1680" w:leftChars="800"/>
    </w:pPr>
  </w:style>
  <w:style w:type="paragraph" w:styleId="29">
    <w:name w:val="toc 3"/>
    <w:basedOn w:val="1"/>
    <w:next w:val="1"/>
    <w:semiHidden/>
    <w:qFormat/>
    <w:uiPriority w:val="99"/>
    <w:pPr>
      <w:ind w:left="840" w:leftChars="400"/>
    </w:pPr>
  </w:style>
  <w:style w:type="paragraph" w:styleId="30">
    <w:name w:val="Plain Text"/>
    <w:basedOn w:val="1"/>
    <w:link w:val="91"/>
    <w:qFormat/>
    <w:uiPriority w:val="99"/>
    <w:pPr>
      <w:adjustRightInd w:val="0"/>
      <w:snapToGrid w:val="0"/>
      <w:spacing w:line="360" w:lineRule="auto"/>
    </w:pPr>
    <w:rPr>
      <w:rFonts w:ascii="宋体" w:hAnsi="Courier New"/>
      <w:sz w:val="21"/>
      <w:szCs w:val="21"/>
    </w:rPr>
  </w:style>
  <w:style w:type="paragraph" w:styleId="31">
    <w:name w:val="toc 8"/>
    <w:basedOn w:val="1"/>
    <w:next w:val="1"/>
    <w:semiHidden/>
    <w:qFormat/>
    <w:uiPriority w:val="99"/>
    <w:pPr>
      <w:ind w:left="2940" w:leftChars="1400"/>
    </w:pPr>
  </w:style>
  <w:style w:type="paragraph" w:styleId="32">
    <w:name w:val="Date"/>
    <w:basedOn w:val="1"/>
    <w:next w:val="1"/>
    <w:link w:val="92"/>
    <w:qFormat/>
    <w:uiPriority w:val="99"/>
  </w:style>
  <w:style w:type="paragraph" w:styleId="33">
    <w:name w:val="Body Text Indent 2"/>
    <w:basedOn w:val="1"/>
    <w:link w:val="93"/>
    <w:qFormat/>
    <w:uiPriority w:val="99"/>
    <w:pPr>
      <w:snapToGrid w:val="0"/>
      <w:spacing w:line="440" w:lineRule="atLeast"/>
      <w:ind w:firstLine="570"/>
    </w:pPr>
    <w:rPr>
      <w:kern w:val="0"/>
    </w:rPr>
  </w:style>
  <w:style w:type="paragraph" w:styleId="34">
    <w:name w:val="Balloon Text"/>
    <w:basedOn w:val="1"/>
    <w:link w:val="94"/>
    <w:semiHidden/>
    <w:qFormat/>
    <w:uiPriority w:val="99"/>
    <w:rPr>
      <w:kern w:val="0"/>
      <w:sz w:val="2"/>
      <w:szCs w:val="2"/>
    </w:rPr>
  </w:style>
  <w:style w:type="paragraph" w:styleId="35">
    <w:name w:val="footer"/>
    <w:basedOn w:val="1"/>
    <w:link w:val="95"/>
    <w:qFormat/>
    <w:uiPriority w:val="99"/>
    <w:pPr>
      <w:tabs>
        <w:tab w:val="center" w:pos="4153"/>
        <w:tab w:val="right" w:pos="8306"/>
      </w:tabs>
      <w:snapToGrid w:val="0"/>
      <w:jc w:val="left"/>
    </w:pPr>
    <w:rPr>
      <w:kern w:val="0"/>
      <w:sz w:val="18"/>
      <w:szCs w:val="18"/>
    </w:rPr>
  </w:style>
  <w:style w:type="paragraph" w:styleId="36">
    <w:name w:val="header"/>
    <w:basedOn w:val="1"/>
    <w:link w:val="97"/>
    <w:qFormat/>
    <w:uiPriority w:val="99"/>
    <w:pPr>
      <w:pBdr>
        <w:bottom w:val="single" w:color="auto" w:sz="6" w:space="1"/>
      </w:pBdr>
      <w:tabs>
        <w:tab w:val="center" w:pos="4153"/>
        <w:tab w:val="right" w:pos="8306"/>
      </w:tabs>
      <w:snapToGrid w:val="0"/>
      <w:jc w:val="center"/>
    </w:pPr>
    <w:rPr>
      <w:kern w:val="0"/>
      <w:sz w:val="18"/>
      <w:szCs w:val="18"/>
    </w:rPr>
  </w:style>
  <w:style w:type="paragraph" w:styleId="37">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8">
    <w:name w:val="List Continue 4"/>
    <w:basedOn w:val="1"/>
    <w:qFormat/>
    <w:uiPriority w:val="99"/>
    <w:pPr>
      <w:adjustRightInd w:val="0"/>
      <w:snapToGrid w:val="0"/>
      <w:spacing w:after="120" w:line="360" w:lineRule="auto"/>
      <w:ind w:left="1680" w:leftChars="800"/>
    </w:pPr>
    <w:rPr>
      <w:sz w:val="24"/>
      <w:szCs w:val="24"/>
    </w:rPr>
  </w:style>
  <w:style w:type="paragraph" w:styleId="39">
    <w:name w:val="toc 4"/>
    <w:basedOn w:val="1"/>
    <w:next w:val="1"/>
    <w:semiHidden/>
    <w:qFormat/>
    <w:uiPriority w:val="99"/>
    <w:pPr>
      <w:ind w:left="1260" w:leftChars="600"/>
    </w:pPr>
  </w:style>
  <w:style w:type="paragraph" w:styleId="40">
    <w:name w:val="footnote text"/>
    <w:basedOn w:val="1"/>
    <w:link w:val="98"/>
    <w:semiHidden/>
    <w:qFormat/>
    <w:uiPriority w:val="99"/>
    <w:pPr>
      <w:spacing w:line="360" w:lineRule="auto"/>
    </w:pPr>
    <w:rPr>
      <w:kern w:val="0"/>
      <w:sz w:val="18"/>
      <w:szCs w:val="18"/>
    </w:rPr>
  </w:style>
  <w:style w:type="paragraph" w:styleId="41">
    <w:name w:val="toc 6"/>
    <w:basedOn w:val="1"/>
    <w:next w:val="1"/>
    <w:semiHidden/>
    <w:qFormat/>
    <w:uiPriority w:val="99"/>
    <w:pPr>
      <w:ind w:left="2100" w:leftChars="1000"/>
    </w:pPr>
  </w:style>
  <w:style w:type="paragraph" w:styleId="42">
    <w:name w:val="List 5"/>
    <w:basedOn w:val="1"/>
    <w:qFormat/>
    <w:uiPriority w:val="99"/>
    <w:pPr>
      <w:adjustRightInd w:val="0"/>
      <w:snapToGrid w:val="0"/>
      <w:spacing w:line="360" w:lineRule="auto"/>
      <w:ind w:left="100" w:leftChars="800" w:hanging="200" w:hangingChars="200"/>
    </w:pPr>
    <w:rPr>
      <w:sz w:val="24"/>
      <w:szCs w:val="24"/>
    </w:rPr>
  </w:style>
  <w:style w:type="paragraph" w:styleId="43">
    <w:name w:val="Body Text Indent 3"/>
    <w:basedOn w:val="1"/>
    <w:link w:val="99"/>
    <w:qFormat/>
    <w:uiPriority w:val="99"/>
    <w:pPr>
      <w:spacing w:line="360" w:lineRule="auto"/>
      <w:ind w:firstLine="632"/>
    </w:pPr>
    <w:rPr>
      <w:kern w:val="0"/>
      <w:sz w:val="16"/>
      <w:szCs w:val="16"/>
    </w:rPr>
  </w:style>
  <w:style w:type="paragraph" w:styleId="44">
    <w:name w:val="table of figures"/>
    <w:basedOn w:val="1"/>
    <w:next w:val="1"/>
    <w:semiHidden/>
    <w:qFormat/>
    <w:uiPriority w:val="99"/>
    <w:pPr>
      <w:tabs>
        <w:tab w:val="right" w:leader="dot" w:pos="8640"/>
      </w:tabs>
      <w:spacing w:line="360" w:lineRule="auto"/>
      <w:ind w:left="400" w:hanging="400"/>
    </w:pPr>
    <w:rPr>
      <w:sz w:val="24"/>
      <w:szCs w:val="24"/>
    </w:rPr>
  </w:style>
  <w:style w:type="paragraph" w:styleId="45">
    <w:name w:val="toc 2"/>
    <w:basedOn w:val="1"/>
    <w:next w:val="1"/>
    <w:qFormat/>
    <w:uiPriority w:val="39"/>
    <w:pPr>
      <w:tabs>
        <w:tab w:val="right" w:leader="dot" w:pos="8400"/>
      </w:tabs>
      <w:spacing w:line="440" w:lineRule="exact"/>
      <w:ind w:left="280" w:leftChars="100" w:right="-91" w:rightChars="-91"/>
    </w:pPr>
  </w:style>
  <w:style w:type="paragraph" w:styleId="46">
    <w:name w:val="toc 9"/>
    <w:basedOn w:val="1"/>
    <w:next w:val="1"/>
    <w:semiHidden/>
    <w:qFormat/>
    <w:uiPriority w:val="99"/>
    <w:pPr>
      <w:ind w:left="3360" w:leftChars="1600"/>
    </w:pPr>
  </w:style>
  <w:style w:type="paragraph" w:styleId="47">
    <w:name w:val="Body Text 2"/>
    <w:basedOn w:val="1"/>
    <w:link w:val="100"/>
    <w:qFormat/>
    <w:uiPriority w:val="99"/>
    <w:pPr>
      <w:adjustRightInd w:val="0"/>
      <w:snapToGrid w:val="0"/>
      <w:spacing w:after="120" w:line="480" w:lineRule="auto"/>
    </w:pPr>
    <w:rPr>
      <w:kern w:val="0"/>
    </w:rPr>
  </w:style>
  <w:style w:type="paragraph" w:styleId="48">
    <w:name w:val="List 4"/>
    <w:basedOn w:val="1"/>
    <w:qFormat/>
    <w:uiPriority w:val="99"/>
    <w:pPr>
      <w:adjustRightInd w:val="0"/>
      <w:snapToGrid w:val="0"/>
      <w:spacing w:line="360" w:lineRule="auto"/>
      <w:ind w:left="100" w:leftChars="600" w:hanging="200" w:hangingChars="200"/>
    </w:pPr>
    <w:rPr>
      <w:sz w:val="24"/>
      <w:szCs w:val="24"/>
    </w:rPr>
  </w:style>
  <w:style w:type="paragraph" w:styleId="49">
    <w:name w:val="List Continue 2"/>
    <w:basedOn w:val="1"/>
    <w:qFormat/>
    <w:uiPriority w:val="99"/>
    <w:pPr>
      <w:adjustRightInd w:val="0"/>
      <w:snapToGrid w:val="0"/>
      <w:spacing w:after="120" w:line="360" w:lineRule="auto"/>
      <w:ind w:left="840" w:leftChars="400"/>
    </w:pPr>
    <w:rPr>
      <w:sz w:val="24"/>
      <w:szCs w:val="24"/>
    </w:rPr>
  </w:style>
  <w:style w:type="paragraph" w:styleId="50">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51">
    <w:name w:val="List Continue 3"/>
    <w:basedOn w:val="1"/>
    <w:qFormat/>
    <w:uiPriority w:val="99"/>
    <w:pPr>
      <w:adjustRightInd w:val="0"/>
      <w:snapToGrid w:val="0"/>
      <w:spacing w:after="120" w:line="360" w:lineRule="auto"/>
      <w:ind w:left="1260" w:leftChars="600"/>
    </w:pPr>
    <w:rPr>
      <w:sz w:val="24"/>
      <w:szCs w:val="24"/>
    </w:rPr>
  </w:style>
  <w:style w:type="paragraph" w:styleId="52">
    <w:name w:val="index 1"/>
    <w:basedOn w:val="1"/>
    <w:next w:val="1"/>
    <w:semiHidden/>
    <w:qFormat/>
    <w:uiPriority w:val="99"/>
    <w:pPr>
      <w:adjustRightInd w:val="0"/>
      <w:spacing w:line="240" w:lineRule="atLeast"/>
      <w:textAlignment w:val="baseline"/>
    </w:pPr>
    <w:rPr>
      <w:rFonts w:ascii="宋体" w:cs="宋体"/>
      <w:kern w:val="0"/>
      <w:sz w:val="21"/>
      <w:szCs w:val="21"/>
    </w:rPr>
  </w:style>
  <w:style w:type="paragraph" w:styleId="53">
    <w:name w:val="Title"/>
    <w:basedOn w:val="1"/>
    <w:link w:val="101"/>
    <w:qFormat/>
    <w:uiPriority w:val="99"/>
    <w:pPr>
      <w:widowControl/>
      <w:spacing w:after="240" w:line="360" w:lineRule="auto"/>
      <w:jc w:val="center"/>
    </w:pPr>
    <w:rPr>
      <w:rFonts w:ascii="Cambria" w:hAnsi="Cambria"/>
      <w:b/>
      <w:bCs/>
      <w:kern w:val="0"/>
      <w:sz w:val="32"/>
      <w:szCs w:val="32"/>
    </w:rPr>
  </w:style>
  <w:style w:type="paragraph" w:styleId="54">
    <w:name w:val="annotation subject"/>
    <w:basedOn w:val="19"/>
    <w:next w:val="19"/>
    <w:link w:val="85"/>
    <w:semiHidden/>
    <w:qFormat/>
    <w:uiPriority w:val="99"/>
    <w:pPr>
      <w:widowControl w:val="0"/>
      <w:adjustRightInd/>
      <w:snapToGrid/>
      <w:spacing w:line="240" w:lineRule="auto"/>
    </w:pPr>
    <w:rPr>
      <w:b/>
      <w:bCs/>
    </w:rPr>
  </w:style>
  <w:style w:type="paragraph" w:styleId="55">
    <w:name w:val="Body Text First Indent"/>
    <w:basedOn w:val="1"/>
    <w:link w:val="87"/>
    <w:qFormat/>
    <w:uiPriority w:val="99"/>
    <w:pPr>
      <w:spacing w:line="360" w:lineRule="auto"/>
      <w:ind w:firstLine="420"/>
    </w:pPr>
    <w:rPr>
      <w:kern w:val="0"/>
    </w:rPr>
  </w:style>
  <w:style w:type="paragraph" w:styleId="56">
    <w:name w:val="Body Text First Indent 2"/>
    <w:basedOn w:val="23"/>
    <w:link w:val="96"/>
    <w:qFormat/>
    <w:uiPriority w:val="99"/>
    <w:pPr>
      <w:spacing w:after="120" w:line="240" w:lineRule="auto"/>
      <w:ind w:left="420" w:leftChars="200" w:firstLine="420" w:firstLineChars="200"/>
    </w:pPr>
    <w:rPr>
      <w:sz w:val="28"/>
      <w:szCs w:val="28"/>
    </w:rPr>
  </w:style>
  <w:style w:type="table" w:styleId="58">
    <w:name w:val="Table Grid"/>
    <w:basedOn w:val="5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99"/>
    <w:rPr>
      <w:b/>
      <w:bCs/>
    </w:rPr>
  </w:style>
  <w:style w:type="character" w:styleId="61">
    <w:name w:val="page number"/>
    <w:basedOn w:val="59"/>
    <w:qFormat/>
    <w:uiPriority w:val="99"/>
  </w:style>
  <w:style w:type="character" w:styleId="62">
    <w:name w:val="FollowedHyperlink"/>
    <w:qFormat/>
    <w:uiPriority w:val="99"/>
    <w:rPr>
      <w:color w:val="auto"/>
      <w:u w:val="none"/>
    </w:rPr>
  </w:style>
  <w:style w:type="character" w:styleId="63">
    <w:name w:val="Emphasis"/>
    <w:qFormat/>
    <w:uiPriority w:val="99"/>
    <w:rPr>
      <w:i/>
      <w:iCs/>
    </w:rPr>
  </w:style>
  <w:style w:type="character" w:styleId="64">
    <w:name w:val="HTML Definition"/>
    <w:basedOn w:val="59"/>
    <w:semiHidden/>
    <w:unhideWhenUsed/>
    <w:qFormat/>
    <w:uiPriority w:val="99"/>
  </w:style>
  <w:style w:type="character" w:styleId="65">
    <w:name w:val="HTML Typewriter"/>
    <w:basedOn w:val="59"/>
    <w:semiHidden/>
    <w:unhideWhenUsed/>
    <w:qFormat/>
    <w:uiPriority w:val="99"/>
    <w:rPr>
      <w:rFonts w:hint="default" w:ascii="monospace" w:hAnsi="monospace" w:eastAsia="monospace" w:cs="monospace"/>
      <w:sz w:val="20"/>
    </w:rPr>
  </w:style>
  <w:style w:type="character" w:styleId="66">
    <w:name w:val="HTML Acronym"/>
    <w:basedOn w:val="59"/>
    <w:semiHidden/>
    <w:unhideWhenUsed/>
    <w:qFormat/>
    <w:uiPriority w:val="99"/>
  </w:style>
  <w:style w:type="character" w:styleId="67">
    <w:name w:val="HTML Variable"/>
    <w:basedOn w:val="59"/>
    <w:semiHidden/>
    <w:unhideWhenUsed/>
    <w:qFormat/>
    <w:uiPriority w:val="99"/>
  </w:style>
  <w:style w:type="character" w:styleId="68">
    <w:name w:val="Hyperlink"/>
    <w:qFormat/>
    <w:uiPriority w:val="99"/>
    <w:rPr>
      <w:color w:val="auto"/>
      <w:u w:val="none"/>
    </w:rPr>
  </w:style>
  <w:style w:type="character" w:styleId="69">
    <w:name w:val="HTML Code"/>
    <w:basedOn w:val="59"/>
    <w:semiHidden/>
    <w:unhideWhenUsed/>
    <w:qFormat/>
    <w:uiPriority w:val="99"/>
    <w:rPr>
      <w:rFonts w:hint="default" w:ascii="monospace" w:hAnsi="monospace" w:eastAsia="monospace" w:cs="monospace"/>
      <w:sz w:val="20"/>
    </w:rPr>
  </w:style>
  <w:style w:type="character" w:styleId="70">
    <w:name w:val="annotation reference"/>
    <w:semiHidden/>
    <w:qFormat/>
    <w:uiPriority w:val="99"/>
    <w:rPr>
      <w:sz w:val="21"/>
      <w:szCs w:val="21"/>
    </w:rPr>
  </w:style>
  <w:style w:type="character" w:styleId="71">
    <w:name w:val="HTML Cite"/>
    <w:basedOn w:val="59"/>
    <w:semiHidden/>
    <w:unhideWhenUsed/>
    <w:qFormat/>
    <w:uiPriority w:val="99"/>
  </w:style>
  <w:style w:type="character" w:styleId="72">
    <w:name w:val="footnote reference"/>
    <w:semiHidden/>
    <w:qFormat/>
    <w:uiPriority w:val="99"/>
    <w:rPr>
      <w:position w:val="6"/>
      <w:sz w:val="14"/>
      <w:szCs w:val="14"/>
      <w:vertAlign w:val="superscript"/>
    </w:rPr>
  </w:style>
  <w:style w:type="character" w:styleId="73">
    <w:name w:val="HTML Keyboard"/>
    <w:basedOn w:val="59"/>
    <w:semiHidden/>
    <w:unhideWhenUsed/>
    <w:qFormat/>
    <w:uiPriority w:val="99"/>
    <w:rPr>
      <w:rFonts w:ascii="monospace" w:hAnsi="monospace" w:eastAsia="monospace" w:cs="monospace"/>
      <w:sz w:val="20"/>
    </w:rPr>
  </w:style>
  <w:style w:type="character" w:styleId="74">
    <w:name w:val="HTML Sample"/>
    <w:basedOn w:val="59"/>
    <w:semiHidden/>
    <w:unhideWhenUsed/>
    <w:qFormat/>
    <w:uiPriority w:val="99"/>
    <w:rPr>
      <w:rFonts w:hint="default" w:ascii="monospace" w:hAnsi="monospace" w:eastAsia="monospace" w:cs="monospace"/>
    </w:rPr>
  </w:style>
  <w:style w:type="character" w:customStyle="1" w:styleId="75">
    <w:name w:val="标题 1 字符"/>
    <w:link w:val="3"/>
    <w:qFormat/>
    <w:locked/>
    <w:uiPriority w:val="99"/>
    <w:rPr>
      <w:b/>
      <w:bCs/>
      <w:kern w:val="44"/>
      <w:sz w:val="44"/>
      <w:szCs w:val="44"/>
    </w:rPr>
  </w:style>
  <w:style w:type="character" w:customStyle="1" w:styleId="76">
    <w:name w:val="标题 2 字符"/>
    <w:link w:val="4"/>
    <w:qFormat/>
    <w:locked/>
    <w:uiPriority w:val="99"/>
    <w:rPr>
      <w:rFonts w:ascii="宋体" w:eastAsia="宋体" w:cs="宋体"/>
      <w:kern w:val="2"/>
      <w:sz w:val="28"/>
      <w:szCs w:val="28"/>
    </w:rPr>
  </w:style>
  <w:style w:type="character" w:customStyle="1" w:styleId="77">
    <w:name w:val="标题 3 字符"/>
    <w:link w:val="5"/>
    <w:semiHidden/>
    <w:qFormat/>
    <w:locked/>
    <w:uiPriority w:val="99"/>
    <w:rPr>
      <w:b/>
      <w:bCs/>
      <w:sz w:val="32"/>
      <w:szCs w:val="32"/>
    </w:rPr>
  </w:style>
  <w:style w:type="character" w:customStyle="1" w:styleId="78">
    <w:name w:val="标题 4 字符"/>
    <w:link w:val="2"/>
    <w:semiHidden/>
    <w:qFormat/>
    <w:locked/>
    <w:uiPriority w:val="99"/>
    <w:rPr>
      <w:rFonts w:ascii="Cambria" w:hAnsi="Cambria" w:eastAsia="宋体" w:cs="Cambria"/>
      <w:b/>
      <w:bCs/>
      <w:sz w:val="28"/>
      <w:szCs w:val="28"/>
    </w:rPr>
  </w:style>
  <w:style w:type="character" w:customStyle="1" w:styleId="79">
    <w:name w:val="标题 5 字符"/>
    <w:link w:val="6"/>
    <w:semiHidden/>
    <w:qFormat/>
    <w:locked/>
    <w:uiPriority w:val="99"/>
    <w:rPr>
      <w:b/>
      <w:bCs/>
      <w:sz w:val="28"/>
      <w:szCs w:val="28"/>
    </w:rPr>
  </w:style>
  <w:style w:type="character" w:customStyle="1" w:styleId="80">
    <w:name w:val="标题 6 字符"/>
    <w:link w:val="7"/>
    <w:semiHidden/>
    <w:qFormat/>
    <w:locked/>
    <w:uiPriority w:val="99"/>
    <w:rPr>
      <w:rFonts w:ascii="Cambria" w:hAnsi="Cambria" w:eastAsia="宋体" w:cs="Cambria"/>
      <w:b/>
      <w:bCs/>
      <w:sz w:val="24"/>
      <w:szCs w:val="24"/>
    </w:rPr>
  </w:style>
  <w:style w:type="character" w:customStyle="1" w:styleId="81">
    <w:name w:val="标题 7 字符"/>
    <w:link w:val="8"/>
    <w:semiHidden/>
    <w:qFormat/>
    <w:locked/>
    <w:uiPriority w:val="99"/>
    <w:rPr>
      <w:b/>
      <w:bCs/>
      <w:sz w:val="24"/>
      <w:szCs w:val="24"/>
    </w:rPr>
  </w:style>
  <w:style w:type="character" w:customStyle="1" w:styleId="82">
    <w:name w:val="标题 8 字符"/>
    <w:link w:val="9"/>
    <w:semiHidden/>
    <w:qFormat/>
    <w:locked/>
    <w:uiPriority w:val="99"/>
    <w:rPr>
      <w:rFonts w:ascii="Cambria" w:hAnsi="Cambria" w:eastAsia="宋体" w:cs="Cambria"/>
      <w:sz w:val="24"/>
      <w:szCs w:val="24"/>
    </w:rPr>
  </w:style>
  <w:style w:type="character" w:customStyle="1" w:styleId="83">
    <w:name w:val="标题 9 字符"/>
    <w:link w:val="10"/>
    <w:semiHidden/>
    <w:qFormat/>
    <w:locked/>
    <w:uiPriority w:val="99"/>
    <w:rPr>
      <w:rFonts w:ascii="Cambria" w:hAnsi="Cambria" w:eastAsia="宋体" w:cs="Cambria"/>
      <w:sz w:val="21"/>
      <w:szCs w:val="21"/>
    </w:rPr>
  </w:style>
  <w:style w:type="character" w:customStyle="1" w:styleId="84">
    <w:name w:val="批注文字 字符"/>
    <w:link w:val="19"/>
    <w:semiHidden/>
    <w:qFormat/>
    <w:locked/>
    <w:uiPriority w:val="99"/>
    <w:rPr>
      <w:sz w:val="28"/>
      <w:szCs w:val="28"/>
    </w:rPr>
  </w:style>
  <w:style w:type="character" w:customStyle="1" w:styleId="85">
    <w:name w:val="批注主题 字符"/>
    <w:link w:val="54"/>
    <w:semiHidden/>
    <w:qFormat/>
    <w:locked/>
    <w:uiPriority w:val="99"/>
    <w:rPr>
      <w:b/>
      <w:bCs/>
      <w:sz w:val="28"/>
      <w:szCs w:val="28"/>
    </w:rPr>
  </w:style>
  <w:style w:type="character" w:customStyle="1" w:styleId="86">
    <w:name w:val="正文文本 字符"/>
    <w:link w:val="22"/>
    <w:semiHidden/>
    <w:qFormat/>
    <w:locked/>
    <w:uiPriority w:val="99"/>
    <w:rPr>
      <w:sz w:val="28"/>
      <w:szCs w:val="28"/>
    </w:rPr>
  </w:style>
  <w:style w:type="character" w:customStyle="1" w:styleId="87">
    <w:name w:val="正文首行缩进 字符"/>
    <w:link w:val="55"/>
    <w:semiHidden/>
    <w:qFormat/>
    <w:locked/>
    <w:uiPriority w:val="99"/>
    <w:rPr>
      <w:sz w:val="28"/>
      <w:szCs w:val="28"/>
    </w:rPr>
  </w:style>
  <w:style w:type="character" w:customStyle="1" w:styleId="88">
    <w:name w:val="文档结构图 字符"/>
    <w:link w:val="17"/>
    <w:semiHidden/>
    <w:qFormat/>
    <w:locked/>
    <w:uiPriority w:val="99"/>
    <w:rPr>
      <w:sz w:val="2"/>
      <w:szCs w:val="2"/>
    </w:rPr>
  </w:style>
  <w:style w:type="character" w:customStyle="1" w:styleId="89">
    <w:name w:val="正文文本 3 字符"/>
    <w:link w:val="20"/>
    <w:semiHidden/>
    <w:qFormat/>
    <w:locked/>
    <w:uiPriority w:val="99"/>
    <w:rPr>
      <w:sz w:val="16"/>
      <w:szCs w:val="16"/>
    </w:rPr>
  </w:style>
  <w:style w:type="character" w:customStyle="1" w:styleId="90">
    <w:name w:val="正文文本缩进 字符"/>
    <w:link w:val="23"/>
    <w:qFormat/>
    <w:locked/>
    <w:uiPriority w:val="99"/>
    <w:rPr>
      <w:kern w:val="2"/>
      <w:sz w:val="44"/>
      <w:szCs w:val="44"/>
    </w:rPr>
  </w:style>
  <w:style w:type="character" w:customStyle="1" w:styleId="91">
    <w:name w:val="纯文本 字符"/>
    <w:link w:val="30"/>
    <w:qFormat/>
    <w:locked/>
    <w:uiPriority w:val="99"/>
    <w:rPr>
      <w:rFonts w:ascii="宋体" w:hAnsi="Courier New" w:cs="宋体"/>
      <w:kern w:val="2"/>
      <w:sz w:val="21"/>
      <w:szCs w:val="21"/>
    </w:rPr>
  </w:style>
  <w:style w:type="character" w:customStyle="1" w:styleId="92">
    <w:name w:val="日期 字符"/>
    <w:link w:val="32"/>
    <w:qFormat/>
    <w:locked/>
    <w:uiPriority w:val="99"/>
    <w:rPr>
      <w:kern w:val="2"/>
      <w:sz w:val="28"/>
      <w:szCs w:val="28"/>
    </w:rPr>
  </w:style>
  <w:style w:type="character" w:customStyle="1" w:styleId="93">
    <w:name w:val="正文文本缩进 2 字符"/>
    <w:link w:val="33"/>
    <w:semiHidden/>
    <w:qFormat/>
    <w:locked/>
    <w:uiPriority w:val="99"/>
    <w:rPr>
      <w:sz w:val="28"/>
      <w:szCs w:val="28"/>
    </w:rPr>
  </w:style>
  <w:style w:type="character" w:customStyle="1" w:styleId="94">
    <w:name w:val="批注框文本 字符"/>
    <w:link w:val="34"/>
    <w:semiHidden/>
    <w:qFormat/>
    <w:locked/>
    <w:uiPriority w:val="99"/>
    <w:rPr>
      <w:sz w:val="2"/>
      <w:szCs w:val="2"/>
    </w:rPr>
  </w:style>
  <w:style w:type="character" w:customStyle="1" w:styleId="95">
    <w:name w:val="页脚 字符"/>
    <w:link w:val="35"/>
    <w:semiHidden/>
    <w:qFormat/>
    <w:locked/>
    <w:uiPriority w:val="99"/>
    <w:rPr>
      <w:sz w:val="18"/>
      <w:szCs w:val="18"/>
    </w:rPr>
  </w:style>
  <w:style w:type="character" w:customStyle="1" w:styleId="96">
    <w:name w:val="正文首行缩进 2 字符"/>
    <w:link w:val="56"/>
    <w:semiHidden/>
    <w:qFormat/>
    <w:locked/>
    <w:uiPriority w:val="99"/>
    <w:rPr>
      <w:kern w:val="2"/>
      <w:sz w:val="28"/>
      <w:szCs w:val="28"/>
    </w:rPr>
  </w:style>
  <w:style w:type="character" w:customStyle="1" w:styleId="97">
    <w:name w:val="页眉 字符"/>
    <w:link w:val="36"/>
    <w:semiHidden/>
    <w:qFormat/>
    <w:locked/>
    <w:uiPriority w:val="99"/>
    <w:rPr>
      <w:sz w:val="18"/>
      <w:szCs w:val="18"/>
    </w:rPr>
  </w:style>
  <w:style w:type="character" w:customStyle="1" w:styleId="98">
    <w:name w:val="脚注文本 字符"/>
    <w:link w:val="40"/>
    <w:semiHidden/>
    <w:qFormat/>
    <w:locked/>
    <w:uiPriority w:val="99"/>
    <w:rPr>
      <w:sz w:val="18"/>
      <w:szCs w:val="18"/>
    </w:rPr>
  </w:style>
  <w:style w:type="character" w:customStyle="1" w:styleId="99">
    <w:name w:val="正文文本缩进 3 字符"/>
    <w:link w:val="43"/>
    <w:semiHidden/>
    <w:qFormat/>
    <w:locked/>
    <w:uiPriority w:val="99"/>
    <w:rPr>
      <w:sz w:val="16"/>
      <w:szCs w:val="16"/>
    </w:rPr>
  </w:style>
  <w:style w:type="character" w:customStyle="1" w:styleId="100">
    <w:name w:val="正文文本 2 字符"/>
    <w:link w:val="47"/>
    <w:semiHidden/>
    <w:qFormat/>
    <w:locked/>
    <w:uiPriority w:val="99"/>
    <w:rPr>
      <w:sz w:val="28"/>
      <w:szCs w:val="28"/>
    </w:rPr>
  </w:style>
  <w:style w:type="character" w:customStyle="1" w:styleId="101">
    <w:name w:val="标题 字符"/>
    <w:link w:val="53"/>
    <w:qFormat/>
    <w:locked/>
    <w:uiPriority w:val="99"/>
    <w:rPr>
      <w:rFonts w:ascii="Cambria" w:hAnsi="Cambria" w:cs="Cambria"/>
      <w:b/>
      <w:bCs/>
      <w:sz w:val="32"/>
      <w:szCs w:val="32"/>
    </w:rPr>
  </w:style>
  <w:style w:type="character" w:customStyle="1" w:styleId="102">
    <w:name w:val="Char Char7"/>
    <w:qFormat/>
    <w:uiPriority w:val="99"/>
    <w:rPr>
      <w:rFonts w:ascii="宋体" w:hAnsi="宋体" w:eastAsia="宋体" w:cs="宋体"/>
      <w:kern w:val="2"/>
      <w:sz w:val="28"/>
      <w:szCs w:val="28"/>
    </w:rPr>
  </w:style>
  <w:style w:type="character" w:customStyle="1" w:styleId="103">
    <w:name w:val="标书正文:  0.74 厘米 Char1"/>
    <w:qFormat/>
    <w:uiPriority w:val="99"/>
    <w:rPr>
      <w:rFonts w:eastAsia="宋体"/>
      <w:kern w:val="2"/>
      <w:sz w:val="24"/>
      <w:szCs w:val="24"/>
      <w:lang w:val="en-US" w:eastAsia="zh-CN"/>
    </w:rPr>
  </w:style>
  <w:style w:type="character" w:customStyle="1" w:styleId="104">
    <w:name w:val="v151"/>
    <w:qFormat/>
    <w:uiPriority w:val="99"/>
    <w:rPr>
      <w:sz w:val="18"/>
      <w:szCs w:val="18"/>
    </w:rPr>
  </w:style>
  <w:style w:type="character" w:customStyle="1" w:styleId="105">
    <w:name w:val="样式 宋体"/>
    <w:qFormat/>
    <w:uiPriority w:val="99"/>
    <w:rPr>
      <w:rFonts w:ascii="宋体" w:hAnsi="宋体" w:eastAsia="宋体" w:cs="宋体"/>
      <w:sz w:val="28"/>
      <w:szCs w:val="28"/>
    </w:rPr>
  </w:style>
  <w:style w:type="character" w:customStyle="1" w:styleId="106">
    <w:name w:val="top-det1"/>
    <w:qFormat/>
    <w:uiPriority w:val="99"/>
    <w:rPr>
      <w:b/>
      <w:bCs/>
      <w:color w:val="000000"/>
    </w:rPr>
  </w:style>
  <w:style w:type="character" w:customStyle="1" w:styleId="107">
    <w:name w:val="Char Char6"/>
    <w:qFormat/>
    <w:uiPriority w:val="99"/>
    <w:rPr>
      <w:rFonts w:ascii="仿宋_GB2312" w:eastAsia="仿宋_GB2312" w:cs="仿宋_GB2312"/>
      <w:kern w:val="2"/>
      <w:sz w:val="32"/>
      <w:szCs w:val="32"/>
    </w:rPr>
  </w:style>
  <w:style w:type="character" w:customStyle="1" w:styleId="108">
    <w:name w:val="content-white1"/>
    <w:qFormat/>
    <w:uiPriority w:val="99"/>
    <w:rPr>
      <w:color w:val="auto"/>
      <w:sz w:val="18"/>
      <w:szCs w:val="18"/>
      <w:u w:val="none"/>
    </w:rPr>
  </w:style>
  <w:style w:type="character" w:customStyle="1" w:styleId="109">
    <w:name w:val="font1"/>
    <w:qFormat/>
    <w:uiPriority w:val="99"/>
    <w:rPr>
      <w:color w:val="000000"/>
      <w:sz w:val="18"/>
      <w:szCs w:val="18"/>
    </w:rPr>
  </w:style>
  <w:style w:type="character" w:customStyle="1" w:styleId="110">
    <w:name w:val="正文 + 三号 Char"/>
    <w:qFormat/>
    <w:uiPriority w:val="99"/>
    <w:rPr>
      <w:rFonts w:eastAsia="宋体"/>
      <w:kern w:val="2"/>
      <w:sz w:val="21"/>
      <w:szCs w:val="21"/>
      <w:lang w:val="en-US" w:eastAsia="zh-CN"/>
    </w:rPr>
  </w:style>
  <w:style w:type="character" w:customStyle="1" w:styleId="111">
    <w:name w:val="Table Text Char Char Char Char"/>
    <w:qFormat/>
    <w:uiPriority w:val="99"/>
    <w:rPr>
      <w:rFonts w:ascii="Arial" w:hAnsi="Arial" w:cs="Arial"/>
      <w:kern w:val="2"/>
      <w:sz w:val="18"/>
      <w:szCs w:val="18"/>
      <w:lang w:val="en-US" w:eastAsia="zh-CN"/>
    </w:rPr>
  </w:style>
  <w:style w:type="character" w:customStyle="1" w:styleId="112">
    <w:name w:val="Table Text Char1 Char"/>
    <w:qFormat/>
    <w:uiPriority w:val="99"/>
    <w:rPr>
      <w:rFonts w:ascii="Arial" w:hAnsi="Arial" w:cs="Arial"/>
      <w:kern w:val="2"/>
      <w:sz w:val="18"/>
      <w:szCs w:val="18"/>
      <w:lang w:val="en-US" w:eastAsia="zh-CN"/>
    </w:rPr>
  </w:style>
  <w:style w:type="character" w:customStyle="1" w:styleId="113">
    <w:name w:val="未命名11"/>
    <w:qFormat/>
    <w:uiPriority w:val="99"/>
    <w:rPr>
      <w:color w:val="auto"/>
      <w:sz w:val="24"/>
      <w:szCs w:val="24"/>
    </w:rPr>
  </w:style>
  <w:style w:type="character" w:customStyle="1" w:styleId="114">
    <w:name w:val="Char Char4"/>
    <w:qFormat/>
    <w:uiPriority w:val="99"/>
    <w:rPr>
      <w:rFonts w:eastAsia="宋体"/>
      <w:b/>
      <w:bCs/>
      <w:kern w:val="2"/>
      <w:sz w:val="21"/>
      <w:szCs w:val="21"/>
      <w:lang w:val="en-US" w:eastAsia="zh-CN"/>
    </w:rPr>
  </w:style>
  <w:style w:type="character" w:customStyle="1" w:styleId="115">
    <w:name w:val="Char Char3"/>
    <w:qFormat/>
    <w:uiPriority w:val="99"/>
    <w:rPr>
      <w:rFonts w:eastAsia="宋体"/>
      <w:kern w:val="2"/>
      <w:sz w:val="18"/>
      <w:szCs w:val="18"/>
      <w:lang w:val="en-US" w:eastAsia="zh-CN"/>
    </w:rPr>
  </w:style>
  <w:style w:type="character" w:customStyle="1" w:styleId="116">
    <w:name w:val="Table Heading Char Char"/>
    <w:qFormat/>
    <w:uiPriority w:val="99"/>
    <w:rPr>
      <w:rFonts w:ascii="Arial" w:hAnsi="Arial" w:eastAsia="黑体" w:cs="Arial"/>
      <w:kern w:val="2"/>
      <w:sz w:val="18"/>
      <w:szCs w:val="18"/>
      <w:lang w:val="en-US" w:eastAsia="zh-CN"/>
    </w:rPr>
  </w:style>
  <w:style w:type="character" w:customStyle="1" w:styleId="117">
    <w:name w:val="crowed11"/>
    <w:qFormat/>
    <w:uiPriority w:val="99"/>
    <w:rPr>
      <w:sz w:val="24"/>
      <w:szCs w:val="24"/>
    </w:rPr>
  </w:style>
  <w:style w:type="character" w:customStyle="1" w:styleId="118">
    <w:name w:val="Char Char2"/>
    <w:qFormat/>
    <w:uiPriority w:val="99"/>
    <w:rPr>
      <w:rFonts w:eastAsia="宋体"/>
      <w:kern w:val="2"/>
      <w:sz w:val="18"/>
      <w:szCs w:val="18"/>
      <w:lang w:val="en-US" w:eastAsia="zh-CN"/>
    </w:rPr>
  </w:style>
  <w:style w:type="character" w:customStyle="1" w:styleId="119">
    <w:name w:val="Char Char5"/>
    <w:qFormat/>
    <w:uiPriority w:val="99"/>
    <w:rPr>
      <w:rFonts w:ascii="Arial" w:hAnsi="Arial" w:eastAsia="宋体" w:cs="Arial"/>
      <w:b/>
      <w:bCs/>
      <w:smallCaps/>
      <w:kern w:val="28"/>
      <w:sz w:val="36"/>
      <w:szCs w:val="36"/>
      <w:lang w:val="en-US" w:eastAsia="en-US"/>
    </w:rPr>
  </w:style>
  <w:style w:type="character" w:customStyle="1" w:styleId="120">
    <w:name w:val="Table Text Char"/>
    <w:qFormat/>
    <w:uiPriority w:val="99"/>
    <w:rPr>
      <w:rFonts w:ascii="Arial" w:hAnsi="Arial" w:cs="Arial"/>
      <w:kern w:val="2"/>
      <w:sz w:val="18"/>
      <w:szCs w:val="18"/>
      <w:lang w:val="en-US" w:eastAsia="zh-CN"/>
    </w:rPr>
  </w:style>
  <w:style w:type="character" w:customStyle="1" w:styleId="121">
    <w:name w:val="Char Char"/>
    <w:qFormat/>
    <w:uiPriority w:val="99"/>
    <w:rPr>
      <w:rFonts w:ascii="宋体" w:hAnsi="宋体" w:eastAsia="宋体" w:cs="宋体"/>
      <w:kern w:val="2"/>
      <w:sz w:val="24"/>
      <w:szCs w:val="24"/>
      <w:lang w:val="en-US" w:eastAsia="zh-CN"/>
    </w:rPr>
  </w:style>
  <w:style w:type="character" w:customStyle="1" w:styleId="122">
    <w:name w:val="小 Char"/>
    <w:qFormat/>
    <w:uiPriority w:val="99"/>
    <w:rPr>
      <w:rFonts w:ascii="宋体" w:hAnsi="Courier New" w:eastAsia="宋体" w:cs="宋体"/>
      <w:kern w:val="2"/>
      <w:sz w:val="21"/>
      <w:szCs w:val="21"/>
      <w:lang w:val="en-US" w:eastAsia="zh-CN"/>
    </w:rPr>
  </w:style>
  <w:style w:type="character" w:customStyle="1" w:styleId="123">
    <w:name w:val="文字 Char"/>
    <w:link w:val="124"/>
    <w:qFormat/>
    <w:locked/>
    <w:uiPriority w:val="99"/>
    <w:rPr>
      <w:rFonts w:ascii="宋体" w:eastAsia="宋体" w:cs="宋体"/>
      <w:kern w:val="2"/>
      <w:sz w:val="28"/>
      <w:szCs w:val="28"/>
      <w:lang w:val="en-US" w:eastAsia="zh-CN"/>
    </w:rPr>
  </w:style>
  <w:style w:type="paragraph" w:customStyle="1" w:styleId="124">
    <w:name w:val="文字"/>
    <w:basedOn w:val="1"/>
    <w:link w:val="123"/>
    <w:qFormat/>
    <w:uiPriority w:val="99"/>
    <w:pPr>
      <w:tabs>
        <w:tab w:val="left" w:pos="8520"/>
      </w:tabs>
      <w:spacing w:line="312" w:lineRule="auto"/>
      <w:ind w:right="-210" w:firstLine="556"/>
    </w:pPr>
    <w:rPr>
      <w:rFonts w:ascii="宋体"/>
    </w:rPr>
  </w:style>
  <w:style w:type="character" w:customStyle="1" w:styleId="125">
    <w:name w:val="访问过的超链接1"/>
    <w:qFormat/>
    <w:uiPriority w:val="99"/>
    <w:rPr>
      <w:color w:val="800080"/>
      <w:u w:val="single"/>
    </w:rPr>
  </w:style>
  <w:style w:type="paragraph" w:customStyle="1" w:styleId="126">
    <w:name w:val="style1"/>
    <w:basedOn w:val="1"/>
    <w:qFormat/>
    <w:uiPriority w:val="99"/>
    <w:pPr>
      <w:widowControl/>
      <w:spacing w:before="100" w:beforeAutospacing="1" w:after="100" w:afterAutospacing="1"/>
      <w:jc w:val="left"/>
    </w:pPr>
    <w:rPr>
      <w:rFonts w:ascii="宋体" w:hAnsi="宋体" w:cs="宋体"/>
      <w:kern w:val="0"/>
      <w:sz w:val="21"/>
      <w:szCs w:val="21"/>
    </w:rPr>
  </w:style>
  <w:style w:type="paragraph" w:customStyle="1" w:styleId="127">
    <w:name w:val="bt"/>
    <w:basedOn w:val="1"/>
    <w:next w:val="22"/>
    <w:qFormat/>
    <w:uiPriority w:val="99"/>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128">
    <w:name w:val="Char Char Char Char Char Char Char"/>
    <w:basedOn w:val="17"/>
    <w:qFormat/>
    <w:uiPriority w:val="99"/>
    <w:rPr>
      <w:rFonts w:ascii="宋体" w:hAnsi="Tahoma" w:cs="宋体"/>
    </w:rPr>
  </w:style>
  <w:style w:type="paragraph" w:customStyle="1" w:styleId="129">
    <w:name w:val="正文（首行不缩进）"/>
    <w:basedOn w:val="1"/>
    <w:qFormat/>
    <w:uiPriority w:val="99"/>
    <w:pPr>
      <w:autoSpaceDE w:val="0"/>
      <w:autoSpaceDN w:val="0"/>
      <w:adjustRightInd w:val="0"/>
      <w:spacing w:line="360" w:lineRule="auto"/>
      <w:jc w:val="left"/>
    </w:pPr>
    <w:rPr>
      <w:kern w:val="0"/>
      <w:sz w:val="21"/>
      <w:szCs w:val="21"/>
    </w:rPr>
  </w:style>
  <w:style w:type="paragraph" w:customStyle="1" w:styleId="130">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1">
    <w:name w:val="表文字"/>
    <w:qFormat/>
    <w:uiPriority w:val="99"/>
    <w:rPr>
      <w:rFonts w:ascii="宋体" w:hAnsi="Times New Roman" w:eastAsia="宋体" w:cs="宋体"/>
      <w:kern w:val="2"/>
      <w:lang w:val="en-US" w:eastAsia="zh-CN" w:bidi="ar-SA"/>
    </w:rPr>
  </w:style>
  <w:style w:type="paragraph" w:customStyle="1" w:styleId="132">
    <w:name w:val="Char Char1 Char"/>
    <w:basedOn w:val="1"/>
    <w:qFormat/>
    <w:uiPriority w:val="99"/>
    <w:rPr>
      <w:rFonts w:ascii="Tahoma" w:hAnsi="Tahoma" w:cs="Tahoma"/>
      <w:sz w:val="24"/>
      <w:szCs w:val="24"/>
    </w:rPr>
  </w:style>
  <w:style w:type="paragraph" w:customStyle="1" w:styleId="133">
    <w:name w:val="1"/>
    <w:basedOn w:val="1"/>
    <w:qFormat/>
    <w:uiPriority w:val="99"/>
    <w:rPr>
      <w:rFonts w:ascii="Tahoma" w:hAnsi="Tahoma" w:cs="Tahoma"/>
      <w:sz w:val="24"/>
      <w:szCs w:val="24"/>
    </w:rPr>
  </w:style>
  <w:style w:type="paragraph" w:customStyle="1" w:styleId="134">
    <w:name w:val="Item List"/>
    <w:qFormat/>
    <w:uiPriority w:val="99"/>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135">
    <w:name w:val="表格内文字"/>
    <w:basedOn w:val="30"/>
    <w:qFormat/>
    <w:uiPriority w:val="99"/>
    <w:pPr>
      <w:snapToGrid/>
      <w:spacing w:line="240" w:lineRule="auto"/>
    </w:pPr>
    <w:rPr>
      <w:color w:val="000000"/>
      <w:lang w:val="en-GB"/>
    </w:rPr>
  </w:style>
  <w:style w:type="paragraph" w:customStyle="1" w:styleId="136">
    <w:name w:val="Char Char Char 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37">
    <w:name w:val="默认段落字体 Para Char Char Char Char Char Char Char Char Char1 Char Char Char Char"/>
    <w:basedOn w:val="1"/>
    <w:qFormat/>
    <w:uiPriority w:val="99"/>
    <w:rPr>
      <w:rFonts w:ascii="Tahoma" w:hAnsi="Tahoma" w:cs="Tahoma"/>
      <w:sz w:val="24"/>
      <w:szCs w:val="24"/>
    </w:rPr>
  </w:style>
  <w:style w:type="paragraph" w:customStyle="1" w:styleId="138">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9">
    <w:name w:val="Char Char Char Char"/>
    <w:basedOn w:val="1"/>
    <w:qFormat/>
    <w:uiPriority w:val="99"/>
    <w:pPr>
      <w:pageBreakBefore/>
      <w:widowControl/>
      <w:spacing w:after="160" w:line="240" w:lineRule="exact"/>
      <w:jc w:val="left"/>
    </w:pPr>
    <w:rPr>
      <w:rFonts w:ascii="Verdana" w:hAnsi="Verdana" w:cs="Verdana"/>
      <w:kern w:val="0"/>
      <w:sz w:val="20"/>
      <w:szCs w:val="20"/>
      <w:lang w:eastAsia="en-US"/>
    </w:rPr>
  </w:style>
  <w:style w:type="paragraph" w:customStyle="1" w:styleId="140">
    <w:name w:val="Char Char1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1">
    <w:name w:val="Table Text Char1"/>
    <w:qFormat/>
    <w:uiPriority w:val="99"/>
    <w:pPr>
      <w:snapToGrid w:val="0"/>
      <w:spacing w:before="80" w:after="80"/>
    </w:pPr>
    <w:rPr>
      <w:rFonts w:ascii="Arial" w:hAnsi="Arial" w:eastAsia="宋体" w:cs="Arial"/>
      <w:kern w:val="2"/>
      <w:sz w:val="18"/>
      <w:szCs w:val="18"/>
      <w:lang w:val="en-US" w:eastAsia="zh-CN" w:bidi="ar-SA"/>
    </w:rPr>
  </w:style>
  <w:style w:type="paragraph" w:customStyle="1" w:styleId="142">
    <w:name w:val="Table Text"/>
    <w:qFormat/>
    <w:uiPriority w:val="99"/>
    <w:pPr>
      <w:snapToGrid w:val="0"/>
      <w:spacing w:before="80" w:after="80"/>
    </w:pPr>
    <w:rPr>
      <w:rFonts w:ascii="Arial" w:hAnsi="Arial" w:eastAsia="宋体" w:cs="Arial"/>
      <w:kern w:val="2"/>
      <w:sz w:val="18"/>
      <w:szCs w:val="18"/>
      <w:lang w:val="en-US" w:eastAsia="zh-CN" w:bidi="ar-SA"/>
    </w:rPr>
  </w:style>
  <w:style w:type="paragraph" w:customStyle="1" w:styleId="143">
    <w:name w:val="AA Numbering"/>
    <w:basedOn w:val="1"/>
    <w:qFormat/>
    <w:uiPriority w:val="99"/>
    <w:pPr>
      <w:widowControl/>
      <w:tabs>
        <w:tab w:val="left" w:pos="1134"/>
        <w:tab w:val="left" w:pos="1280"/>
      </w:tabs>
      <w:adjustRightInd w:val="0"/>
      <w:snapToGrid w:val="0"/>
      <w:spacing w:line="280" w:lineRule="atLeast"/>
      <w:jc w:val="left"/>
    </w:pPr>
    <w:rPr>
      <w:rFonts w:eastAsia="PMingLiU"/>
      <w:kern w:val="0"/>
      <w:sz w:val="24"/>
      <w:szCs w:val="24"/>
      <w:lang w:eastAsia="zh-TW"/>
    </w:rPr>
  </w:style>
  <w:style w:type="paragraph" w:customStyle="1" w:styleId="144">
    <w:name w:val="关键词"/>
    <w:basedOn w:val="1"/>
    <w:next w:val="1"/>
    <w:qFormat/>
    <w:uiPriority w:val="99"/>
    <w:pPr>
      <w:spacing w:line="360" w:lineRule="auto"/>
    </w:pPr>
    <w:rPr>
      <w:rFonts w:eastAsia="黑体"/>
      <w:sz w:val="20"/>
      <w:szCs w:val="20"/>
    </w:rPr>
  </w:style>
  <w:style w:type="paragraph" w:customStyle="1" w:styleId="145">
    <w:name w:val="文档正文 Char Char Char Char Char"/>
    <w:basedOn w:val="1"/>
    <w:qFormat/>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146">
    <w:name w:val="没有缩进（为图形使用）"/>
    <w:basedOn w:val="1"/>
    <w:qFormat/>
    <w:uiPriority w:val="99"/>
    <w:pPr>
      <w:spacing w:before="120" w:after="120" w:line="360" w:lineRule="auto"/>
    </w:pPr>
    <w:rPr>
      <w:sz w:val="24"/>
      <w:szCs w:val="24"/>
    </w:rPr>
  </w:style>
  <w:style w:type="paragraph" w:customStyle="1" w:styleId="147">
    <w:name w:val="正文文本缩进 21"/>
    <w:basedOn w:val="1"/>
    <w:qFormat/>
    <w:uiPriority w:val="99"/>
    <w:pPr>
      <w:adjustRightInd w:val="0"/>
      <w:spacing w:before="120"/>
      <w:ind w:firstLine="420"/>
      <w:textAlignment w:val="baseline"/>
    </w:pPr>
    <w:rPr>
      <w:sz w:val="24"/>
      <w:szCs w:val="24"/>
    </w:rPr>
  </w:style>
  <w:style w:type="paragraph" w:customStyle="1" w:styleId="148">
    <w:name w:val="Item Step in Tabl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49">
    <w:name w:val="Table Description"/>
    <w:next w:val="1"/>
    <w:qFormat/>
    <w:uiPriority w:val="99"/>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50">
    <w:name w:val="样式2"/>
    <w:basedOn w:val="2"/>
    <w:qFormat/>
    <w:uiPriority w:val="99"/>
    <w:pPr>
      <w:spacing w:line="400" w:lineRule="exact"/>
      <w:jc w:val="center"/>
      <w:outlineLvl w:val="0"/>
    </w:pPr>
    <w:rPr>
      <w:b w:val="0"/>
      <w:bCs w:val="0"/>
      <w:sz w:val="44"/>
      <w:szCs w:val="44"/>
    </w:rPr>
  </w:style>
  <w:style w:type="paragraph" w:customStyle="1" w:styleId="151">
    <w:name w:val="xl23"/>
    <w:basedOn w:val="1"/>
    <w:qFormat/>
    <w:uiPriority w:val="99"/>
    <w:pPr>
      <w:widowControl/>
      <w:spacing w:before="100" w:beforeAutospacing="1" w:after="100" w:afterAutospacing="1" w:line="360" w:lineRule="auto"/>
      <w:textAlignment w:val="top"/>
    </w:pPr>
    <w:rPr>
      <w:kern w:val="0"/>
      <w:sz w:val="24"/>
      <w:szCs w:val="24"/>
    </w:rPr>
  </w:style>
  <w:style w:type="paragraph" w:customStyle="1" w:styleId="152">
    <w:name w:val="Char Char Char"/>
    <w:basedOn w:val="1"/>
    <w:qFormat/>
    <w:uiPriority w:val="99"/>
    <w:rPr>
      <w:rFonts w:ascii="Tahoma" w:hAnsi="Tahoma" w:cs="Tahoma"/>
      <w:sz w:val="24"/>
      <w:szCs w:val="24"/>
    </w:rPr>
  </w:style>
  <w:style w:type="paragraph" w:customStyle="1" w:styleId="153">
    <w:name w:val="Table Heading"/>
    <w:qFormat/>
    <w:uiPriority w:val="99"/>
    <w:pPr>
      <w:keepNext/>
      <w:snapToGrid w:val="0"/>
      <w:spacing w:before="80" w:after="80"/>
      <w:jc w:val="center"/>
    </w:pPr>
    <w:rPr>
      <w:rFonts w:ascii="Arial" w:hAnsi="Arial" w:eastAsia="黑体" w:cs="Arial"/>
      <w:sz w:val="18"/>
      <w:szCs w:val="18"/>
      <w:lang w:val="en-US" w:eastAsia="zh-CN" w:bidi="ar-SA"/>
    </w:rPr>
  </w:style>
  <w:style w:type="paragraph" w:customStyle="1" w:styleId="154">
    <w:name w:val="默认段落字体 Para Char Char Char Char Char Char Char"/>
    <w:basedOn w:val="1"/>
    <w:qFormat/>
    <w:uiPriority w:val="99"/>
    <w:rPr>
      <w:rFonts w:ascii="Tahoma" w:hAnsi="Tahoma" w:cs="Tahoma"/>
      <w:sz w:val="24"/>
      <w:szCs w:val="24"/>
    </w:rPr>
  </w:style>
  <w:style w:type="paragraph" w:customStyle="1" w:styleId="155">
    <w:name w:val="附录2"/>
    <w:basedOn w:val="1"/>
    <w:next w:val="1"/>
    <w:qFormat/>
    <w:uiPriority w:val="99"/>
    <w:pPr>
      <w:tabs>
        <w:tab w:val="left" w:pos="420"/>
        <w:tab w:val="left" w:pos="624"/>
      </w:tabs>
      <w:ind w:left="420" w:hanging="420"/>
      <w:outlineLvl w:val="1"/>
    </w:pPr>
    <w:rPr>
      <w:rFonts w:ascii="黑体" w:hAnsi="黑体" w:eastAsia="黑体" w:cs="黑体"/>
      <w:b/>
      <w:bCs/>
      <w:sz w:val="32"/>
      <w:szCs w:val="32"/>
    </w:rPr>
  </w:style>
  <w:style w:type="paragraph" w:customStyle="1" w:styleId="15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157">
    <w:name w:val="表头样式"/>
    <w:basedOn w:val="1"/>
    <w:qFormat/>
    <w:uiPriority w:val="99"/>
    <w:pPr>
      <w:autoSpaceDE w:val="0"/>
      <w:autoSpaceDN w:val="0"/>
      <w:adjustRightInd w:val="0"/>
      <w:spacing w:line="360" w:lineRule="auto"/>
      <w:jc w:val="left"/>
    </w:pPr>
    <w:rPr>
      <w:b/>
      <w:bCs/>
      <w:kern w:val="0"/>
      <w:sz w:val="21"/>
      <w:szCs w:val="21"/>
    </w:rPr>
  </w:style>
  <w:style w:type="paragraph" w:customStyle="1" w:styleId="158">
    <w:name w:val="普通正文"/>
    <w:basedOn w:val="1"/>
    <w:qFormat/>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59">
    <w:name w:val="正文字缩2字"/>
    <w:basedOn w:val="1"/>
    <w:qFormat/>
    <w:uiPriority w:val="99"/>
    <w:pPr>
      <w:spacing w:before="60" w:after="60" w:line="360" w:lineRule="auto"/>
      <w:ind w:left="200" w:leftChars="200" w:firstLine="200" w:firstLineChars="200"/>
    </w:pPr>
    <w:rPr>
      <w:sz w:val="24"/>
      <w:szCs w:val="24"/>
    </w:rPr>
  </w:style>
  <w:style w:type="paragraph" w:customStyle="1" w:styleId="160">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61">
    <w:name w:val="章标题"/>
    <w:next w:val="1"/>
    <w:qFormat/>
    <w:uiPriority w:val="99"/>
    <w:pPr>
      <w:spacing w:beforeLines="50" w:afterLines="50"/>
      <w:jc w:val="both"/>
      <w:outlineLvl w:val="1"/>
    </w:pPr>
    <w:rPr>
      <w:rFonts w:ascii="黑体" w:hAnsi="Times New Roman" w:eastAsia="黑体" w:cs="黑体"/>
      <w:sz w:val="24"/>
      <w:szCs w:val="24"/>
      <w:lang w:val="en-US" w:eastAsia="zh-CN" w:bidi="ar-SA"/>
    </w:rPr>
  </w:style>
  <w:style w:type="paragraph" w:customStyle="1" w:styleId="162">
    <w:name w:val="样式 标题 6第五层条 + 三号 段前: 0.5 行"/>
    <w:basedOn w:val="7"/>
    <w:qFormat/>
    <w:uiPriority w:val="99"/>
    <w:pPr>
      <w:widowControl/>
      <w:adjustRightInd/>
      <w:snapToGrid/>
      <w:spacing w:beforeLines="50"/>
      <w:jc w:val="left"/>
    </w:pPr>
    <w:rPr>
      <w:kern w:val="24"/>
      <w:sz w:val="28"/>
      <w:szCs w:val="28"/>
    </w:rPr>
  </w:style>
  <w:style w:type="paragraph" w:customStyle="1" w:styleId="163">
    <w:name w:val="Title - Date"/>
    <w:basedOn w:val="53"/>
    <w:next w:val="1"/>
    <w:qFormat/>
    <w:uiPriority w:val="99"/>
    <w:pPr>
      <w:spacing w:before="240" w:after="720"/>
    </w:pPr>
    <w:rPr>
      <w:sz w:val="28"/>
      <w:szCs w:val="28"/>
    </w:rPr>
  </w:style>
  <w:style w:type="paragraph" w:customStyle="1" w:styleId="164">
    <w:name w:val="样式 宋体 五号 行距: 单倍行距"/>
    <w:basedOn w:val="1"/>
    <w:qFormat/>
    <w:uiPriority w:val="99"/>
    <w:pPr>
      <w:adjustRightInd w:val="0"/>
      <w:jc w:val="left"/>
    </w:pPr>
    <w:rPr>
      <w:rFonts w:ascii="宋体" w:hAnsi="宋体" w:cs="宋体"/>
      <w:kern w:val="0"/>
      <w:sz w:val="21"/>
      <w:szCs w:val="21"/>
    </w:rPr>
  </w:style>
  <w:style w:type="paragraph" w:customStyle="1" w:styleId="165">
    <w:name w:val="文章正文"/>
    <w:basedOn w:val="1"/>
    <w:qFormat/>
    <w:uiPriority w:val="99"/>
    <w:pPr>
      <w:ind w:firstLine="560" w:firstLineChars="200"/>
    </w:pPr>
    <w:rPr>
      <w:rFonts w:ascii="仿宋_GB2312" w:hAnsi="宋体" w:eastAsia="仿宋_GB2312" w:cs="仿宋_GB2312"/>
      <w:color w:val="000000"/>
    </w:rPr>
  </w:style>
  <w:style w:type="paragraph" w:customStyle="1" w:styleId="166">
    <w:name w:val="操作步骤"/>
    <w:basedOn w:val="1"/>
    <w:qFormat/>
    <w:uiPriority w:val="99"/>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67">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168">
    <w:name w:val="Title - Revision"/>
    <w:basedOn w:val="53"/>
    <w:qFormat/>
    <w:uiPriority w:val="99"/>
    <w:pPr>
      <w:spacing w:before="720"/>
    </w:pPr>
  </w:style>
  <w:style w:type="paragraph" w:customStyle="1" w:styleId="169">
    <w:name w:val="标题5"/>
    <w:basedOn w:val="1"/>
    <w:qFormat/>
    <w:uiPriority w:val="99"/>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70">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1">
    <w:name w:val="Char1 Char Char Char"/>
    <w:basedOn w:val="1"/>
    <w:qFormat/>
    <w:uiPriority w:val="99"/>
    <w:rPr>
      <w:rFonts w:ascii="Tahoma" w:hAnsi="Tahoma" w:cs="Tahoma"/>
      <w:sz w:val="24"/>
      <w:szCs w:val="24"/>
    </w:rPr>
  </w:style>
  <w:style w:type="paragraph" w:customStyle="1" w:styleId="172">
    <w:name w:val="Char Char 字元 字元 字元 Char Char Char Char"/>
    <w:basedOn w:val="1"/>
    <w:qFormat/>
    <w:uiPriority w:val="99"/>
    <w:pPr>
      <w:adjustRightInd w:val="0"/>
      <w:spacing w:line="360" w:lineRule="auto"/>
    </w:pPr>
    <w:rPr>
      <w:kern w:val="0"/>
      <w:sz w:val="24"/>
      <w:szCs w:val="24"/>
    </w:rPr>
  </w:style>
  <w:style w:type="paragraph" w:customStyle="1" w:styleId="173">
    <w:name w:val="项目"/>
    <w:basedOn w:val="1"/>
    <w:qFormat/>
    <w:uiPriority w:val="99"/>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74">
    <w:name w:val="文档正文 Char Char Char Char"/>
    <w:basedOn w:val="1"/>
    <w:qFormat/>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175">
    <w:name w:val="标题2"/>
    <w:basedOn w:val="4"/>
    <w:qFormat/>
    <w:uiPriority w:val="99"/>
    <w:pPr>
      <w:keepNext w:val="0"/>
      <w:keepLines w:val="0"/>
      <w:ind w:firstLine="574" w:firstLineChars="196"/>
      <w:outlineLvl w:val="9"/>
    </w:pPr>
    <w:rPr>
      <w:b/>
      <w:bCs/>
      <w:spacing w:val="6"/>
      <w:u w:val="single"/>
    </w:rPr>
  </w:style>
  <w:style w:type="paragraph" w:customStyle="1" w:styleId="176">
    <w:name w:val="简单回函地址"/>
    <w:basedOn w:val="1"/>
    <w:qFormat/>
    <w:uiPriority w:val="99"/>
    <w:pPr>
      <w:adjustRightInd w:val="0"/>
      <w:snapToGrid w:val="0"/>
      <w:spacing w:line="360" w:lineRule="auto"/>
    </w:pPr>
    <w:rPr>
      <w:sz w:val="24"/>
      <w:szCs w:val="24"/>
    </w:rPr>
  </w:style>
  <w:style w:type="paragraph" w:customStyle="1" w:styleId="177">
    <w:name w:val="样式 正文首行缩进 2 + 首行缩进:  2 字符"/>
    <w:basedOn w:val="1"/>
    <w:qFormat/>
    <w:uiPriority w:val="99"/>
    <w:pPr>
      <w:tabs>
        <w:tab w:val="left" w:pos="987"/>
      </w:tabs>
      <w:adjustRightInd w:val="0"/>
      <w:snapToGrid w:val="0"/>
      <w:spacing w:line="360" w:lineRule="auto"/>
      <w:ind w:left="987" w:hanging="420"/>
    </w:pPr>
    <w:rPr>
      <w:rFonts w:ascii="Arial" w:hAnsi="Arial" w:cs="Arial"/>
      <w:b/>
      <w:bCs/>
      <w:sz w:val="24"/>
      <w:szCs w:val="24"/>
    </w:rPr>
  </w:style>
  <w:style w:type="paragraph" w:customStyle="1" w:styleId="178">
    <w:name w:val="CSS1级正文 Char"/>
    <w:basedOn w:val="22"/>
    <w:qFormat/>
    <w:uiPriority w:val="99"/>
    <w:pPr>
      <w:adjustRightInd w:val="0"/>
      <w:snapToGrid w:val="0"/>
      <w:spacing w:line="360" w:lineRule="auto"/>
      <w:ind w:firstLine="480"/>
    </w:pPr>
    <w:rPr>
      <w:sz w:val="24"/>
      <w:szCs w:val="24"/>
    </w:rPr>
  </w:style>
  <w:style w:type="paragraph" w:customStyle="1" w:styleId="179">
    <w:name w:val="附录1"/>
    <w:basedOn w:val="1"/>
    <w:next w:val="1"/>
    <w:qFormat/>
    <w:uiPriority w:val="99"/>
    <w:pPr>
      <w:tabs>
        <w:tab w:val="left" w:pos="1304"/>
      </w:tabs>
      <w:ind w:left="425" w:hanging="425"/>
      <w:outlineLvl w:val="0"/>
    </w:pPr>
    <w:rPr>
      <w:rFonts w:ascii="黑体" w:hAnsi="黑体" w:eastAsia="黑体" w:cs="黑体"/>
      <w:b/>
      <w:bCs/>
      <w:sz w:val="44"/>
      <w:szCs w:val="44"/>
    </w:rPr>
  </w:style>
  <w:style w:type="paragraph" w:customStyle="1" w:styleId="180">
    <w:name w:val="表头文本"/>
    <w:qFormat/>
    <w:uiPriority w:val="99"/>
    <w:pPr>
      <w:jc w:val="center"/>
    </w:pPr>
    <w:rPr>
      <w:rFonts w:ascii="Arial" w:hAnsi="Arial" w:eastAsia="宋体" w:cs="Arial"/>
      <w:b/>
      <w:bCs/>
      <w:sz w:val="21"/>
      <w:szCs w:val="21"/>
      <w:lang w:val="en-US" w:eastAsia="zh-CN" w:bidi="ar-SA"/>
    </w:rPr>
  </w:style>
  <w:style w:type="paragraph" w:customStyle="1" w:styleId="181">
    <w:name w:val="Char"/>
    <w:basedOn w:val="1"/>
    <w:qFormat/>
    <w:uiPriority w:val="99"/>
    <w:pPr>
      <w:spacing w:line="240" w:lineRule="atLeast"/>
      <w:ind w:left="420" w:firstLine="420"/>
    </w:pPr>
    <w:rPr>
      <w:kern w:val="0"/>
      <w:sz w:val="21"/>
      <w:szCs w:val="21"/>
    </w:rPr>
  </w:style>
  <w:style w:type="paragraph" w:customStyle="1" w:styleId="182">
    <w:name w:val="标准正文"/>
    <w:basedOn w:val="23"/>
    <w:qFormat/>
    <w:uiPriority w:val="99"/>
    <w:pPr>
      <w:spacing w:before="60" w:after="60" w:line="360" w:lineRule="auto"/>
      <w:ind w:left="0" w:firstLine="482"/>
    </w:pPr>
    <w:rPr>
      <w:rFonts w:ascii="Arial" w:hAnsi="Arial" w:cs="Arial"/>
      <w:sz w:val="24"/>
      <w:szCs w:val="24"/>
    </w:rPr>
  </w:style>
  <w:style w:type="paragraph" w:customStyle="1" w:styleId="183">
    <w:name w:val="Table Contents"/>
    <w:basedOn w:val="22"/>
    <w:qFormat/>
    <w:uiPriority w:val="99"/>
    <w:pPr>
      <w:suppressAutoHyphens/>
      <w:jc w:val="left"/>
    </w:pPr>
    <w:rPr>
      <w:sz w:val="24"/>
      <w:szCs w:val="24"/>
    </w:rPr>
  </w:style>
  <w:style w:type="paragraph" w:customStyle="1" w:styleId="184">
    <w:name w:val="可研正文"/>
    <w:basedOn w:val="22"/>
    <w:qFormat/>
    <w:uiPriority w:val="99"/>
    <w:pPr>
      <w:adjustRightInd w:val="0"/>
      <w:snapToGrid w:val="0"/>
      <w:spacing w:line="440" w:lineRule="exact"/>
      <w:ind w:firstLine="567"/>
    </w:pPr>
  </w:style>
  <w:style w:type="paragraph" w:customStyle="1" w:styleId="185">
    <w:name w:val="样式1xz"/>
    <w:basedOn w:val="1"/>
    <w:qFormat/>
    <w:uiPriority w:val="99"/>
    <w:pPr>
      <w:tabs>
        <w:tab w:val="left" w:pos="1050"/>
        <w:tab w:val="right" w:leader="dot" w:pos="8296"/>
      </w:tabs>
    </w:pPr>
    <w:rPr>
      <w:caps/>
      <w:spacing w:val="20"/>
      <w:sz w:val="24"/>
      <w:szCs w:val="24"/>
    </w:rPr>
  </w:style>
  <w:style w:type="paragraph" w:customStyle="1" w:styleId="186">
    <w:name w:val="Char1 Char Char Char1"/>
    <w:basedOn w:val="1"/>
    <w:qFormat/>
    <w:uiPriority w:val="99"/>
    <w:rPr>
      <w:rFonts w:ascii="Tahoma" w:hAnsi="Tahoma" w:cs="Tahoma"/>
      <w:sz w:val="21"/>
      <w:szCs w:val="21"/>
    </w:rPr>
  </w:style>
  <w:style w:type="paragraph" w:customStyle="1" w:styleId="187">
    <w:name w:val="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88">
    <w:name w:val="表号"/>
    <w:basedOn w:val="1"/>
    <w:qFormat/>
    <w:uiPriority w:val="99"/>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89">
    <w:name w:val="缺省文本"/>
    <w:basedOn w:val="1"/>
    <w:qFormat/>
    <w:uiPriority w:val="99"/>
    <w:pPr>
      <w:tabs>
        <w:tab w:val="left" w:pos="1260"/>
      </w:tabs>
      <w:autoSpaceDE w:val="0"/>
      <w:autoSpaceDN w:val="0"/>
      <w:adjustRightInd w:val="0"/>
      <w:spacing w:line="360" w:lineRule="auto"/>
      <w:jc w:val="left"/>
    </w:pPr>
    <w:rPr>
      <w:kern w:val="0"/>
      <w:sz w:val="24"/>
      <w:szCs w:val="24"/>
    </w:rPr>
  </w:style>
  <w:style w:type="paragraph" w:customStyle="1" w:styleId="190">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191">
    <w:name w:val="首行缩进"/>
    <w:basedOn w:val="1"/>
    <w:qFormat/>
    <w:uiPriority w:val="99"/>
    <w:pPr>
      <w:spacing w:line="360" w:lineRule="auto"/>
      <w:ind w:firstLine="420" w:firstLineChars="200"/>
    </w:pPr>
    <w:rPr>
      <w:sz w:val="21"/>
      <w:szCs w:val="21"/>
    </w:rPr>
  </w:style>
  <w:style w:type="paragraph" w:customStyle="1" w:styleId="192">
    <w:name w:val="样式1"/>
    <w:basedOn w:val="2"/>
    <w:qFormat/>
    <w:uiPriority w:val="99"/>
    <w:pPr>
      <w:spacing w:before="500" w:after="260" w:line="560" w:lineRule="atLeast"/>
    </w:pPr>
  </w:style>
  <w:style w:type="paragraph" w:customStyle="1" w:styleId="193">
    <w:name w:val="样式3"/>
    <w:basedOn w:val="3"/>
    <w:next w:val="3"/>
    <w:qFormat/>
    <w:uiPriority w:val="99"/>
    <w:pPr>
      <w:keepLines/>
      <w:tabs>
        <w:tab w:val="clear" w:pos="3360"/>
      </w:tabs>
      <w:adjustRightInd w:val="0"/>
      <w:spacing w:beforeLines="0" w:afterLines="0" w:line="576" w:lineRule="auto"/>
      <w:jc w:val="both"/>
    </w:pPr>
  </w:style>
  <w:style w:type="paragraph" w:customStyle="1" w:styleId="194">
    <w:name w:val="样式 样式 正文首行缩进 2 + 左  0 字符 + 首行缩进:  2.57 字符"/>
    <w:basedOn w:val="1"/>
    <w:next w:val="1"/>
    <w:qFormat/>
    <w:uiPriority w:val="99"/>
    <w:pPr>
      <w:adjustRightInd w:val="0"/>
      <w:snapToGrid w:val="0"/>
      <w:spacing w:after="120"/>
      <w:ind w:firstLine="540" w:firstLineChars="257"/>
    </w:pPr>
    <w:rPr>
      <w:sz w:val="21"/>
      <w:szCs w:val="21"/>
    </w:rPr>
  </w:style>
  <w:style w:type="paragraph" w:customStyle="1" w:styleId="195">
    <w:name w:val="Item Step"/>
    <w:qFormat/>
    <w:uiPriority w:val="99"/>
    <w:pPr>
      <w:tabs>
        <w:tab w:val="left" w:pos="1644"/>
      </w:tabs>
      <w:ind w:left="1644" w:hanging="510"/>
      <w:outlineLvl w:val="4"/>
    </w:pPr>
    <w:rPr>
      <w:rFonts w:ascii="Arial" w:hAnsi="Arial" w:eastAsia="宋体" w:cs="Arial"/>
      <w:sz w:val="21"/>
      <w:szCs w:val="21"/>
      <w:lang w:val="en-US" w:eastAsia="zh-CN" w:bidi="ar-SA"/>
    </w:rPr>
  </w:style>
  <w:style w:type="paragraph" w:customStyle="1" w:styleId="196">
    <w:name w:val="正文表格"/>
    <w:basedOn w:val="1"/>
    <w:qFormat/>
    <w:uiPriority w:val="99"/>
    <w:pPr>
      <w:adjustRightInd w:val="0"/>
      <w:spacing w:before="40" w:after="40"/>
    </w:pPr>
    <w:rPr>
      <w:sz w:val="24"/>
      <w:szCs w:val="24"/>
    </w:rPr>
  </w:style>
  <w:style w:type="paragraph" w:customStyle="1" w:styleId="197">
    <w:name w:val="Char Char Char Char Char Char1 Char"/>
    <w:basedOn w:val="1"/>
    <w:qFormat/>
    <w:uiPriority w:val="99"/>
    <w:pPr>
      <w:widowControl/>
      <w:spacing w:after="160" w:line="240" w:lineRule="exact"/>
      <w:jc w:val="left"/>
    </w:pPr>
    <w:rPr>
      <w:rFonts w:ascii="Verdana" w:hAnsi="Verdana" w:cs="Verdana"/>
      <w:kern w:val="0"/>
      <w:sz w:val="21"/>
      <w:szCs w:val="21"/>
      <w:lang w:eastAsia="en-US"/>
    </w:rPr>
  </w:style>
  <w:style w:type="paragraph" w:customStyle="1" w:styleId="198">
    <w:name w:val="标题3——2"/>
    <w:basedOn w:val="5"/>
    <w:next w:val="55"/>
    <w:qFormat/>
    <w:uiPriority w:val="99"/>
    <w:pPr>
      <w:tabs>
        <w:tab w:val="left" w:pos="1280"/>
        <w:tab w:val="right" w:leader="dot" w:pos="8777"/>
      </w:tabs>
      <w:spacing w:beforeLines="100" w:after="0" w:line="240" w:lineRule="auto"/>
      <w:ind w:left="851" w:hanging="851"/>
      <w:jc w:val="both"/>
      <w:outlineLvl w:val="9"/>
    </w:pPr>
    <w:rPr>
      <w:rFonts w:ascii="黑体" w:hAnsi="宋体" w:eastAsia="黑体" w:cs="黑体"/>
      <w:sz w:val="30"/>
      <w:szCs w:val="30"/>
    </w:rPr>
  </w:style>
  <w:style w:type="paragraph" w:customStyle="1" w:styleId="199">
    <w:name w:val="样式 宋体 五号 两端对齐 行距: 单倍行距"/>
    <w:basedOn w:val="1"/>
    <w:qFormat/>
    <w:uiPriority w:val="99"/>
    <w:pPr>
      <w:adjustRightInd w:val="0"/>
      <w:textAlignment w:val="baseline"/>
    </w:pPr>
    <w:rPr>
      <w:rFonts w:ascii="宋体" w:hAnsi="宋体" w:cs="宋体"/>
      <w:kern w:val="0"/>
      <w:sz w:val="21"/>
      <w:szCs w:val="21"/>
    </w:rPr>
  </w:style>
  <w:style w:type="paragraph" w:customStyle="1" w:styleId="200">
    <w:name w:val="IN Step"/>
    <w:basedOn w:val="1"/>
    <w:qFormat/>
    <w:uiPriority w:val="99"/>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201">
    <w:name w:val="Char Char Char Char Char"/>
    <w:basedOn w:val="1"/>
    <w:qFormat/>
    <w:uiPriority w:val="99"/>
    <w:pPr>
      <w:tabs>
        <w:tab w:val="left" w:pos="425"/>
      </w:tabs>
      <w:ind w:left="425" w:hanging="425"/>
    </w:pPr>
    <w:rPr>
      <w:rFonts w:ascii="Tahoma" w:hAnsi="Tahoma" w:cs="Tahoma"/>
      <w:sz w:val="24"/>
      <w:szCs w:val="24"/>
    </w:rPr>
  </w:style>
  <w:style w:type="paragraph" w:customStyle="1" w:styleId="202">
    <w:name w:val="标题无"/>
    <w:basedOn w:val="1"/>
    <w:qFormat/>
    <w:uiPriority w:val="99"/>
    <w:pPr>
      <w:spacing w:line="360" w:lineRule="auto"/>
    </w:pPr>
    <w:rPr>
      <w:sz w:val="24"/>
      <w:szCs w:val="24"/>
    </w:rPr>
  </w:style>
  <w:style w:type="paragraph" w:customStyle="1" w:styleId="203">
    <w:name w:val="样式4"/>
    <w:basedOn w:val="2"/>
    <w:qFormat/>
    <w:uiPriority w:val="99"/>
    <w:pPr>
      <w:adjustRightInd w:val="0"/>
      <w:snapToGrid w:val="0"/>
      <w:spacing w:before="280" w:line="372" w:lineRule="auto"/>
      <w:ind w:left="0" w:firstLine="0"/>
    </w:pPr>
  </w:style>
  <w:style w:type="paragraph" w:customStyle="1" w:styleId="204">
    <w:name w:val="Note"/>
    <w:basedOn w:val="1"/>
    <w:qFormat/>
    <w:uiPriority w:val="99"/>
    <w:pPr>
      <w:pBdr>
        <w:top w:val="single" w:color="auto" w:sz="12" w:space="3"/>
        <w:bottom w:val="single" w:color="auto" w:sz="12" w:space="3"/>
      </w:pBdr>
      <w:spacing w:line="360" w:lineRule="auto"/>
    </w:pPr>
    <w:rPr>
      <w:sz w:val="24"/>
      <w:szCs w:val="24"/>
    </w:rPr>
  </w:style>
  <w:style w:type="paragraph" w:customStyle="1" w:styleId="205">
    <w:name w:val="摘要"/>
    <w:basedOn w:val="1"/>
    <w:next w:val="4"/>
    <w:qFormat/>
    <w:uiPriority w:val="99"/>
    <w:pPr>
      <w:spacing w:line="360" w:lineRule="auto"/>
    </w:pPr>
    <w:rPr>
      <w:rFonts w:eastAsia="黑体"/>
      <w:sz w:val="20"/>
      <w:szCs w:val="20"/>
    </w:rPr>
  </w:style>
  <w:style w:type="paragraph" w:customStyle="1" w:styleId="206">
    <w:name w:val="正文 + 三号"/>
    <w:basedOn w:val="1"/>
    <w:qFormat/>
    <w:uiPriority w:val="99"/>
    <w:rPr>
      <w:sz w:val="21"/>
      <w:szCs w:val="21"/>
    </w:rPr>
  </w:style>
  <w:style w:type="paragraph" w:customStyle="1" w:styleId="207">
    <w:name w:val="IN Feature"/>
    <w:next w:val="200"/>
    <w:qFormat/>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208">
    <w:name w:val="Table Text Char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09">
    <w:name w:val="00"/>
    <w:basedOn w:val="1"/>
    <w:qFormat/>
    <w:uiPriority w:val="99"/>
    <w:pPr>
      <w:autoSpaceDE w:val="0"/>
      <w:autoSpaceDN w:val="0"/>
      <w:adjustRightInd w:val="0"/>
      <w:jc w:val="left"/>
    </w:pPr>
    <w:rPr>
      <w:rFonts w:ascii="黑体" w:eastAsia="黑体" w:cs="黑体"/>
      <w:b/>
      <w:bCs/>
      <w:kern w:val="0"/>
      <w:sz w:val="20"/>
      <w:szCs w:val="20"/>
    </w:rPr>
  </w:style>
  <w:style w:type="paragraph" w:customStyle="1" w:styleId="210">
    <w:name w:val="小标题 1"/>
    <w:basedOn w:val="1"/>
    <w:qFormat/>
    <w:uiPriority w:val="99"/>
    <w:pPr>
      <w:autoSpaceDE w:val="0"/>
      <w:autoSpaceDN w:val="0"/>
      <w:adjustRightInd w:val="0"/>
      <w:spacing w:line="360" w:lineRule="atLeast"/>
    </w:pPr>
    <w:rPr>
      <w:rFonts w:ascii="文鼎粗黑" w:eastAsia="文鼎粗黑" w:cs="文鼎粗黑"/>
      <w:kern w:val="0"/>
      <w:sz w:val="22"/>
      <w:szCs w:val="22"/>
    </w:rPr>
  </w:style>
  <w:style w:type="paragraph" w:customStyle="1" w:styleId="211">
    <w:name w:val="Char2"/>
    <w:basedOn w:val="1"/>
    <w:qFormat/>
    <w:uiPriority w:val="99"/>
    <w:pPr>
      <w:widowControl/>
      <w:spacing w:line="400" w:lineRule="exact"/>
      <w:jc w:val="center"/>
    </w:pPr>
    <w:rPr>
      <w:sz w:val="24"/>
      <w:szCs w:val="24"/>
    </w:rPr>
  </w:style>
  <w:style w:type="paragraph" w:customStyle="1" w:styleId="212">
    <w:name w:val="标书正文:  0.74 厘米"/>
    <w:basedOn w:val="1"/>
    <w:qFormat/>
    <w:uiPriority w:val="99"/>
    <w:pPr>
      <w:snapToGrid w:val="0"/>
      <w:spacing w:line="360" w:lineRule="auto"/>
      <w:ind w:firstLine="420"/>
    </w:pPr>
    <w:rPr>
      <w:sz w:val="24"/>
      <w:szCs w:val="24"/>
    </w:rPr>
  </w:style>
  <w:style w:type="paragraph" w:customStyle="1" w:styleId="213">
    <w:name w:val="正文格式 Char"/>
    <w:basedOn w:val="1"/>
    <w:qFormat/>
    <w:uiPriority w:val="99"/>
    <w:pPr>
      <w:widowControl/>
      <w:adjustRightInd w:val="0"/>
      <w:spacing w:line="440" w:lineRule="atLeast"/>
      <w:ind w:firstLine="510"/>
      <w:textAlignment w:val="baseline"/>
    </w:pPr>
    <w:rPr>
      <w:kern w:val="0"/>
      <w:sz w:val="24"/>
      <w:szCs w:val="24"/>
    </w:rPr>
  </w:style>
  <w:style w:type="paragraph" w:customStyle="1" w:styleId="214">
    <w:name w:val="图例"/>
    <w:basedOn w:val="1"/>
    <w:qFormat/>
    <w:uiPriority w:val="99"/>
    <w:pPr>
      <w:spacing w:before="120" w:after="120" w:line="360" w:lineRule="auto"/>
      <w:jc w:val="center"/>
    </w:pPr>
    <w:rPr>
      <w:rFonts w:eastAsia="仿宋_GB2312"/>
      <w:b/>
      <w:bCs/>
      <w:sz w:val="24"/>
      <w:szCs w:val="24"/>
    </w:rPr>
  </w:style>
  <w:style w:type="paragraph" w:customStyle="1" w:styleId="215">
    <w:name w:val="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16">
    <w:name w:val="修订1"/>
    <w:qFormat/>
    <w:uiPriority w:val="99"/>
    <w:rPr>
      <w:rFonts w:ascii="Times New Roman" w:hAnsi="Times New Roman" w:eastAsia="宋体" w:cs="Times New Roman"/>
      <w:kern w:val="2"/>
      <w:sz w:val="21"/>
      <w:szCs w:val="21"/>
      <w:lang w:val="en-US" w:eastAsia="zh-CN" w:bidi="ar-SA"/>
    </w:rPr>
  </w:style>
  <w:style w:type="paragraph" w:customStyle="1" w:styleId="217">
    <w:name w:val="首行缩进 1"/>
    <w:basedOn w:val="1"/>
    <w:qFormat/>
    <w:uiPriority w:val="99"/>
    <w:pPr>
      <w:spacing w:after="120" w:line="360" w:lineRule="auto"/>
      <w:ind w:firstLine="200" w:firstLineChars="200"/>
    </w:pPr>
    <w:rPr>
      <w:sz w:val="24"/>
      <w:szCs w:val="24"/>
    </w:rPr>
  </w:style>
  <w:style w:type="paragraph" w:customStyle="1" w:styleId="218">
    <w:name w:val="Figure Description"/>
    <w:next w:val="1"/>
    <w:qFormat/>
    <w:uiPriority w:val="99"/>
    <w:pPr>
      <w:snapToGrid w:val="0"/>
      <w:spacing w:before="80" w:after="320"/>
      <w:ind w:left="1134"/>
      <w:jc w:val="center"/>
    </w:pPr>
    <w:rPr>
      <w:rFonts w:ascii="Arial" w:hAnsi="Arial" w:eastAsia="黑体" w:cs="Arial"/>
      <w:sz w:val="18"/>
      <w:szCs w:val="18"/>
      <w:lang w:val="en-US" w:eastAsia="zh-CN" w:bidi="ar-SA"/>
    </w:rPr>
  </w:style>
  <w:style w:type="paragraph" w:customStyle="1" w:styleId="219">
    <w:name w:val="样式 标题 1章标题Heading 0Section HeadPIM 1H1h11st levell11H1..."/>
    <w:basedOn w:val="3"/>
    <w:qFormat/>
    <w:uiPriority w:val="99"/>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cs="宋体"/>
      <w:sz w:val="36"/>
      <w:szCs w:val="36"/>
    </w:rPr>
  </w:style>
  <w:style w:type="paragraph" w:customStyle="1" w:styleId="220">
    <w:name w:val="文档正文"/>
    <w:basedOn w:val="1"/>
    <w:qFormat/>
    <w:uiPriority w:val="99"/>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221">
    <w:name w:val="样式 行距: 1.5 倍行距1"/>
    <w:basedOn w:val="1"/>
    <w:qFormat/>
    <w:uiPriority w:val="99"/>
    <w:pPr>
      <w:snapToGrid w:val="0"/>
    </w:pPr>
    <w:rPr>
      <w:sz w:val="21"/>
      <w:szCs w:val="21"/>
    </w:rPr>
  </w:style>
  <w:style w:type="paragraph" w:customStyle="1" w:styleId="222">
    <w:name w:val="段落正文"/>
    <w:basedOn w:val="1"/>
    <w:qFormat/>
    <w:uiPriority w:val="99"/>
    <w:pPr>
      <w:spacing w:beforeLines="50" w:line="360" w:lineRule="auto"/>
      <w:ind w:firstLine="200" w:firstLineChars="200"/>
    </w:pPr>
    <w:rPr>
      <w:spacing w:val="2"/>
      <w:sz w:val="24"/>
      <w:szCs w:val="24"/>
    </w:rPr>
  </w:style>
  <w:style w:type="paragraph" w:customStyle="1" w:styleId="223">
    <w:name w:val="_"/>
    <w:basedOn w:val="1"/>
    <w:qFormat/>
    <w:uiPriority w:val="99"/>
    <w:pPr>
      <w:adjustRightInd w:val="0"/>
      <w:spacing w:line="360" w:lineRule="auto"/>
      <w:ind w:left="480" w:firstLine="200" w:firstLineChars="200"/>
      <w:textAlignment w:val="baseline"/>
    </w:pPr>
    <w:rPr>
      <w:kern w:val="0"/>
      <w:sz w:val="24"/>
      <w:szCs w:val="24"/>
    </w:rPr>
  </w:style>
  <w:style w:type="paragraph" w:customStyle="1" w:styleId="224">
    <w:name w:val="二级列表"/>
    <w:basedOn w:val="222"/>
    <w:next w:val="222"/>
    <w:qFormat/>
    <w:uiPriority w:val="99"/>
    <w:pPr>
      <w:tabs>
        <w:tab w:val="left" w:pos="2120"/>
      </w:tabs>
      <w:ind w:firstLine="0" w:firstLineChars="0"/>
    </w:pPr>
    <w:rPr>
      <w:b/>
      <w:bCs/>
    </w:rPr>
  </w:style>
  <w:style w:type="paragraph" w:customStyle="1" w:styleId="225">
    <w:name w:val="附录3"/>
    <w:basedOn w:val="1"/>
    <w:next w:val="1"/>
    <w:qFormat/>
    <w:uiPriority w:val="99"/>
    <w:pPr>
      <w:tabs>
        <w:tab w:val="left" w:pos="851"/>
      </w:tabs>
      <w:ind w:left="425" w:hanging="425"/>
      <w:outlineLvl w:val="2"/>
    </w:pPr>
    <w:rPr>
      <w:rFonts w:eastAsia="黑体"/>
      <w:b/>
      <w:bCs/>
      <w:sz w:val="32"/>
      <w:szCs w:val="32"/>
    </w:rPr>
  </w:style>
  <w:style w:type="paragraph" w:customStyle="1" w:styleId="226">
    <w:name w:val="文本1"/>
    <w:basedOn w:val="1"/>
    <w:qFormat/>
    <w:uiPriority w:val="99"/>
    <w:pPr>
      <w:adjustRightInd w:val="0"/>
      <w:spacing w:line="312" w:lineRule="atLeast"/>
      <w:jc w:val="center"/>
      <w:textAlignment w:val="baseline"/>
    </w:pPr>
    <w:rPr>
      <w:kern w:val="0"/>
      <w:sz w:val="18"/>
      <w:szCs w:val="18"/>
    </w:rPr>
  </w:style>
  <w:style w:type="paragraph" w:customStyle="1" w:styleId="227">
    <w:name w:val="Char Char1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28">
    <w:name w:val="表格文本"/>
    <w:qFormat/>
    <w:uiPriority w:val="99"/>
    <w:pPr>
      <w:tabs>
        <w:tab w:val="decimal" w:pos="0"/>
      </w:tabs>
    </w:pPr>
    <w:rPr>
      <w:rFonts w:ascii="Arial" w:hAnsi="Arial" w:eastAsia="宋体" w:cs="Arial"/>
      <w:sz w:val="21"/>
      <w:szCs w:val="21"/>
      <w:lang w:val="en-US" w:eastAsia="zh-CN" w:bidi="ar-SA"/>
    </w:rPr>
  </w:style>
  <w:style w:type="paragraph" w:customStyle="1" w:styleId="229">
    <w:name w:val="content"/>
    <w:basedOn w:val="1"/>
    <w:qFormat/>
    <w:uiPriority w:val="99"/>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30">
    <w:name w:val="正文文本 21"/>
    <w:basedOn w:val="1"/>
    <w:qFormat/>
    <w:uiPriority w:val="99"/>
    <w:pPr>
      <w:adjustRightInd w:val="0"/>
      <w:spacing w:before="120" w:line="360" w:lineRule="auto"/>
      <w:ind w:firstLine="480"/>
      <w:textAlignment w:val="baseline"/>
    </w:pPr>
    <w:rPr>
      <w:sz w:val="24"/>
      <w:szCs w:val="24"/>
    </w:rPr>
  </w:style>
  <w:style w:type="paragraph" w:customStyle="1" w:styleId="231">
    <w:name w:val="附录4"/>
    <w:basedOn w:val="1"/>
    <w:next w:val="1"/>
    <w:qFormat/>
    <w:uiPriority w:val="99"/>
    <w:pPr>
      <w:widowControl/>
      <w:tabs>
        <w:tab w:val="left" w:pos="1134"/>
      </w:tabs>
      <w:spacing w:line="300" w:lineRule="auto"/>
      <w:ind w:left="1361" w:hanging="1361"/>
      <w:outlineLvl w:val="3"/>
    </w:pPr>
    <w:rPr>
      <w:rFonts w:ascii="Arial" w:hAnsi="Arial" w:eastAsia="黑体" w:cs="Arial"/>
      <w:kern w:val="0"/>
    </w:rPr>
  </w:style>
  <w:style w:type="paragraph" w:customStyle="1" w:styleId="232">
    <w:name w:val="样式 首行缩进:  0.74 厘米"/>
    <w:basedOn w:val="1"/>
    <w:qFormat/>
    <w:uiPriority w:val="99"/>
    <w:pPr>
      <w:spacing w:line="360" w:lineRule="auto"/>
      <w:ind w:firstLine="420"/>
    </w:pPr>
    <w:rPr>
      <w:sz w:val="24"/>
      <w:szCs w:val="24"/>
    </w:rPr>
  </w:style>
  <w:style w:type="paragraph" w:customStyle="1" w:styleId="233">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34">
    <w:name w:val="样式 样式 首行缩进:  2 字符 + 首行缩进:  2 字符"/>
    <w:basedOn w:val="1"/>
    <w:qFormat/>
    <w:uiPriority w:val="99"/>
    <w:pPr>
      <w:spacing w:line="360" w:lineRule="auto"/>
      <w:ind w:firstLine="480" w:firstLineChars="200"/>
    </w:pPr>
    <w:rPr>
      <w:sz w:val="24"/>
      <w:szCs w:val="24"/>
    </w:rPr>
  </w:style>
  <w:style w:type="paragraph" w:customStyle="1" w:styleId="235">
    <w:name w:val="列表项目"/>
    <w:basedOn w:val="1"/>
    <w:qFormat/>
    <w:uiPriority w:val="99"/>
    <w:pPr>
      <w:tabs>
        <w:tab w:val="left" w:pos="420"/>
      </w:tabs>
      <w:spacing w:line="288" w:lineRule="auto"/>
      <w:ind w:left="840" w:leftChars="200" w:hanging="420" w:hangingChars="200"/>
    </w:pPr>
    <w:rPr>
      <w:sz w:val="21"/>
      <w:szCs w:val="21"/>
    </w:rPr>
  </w:style>
  <w:style w:type="paragraph" w:customStyle="1" w:styleId="236">
    <w:name w:val="编号正文"/>
    <w:basedOn w:val="220"/>
    <w:qFormat/>
    <w:uiPriority w:val="99"/>
    <w:pPr>
      <w:snapToGrid/>
      <w:spacing w:line="360" w:lineRule="auto"/>
      <w:ind w:left="1407" w:hanging="1047"/>
      <w:jc w:val="left"/>
    </w:pPr>
    <w:rPr>
      <w:rFonts w:eastAsia="仿宋_GB2312"/>
    </w:rPr>
  </w:style>
  <w:style w:type="paragraph" w:customStyle="1" w:styleId="237">
    <w:name w:val="图片文字"/>
    <w:basedOn w:val="1"/>
    <w:qFormat/>
    <w:uiPriority w:val="99"/>
    <w:pPr>
      <w:spacing w:line="240" w:lineRule="atLeast"/>
      <w:jc w:val="center"/>
    </w:pPr>
    <w:rPr>
      <w:sz w:val="21"/>
      <w:szCs w:val="21"/>
    </w:rPr>
  </w:style>
  <w:style w:type="paragraph" w:customStyle="1" w:styleId="238">
    <w:name w:val="Char1"/>
    <w:basedOn w:val="1"/>
    <w:qFormat/>
    <w:uiPriority w:val="99"/>
    <w:rPr>
      <w:sz w:val="21"/>
      <w:szCs w:val="21"/>
    </w:rPr>
  </w:style>
  <w:style w:type="paragraph" w:customStyle="1" w:styleId="239">
    <w:name w:val="文本框样式1"/>
    <w:basedOn w:val="1"/>
    <w:qFormat/>
    <w:uiPriority w:val="99"/>
    <w:pPr>
      <w:adjustRightInd w:val="0"/>
      <w:snapToGrid w:val="0"/>
      <w:spacing w:before="60" w:line="180" w:lineRule="exact"/>
      <w:jc w:val="center"/>
    </w:pPr>
    <w:rPr>
      <w:sz w:val="21"/>
      <w:szCs w:val="21"/>
    </w:rPr>
  </w:style>
  <w:style w:type="paragraph" w:customStyle="1" w:styleId="240">
    <w:name w:val="样式 标题 1 + 居中 段前: 6 磅 段后: 6 磅 行距: 1.5 倍行距"/>
    <w:basedOn w:val="3"/>
    <w:qFormat/>
    <w:uiPriority w:val="99"/>
    <w:pPr>
      <w:keepLines/>
      <w:tabs>
        <w:tab w:val="clear" w:pos="3360"/>
      </w:tabs>
      <w:adjustRightInd w:val="0"/>
      <w:spacing w:beforeLines="0" w:line="360" w:lineRule="auto"/>
    </w:pPr>
    <w:rPr>
      <w:sz w:val="32"/>
      <w:szCs w:val="32"/>
    </w:rPr>
  </w:style>
  <w:style w:type="paragraph" w:customStyle="1" w:styleId="241">
    <w:name w:val="Style Heading 3h3Heading 3 - oldLevel 3 HeadH3level_3PIM 3se..."/>
    <w:basedOn w:val="5"/>
    <w:qFormat/>
    <w:uiPriority w:val="99"/>
    <w:pPr>
      <w:tabs>
        <w:tab w:val="left" w:pos="709"/>
      </w:tabs>
      <w:ind w:left="709" w:hanging="709"/>
      <w:jc w:val="both"/>
    </w:pPr>
  </w:style>
  <w:style w:type="paragraph" w:customStyle="1" w:styleId="242">
    <w:name w:val="正文4"/>
    <w:basedOn w:val="1"/>
    <w:qFormat/>
    <w:uiPriority w:val="99"/>
    <w:pPr>
      <w:tabs>
        <w:tab w:val="left" w:pos="1275"/>
      </w:tabs>
      <w:spacing w:before="60" w:after="60" w:line="360" w:lineRule="auto"/>
      <w:ind w:left="820" w:leftChars="400" w:hanging="705"/>
    </w:pPr>
    <w:rPr>
      <w:sz w:val="24"/>
      <w:szCs w:val="24"/>
    </w:rPr>
  </w:style>
  <w:style w:type="paragraph" w:customStyle="1" w:styleId="243">
    <w:name w:val="样式 正文缩进正文（首行缩进两字）表正文正文非缩进特点标题4段1 + 首行缩进:  2 字符"/>
    <w:basedOn w:val="15"/>
    <w:qFormat/>
    <w:uiPriority w:val="99"/>
    <w:pPr>
      <w:ind w:firstLine="480" w:firstLineChars="200"/>
    </w:pPr>
  </w:style>
  <w:style w:type="paragraph" w:customStyle="1" w:styleId="244">
    <w:name w:val="正文1"/>
    <w:basedOn w:val="1"/>
    <w:qFormat/>
    <w:uiPriority w:val="99"/>
    <w:pPr>
      <w:spacing w:line="300" w:lineRule="auto"/>
      <w:ind w:firstLine="200" w:firstLineChars="200"/>
    </w:pPr>
    <w:rPr>
      <w:sz w:val="24"/>
      <w:szCs w:val="24"/>
    </w:rPr>
  </w:style>
  <w:style w:type="paragraph" w:customStyle="1" w:styleId="245">
    <w:name w:val="1.正文"/>
    <w:basedOn w:val="1"/>
    <w:qFormat/>
    <w:uiPriority w:val="99"/>
    <w:pPr>
      <w:spacing w:line="360" w:lineRule="auto"/>
      <w:ind w:left="540" w:leftChars="225" w:firstLine="540" w:firstLineChars="225"/>
    </w:pPr>
    <w:rPr>
      <w:sz w:val="24"/>
      <w:szCs w:val="24"/>
    </w:rPr>
  </w:style>
  <w:style w:type="paragraph" w:customStyle="1" w:styleId="246">
    <w:name w:val="内容标题"/>
    <w:basedOn w:val="17"/>
    <w:qFormat/>
    <w:uiPriority w:val="99"/>
    <w:rPr>
      <w:rFonts w:ascii="Tahoma" w:hAnsi="Tahoma" w:cs="Tahoma"/>
      <w:sz w:val="24"/>
      <w:szCs w:val="24"/>
    </w:rPr>
  </w:style>
  <w:style w:type="paragraph" w:customStyle="1" w:styleId="247">
    <w:name w:val="xl4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8">
    <w:name w:val="列出段落1"/>
    <w:basedOn w:val="1"/>
    <w:link w:val="249"/>
    <w:qFormat/>
    <w:uiPriority w:val="99"/>
    <w:pPr>
      <w:widowControl/>
      <w:ind w:firstLine="420" w:firstLineChars="200"/>
      <w:jc w:val="left"/>
    </w:pPr>
    <w:rPr>
      <w:kern w:val="0"/>
      <w:sz w:val="20"/>
      <w:szCs w:val="20"/>
    </w:rPr>
  </w:style>
  <w:style w:type="character" w:customStyle="1" w:styleId="249">
    <w:name w:val="列出段落 Char"/>
    <w:link w:val="248"/>
    <w:qFormat/>
    <w:locked/>
    <w:uiPriority w:val="99"/>
  </w:style>
  <w:style w:type="paragraph" w:customStyle="1" w:styleId="250">
    <w:name w:val="列出段落11"/>
    <w:basedOn w:val="1"/>
    <w:qFormat/>
    <w:uiPriority w:val="99"/>
    <w:pPr>
      <w:spacing w:line="400" w:lineRule="exact"/>
      <w:ind w:firstLine="420" w:firstLineChars="200"/>
    </w:pPr>
    <w:rPr>
      <w:rFonts w:ascii="Calibri" w:hAnsi="Calibri" w:cs="Calibri"/>
      <w:sz w:val="24"/>
      <w:szCs w:val="24"/>
    </w:rPr>
  </w:style>
  <w:style w:type="paragraph" w:customStyle="1" w:styleId="251">
    <w:name w:val="p0"/>
    <w:basedOn w:val="1"/>
    <w:qFormat/>
    <w:uiPriority w:val="99"/>
    <w:pPr>
      <w:widowControl/>
    </w:pPr>
    <w:rPr>
      <w:kern w:val="0"/>
    </w:rPr>
  </w:style>
  <w:style w:type="paragraph" w:customStyle="1" w:styleId="252">
    <w:name w:val="列出段落2"/>
    <w:basedOn w:val="1"/>
    <w:qFormat/>
    <w:uiPriority w:val="99"/>
    <w:pPr>
      <w:ind w:firstLine="420" w:firstLineChars="200"/>
    </w:pPr>
    <w:rPr>
      <w:rFonts w:ascii="Calibri" w:hAnsi="Calibri" w:cs="Calibri"/>
      <w:sz w:val="21"/>
      <w:szCs w:val="21"/>
    </w:rPr>
  </w:style>
  <w:style w:type="paragraph" w:customStyle="1" w:styleId="253">
    <w:name w:val="Default"/>
    <w:basedOn w:val="1"/>
    <w:qFormat/>
    <w:uiPriority w:val="99"/>
    <w:pPr>
      <w:autoSpaceDE w:val="0"/>
      <w:autoSpaceDN w:val="0"/>
      <w:adjustRightInd w:val="0"/>
      <w:jc w:val="left"/>
    </w:pPr>
    <w:rPr>
      <w:rFonts w:ascii="微软雅黑" w:hAnsi="微软雅黑" w:cs="微软雅黑"/>
      <w:color w:val="000000"/>
      <w:kern w:val="0"/>
      <w:sz w:val="24"/>
      <w:szCs w:val="24"/>
    </w:rPr>
  </w:style>
  <w:style w:type="paragraph" w:customStyle="1" w:styleId="254">
    <w:name w:val="列出段落3"/>
    <w:basedOn w:val="1"/>
    <w:qFormat/>
    <w:uiPriority w:val="99"/>
    <w:pPr>
      <w:ind w:firstLine="420" w:firstLineChars="200"/>
    </w:pPr>
  </w:style>
  <w:style w:type="paragraph" w:customStyle="1" w:styleId="255">
    <w:name w:val="列出段落31"/>
    <w:basedOn w:val="1"/>
    <w:qFormat/>
    <w:uiPriority w:val="99"/>
    <w:pPr>
      <w:ind w:firstLine="420" w:firstLineChars="200"/>
    </w:pPr>
    <w:rPr>
      <w:rFonts w:ascii="Calibri" w:hAnsi="Calibri" w:cs="Calibri"/>
      <w:sz w:val="21"/>
      <w:szCs w:val="21"/>
    </w:rPr>
  </w:style>
  <w:style w:type="paragraph" w:customStyle="1" w:styleId="256">
    <w:name w:val="列出段落4"/>
    <w:basedOn w:val="1"/>
    <w:semiHidden/>
    <w:qFormat/>
    <w:uiPriority w:val="99"/>
    <w:pPr>
      <w:ind w:firstLine="420" w:firstLineChars="200"/>
    </w:pPr>
  </w:style>
  <w:style w:type="paragraph" w:customStyle="1" w:styleId="257">
    <w:name w:val="列出段落5"/>
    <w:basedOn w:val="1"/>
    <w:qFormat/>
    <w:uiPriority w:val="99"/>
    <w:pPr>
      <w:ind w:firstLine="420" w:firstLineChars="200"/>
    </w:pPr>
  </w:style>
  <w:style w:type="paragraph" w:customStyle="1" w:styleId="258">
    <w:name w:val="列出段落6"/>
    <w:basedOn w:val="1"/>
    <w:qFormat/>
    <w:uiPriority w:val="99"/>
    <w:pPr>
      <w:ind w:firstLine="420" w:firstLineChars="200"/>
    </w:pPr>
    <w:rPr>
      <w:rFonts w:ascii="Calibri" w:hAnsi="Calibri" w:cs="Calibri"/>
      <w:sz w:val="21"/>
      <w:szCs w:val="21"/>
    </w:rPr>
  </w:style>
  <w:style w:type="paragraph" w:customStyle="1" w:styleId="259">
    <w:name w:val="列出段落7"/>
    <w:basedOn w:val="1"/>
    <w:qFormat/>
    <w:uiPriority w:val="99"/>
    <w:pPr>
      <w:autoSpaceDE w:val="0"/>
      <w:autoSpaceDN w:val="0"/>
      <w:spacing w:before="100" w:beforeAutospacing="1" w:after="100" w:afterAutospacing="1"/>
      <w:ind w:left="869" w:hanging="758"/>
      <w:jc w:val="left"/>
    </w:pPr>
    <w:rPr>
      <w:rFonts w:ascii="仿宋" w:hAnsi="仿宋" w:eastAsia="仿宋" w:cs="仿宋"/>
      <w:kern w:val="0"/>
      <w:sz w:val="22"/>
      <w:szCs w:val="22"/>
    </w:rPr>
  </w:style>
  <w:style w:type="paragraph" w:customStyle="1" w:styleId="260">
    <w:name w:val="Table Paragraph"/>
    <w:basedOn w:val="1"/>
    <w:qFormat/>
    <w:uiPriority w:val="99"/>
    <w:pPr>
      <w:autoSpaceDE w:val="0"/>
      <w:autoSpaceDN w:val="0"/>
      <w:jc w:val="left"/>
    </w:pPr>
    <w:rPr>
      <w:rFonts w:ascii="仿宋" w:hAnsi="仿宋" w:eastAsia="仿宋" w:cs="仿宋"/>
      <w:kern w:val="0"/>
      <w:sz w:val="22"/>
      <w:szCs w:val="22"/>
    </w:rPr>
  </w:style>
  <w:style w:type="paragraph" w:customStyle="1" w:styleId="261">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262">
    <w:name w:val="样式10"/>
    <w:basedOn w:val="1"/>
    <w:qFormat/>
    <w:uiPriority w:val="99"/>
    <w:pPr>
      <w:adjustRightInd w:val="0"/>
      <w:snapToGrid w:val="0"/>
      <w:spacing w:line="480" w:lineRule="exact"/>
      <w:ind w:firstLine="520" w:firstLineChars="200"/>
    </w:pPr>
    <w:rPr>
      <w:sz w:val="26"/>
      <w:szCs w:val="26"/>
    </w:rPr>
  </w:style>
  <w:style w:type="paragraph" w:customStyle="1" w:styleId="263">
    <w:name w:val="目录 83"/>
    <w:next w:val="1"/>
    <w:qFormat/>
    <w:uiPriority w:val="0"/>
    <w:pPr>
      <w:wordWrap w:val="0"/>
      <w:ind w:left="2550"/>
      <w:jc w:val="both"/>
    </w:pPr>
    <w:rPr>
      <w:rFonts w:ascii="Calibri" w:hAnsi="Calibri" w:eastAsia="宋体" w:cs="Times New Roman"/>
      <w:sz w:val="21"/>
      <w:lang w:val="en-US" w:eastAsia="zh-CN" w:bidi="ar-SA"/>
    </w:rPr>
  </w:style>
  <w:style w:type="character" w:customStyle="1" w:styleId="264">
    <w:name w:val="font01"/>
    <w:basedOn w:val="59"/>
    <w:uiPriority w:val="0"/>
    <w:rPr>
      <w:rFonts w:hint="eastAsia" w:ascii="宋体" w:hAnsi="宋体" w:eastAsia="宋体" w:cs="宋体"/>
      <w:color w:val="000000"/>
      <w:sz w:val="20"/>
      <w:szCs w:val="20"/>
      <w:u w:val="none"/>
    </w:rPr>
  </w:style>
  <w:style w:type="character" w:customStyle="1" w:styleId="265">
    <w:name w:val="font11"/>
    <w:basedOn w:val="59"/>
    <w:uiPriority w:val="0"/>
    <w:rPr>
      <w:rFonts w:hint="default" w:ascii="Times New Roman" w:hAnsi="Times New Roman" w:cs="Times New Roman"/>
      <w:color w:val="000000"/>
      <w:sz w:val="20"/>
      <w:szCs w:val="20"/>
      <w:u w:val="none"/>
    </w:rPr>
  </w:style>
  <w:style w:type="character" w:customStyle="1" w:styleId="266">
    <w:name w:val="font21"/>
    <w:basedOn w:val="59"/>
    <w:uiPriority w:val="0"/>
    <w:rPr>
      <w:rFonts w:hint="default" w:ascii="Times New Roman" w:hAnsi="Times New Roman" w:cs="Times New Roman"/>
      <w:color w:val="000000"/>
      <w:sz w:val="20"/>
      <w:szCs w:val="20"/>
      <w:u w:val="none"/>
    </w:rPr>
  </w:style>
  <w:style w:type="character" w:customStyle="1" w:styleId="267">
    <w:name w:val="font31"/>
    <w:basedOn w:val="59"/>
    <w:uiPriority w:val="0"/>
    <w:rPr>
      <w:rFonts w:hint="default" w:ascii="Times New Roman" w:hAnsi="Times New Roman" w:cs="Times New Roman"/>
      <w:color w:val="000000"/>
      <w:sz w:val="20"/>
      <w:szCs w:val="20"/>
      <w:u w:val="none"/>
    </w:rPr>
  </w:style>
  <w:style w:type="character" w:customStyle="1" w:styleId="268">
    <w:name w:val="font51"/>
    <w:basedOn w:val="59"/>
    <w:uiPriority w:val="0"/>
    <w:rPr>
      <w:rFonts w:ascii="方正黑体_GBK" w:hAnsi="方正黑体_GBK" w:eastAsia="方正黑体_GBK" w:cs="方正黑体_GBK"/>
      <w:color w:val="000000"/>
      <w:sz w:val="20"/>
      <w:szCs w:val="20"/>
      <w:u w:val="none"/>
    </w:rPr>
  </w:style>
  <w:style w:type="character" w:customStyle="1" w:styleId="269">
    <w:name w:val="font41"/>
    <w:basedOn w:val="59"/>
    <w:uiPriority w:val="0"/>
    <w:rPr>
      <w:rFonts w:hint="default" w:ascii="Times New Roman" w:hAnsi="Times New Roman" w:cs="Times New Roman"/>
      <w:color w:val="000000"/>
      <w:sz w:val="20"/>
      <w:szCs w:val="20"/>
      <w:u w:val="none"/>
    </w:rPr>
  </w:style>
  <w:style w:type="character" w:customStyle="1" w:styleId="270">
    <w:name w:val="font91"/>
    <w:basedOn w:val="59"/>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8D918-E043-40F0-ACBA-0B2EC7E957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4516</Words>
  <Characters>25743</Characters>
  <Lines>214</Lines>
  <Paragraphs>60</Paragraphs>
  <TotalTime>4</TotalTime>
  <ScaleCrop>false</ScaleCrop>
  <LinksUpToDate>false</LinksUpToDate>
  <CharactersWithSpaces>30199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2021-01-15T07:11:00Z</dcterms:created>
  <dc:creator>admin</dc:creator>
  <cp:lastModifiedBy>高新越</cp:lastModifiedBy>
  <cp:lastPrinted>2021-01-04T07:42:00Z</cp:lastPrinted>
  <dcterms:modified xsi:type="dcterms:W3CDTF">2021-01-20T08:19:30Z</dcterms:modified>
  <dc:title>货物</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