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Theme="minorEastAsia" w:hAnsiTheme="minorEastAsia" w:eastAsiaTheme="minorEastAsia"/>
          <w:b/>
          <w:sz w:val="44"/>
        </w:rPr>
      </w:pPr>
    </w:p>
    <w:p>
      <w:pPr>
        <w:spacing w:line="360" w:lineRule="auto"/>
        <w:jc w:val="center"/>
        <w:rPr>
          <w:rFonts w:asciiTheme="minorEastAsia" w:hAnsiTheme="minorEastAsia" w:eastAsiaTheme="minorEastAsia"/>
          <w:b/>
          <w:spacing w:val="-5"/>
          <w:kern w:val="20"/>
          <w:sz w:val="28"/>
          <w:szCs w:val="28"/>
        </w:rPr>
      </w:pPr>
    </w:p>
    <w:p>
      <w:pPr>
        <w:spacing w:line="360" w:lineRule="auto"/>
        <w:jc w:val="center"/>
        <w:rPr>
          <w:rFonts w:asciiTheme="minorEastAsia" w:hAnsiTheme="minorEastAsia" w:eastAsiaTheme="minorEastAsia"/>
          <w:b/>
          <w:spacing w:val="-5"/>
          <w:kern w:val="20"/>
          <w:sz w:val="44"/>
          <w:szCs w:val="44"/>
        </w:rPr>
      </w:pPr>
      <w:r>
        <w:rPr>
          <w:rFonts w:hint="eastAsia" w:asciiTheme="minorEastAsia" w:hAnsiTheme="minorEastAsia" w:eastAsiaTheme="minorEastAsia"/>
          <w:b/>
          <w:spacing w:val="-5"/>
          <w:kern w:val="20"/>
          <w:sz w:val="44"/>
          <w:szCs w:val="44"/>
        </w:rPr>
        <w:t>杭州市市场监督管理局</w:t>
      </w:r>
    </w:p>
    <w:p>
      <w:pPr>
        <w:spacing w:line="360" w:lineRule="auto"/>
        <w:jc w:val="center"/>
        <w:rPr>
          <w:rFonts w:asciiTheme="minorEastAsia" w:hAnsiTheme="minorEastAsia" w:eastAsiaTheme="minorEastAsia"/>
          <w:b/>
          <w:spacing w:val="-5"/>
          <w:kern w:val="20"/>
          <w:sz w:val="44"/>
          <w:szCs w:val="40"/>
        </w:rPr>
      </w:pPr>
      <w:r>
        <w:rPr>
          <w:rFonts w:hint="eastAsia" w:asciiTheme="minorEastAsia" w:hAnsiTheme="minorEastAsia" w:eastAsiaTheme="minorEastAsia"/>
          <w:b/>
          <w:spacing w:val="-5"/>
          <w:kern w:val="20"/>
          <w:sz w:val="40"/>
          <w:szCs w:val="40"/>
        </w:rPr>
        <w:t>2021年上半年食品生产环节监督抽检项目</w:t>
      </w:r>
    </w:p>
    <w:p>
      <w:pPr>
        <w:spacing w:line="360" w:lineRule="auto"/>
        <w:jc w:val="center"/>
        <w:rPr>
          <w:rFonts w:asciiTheme="minorEastAsia" w:hAnsiTheme="minorEastAsia" w:eastAsiaTheme="minorEastAsia"/>
          <w:b/>
          <w:sz w:val="30"/>
          <w:szCs w:val="30"/>
        </w:rPr>
      </w:pPr>
    </w:p>
    <w:p>
      <w:pPr>
        <w:spacing w:line="360" w:lineRule="auto"/>
        <w:jc w:val="center"/>
        <w:rPr>
          <w:rFonts w:asciiTheme="minorEastAsia" w:hAnsiTheme="minorEastAsia" w:eastAsiaTheme="minorEastAsia"/>
          <w:b/>
          <w:sz w:val="30"/>
          <w:szCs w:val="30"/>
        </w:rPr>
      </w:pPr>
    </w:p>
    <w:p>
      <w:pPr>
        <w:spacing w:line="360" w:lineRule="auto"/>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招标文件</w:t>
      </w:r>
    </w:p>
    <w:p>
      <w:pPr>
        <w:adjustRightInd w:val="0"/>
        <w:snapToGrid w:val="0"/>
        <w:spacing w:line="360" w:lineRule="auto"/>
        <w:rPr>
          <w:rFonts w:asciiTheme="minorEastAsia" w:hAnsiTheme="minorEastAsia" w:eastAsiaTheme="minorEastAsia"/>
          <w:sz w:val="28"/>
          <w:szCs w:val="28"/>
        </w:rPr>
      </w:pPr>
    </w:p>
    <w:p>
      <w:pPr>
        <w:adjustRightInd w:val="0"/>
        <w:snapToGrid w:val="0"/>
        <w:spacing w:line="360" w:lineRule="auto"/>
        <w:ind w:firstLine="1814" w:firstLineChars="753"/>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采购方式：公开招标</w:t>
      </w:r>
    </w:p>
    <w:p>
      <w:pPr>
        <w:adjustRightInd w:val="0"/>
        <w:snapToGrid w:val="0"/>
        <w:spacing w:line="360" w:lineRule="auto"/>
        <w:ind w:firstLine="1814" w:firstLineChars="753"/>
        <w:jc w:val="left"/>
        <w:rPr>
          <w:rFonts w:hint="eastAsia" w:asciiTheme="minorEastAsia" w:hAnsiTheme="minorEastAsia" w:eastAsiaTheme="minorEastAsia"/>
          <w:b/>
          <w:sz w:val="24"/>
          <w:szCs w:val="24"/>
          <w:lang w:eastAsia="zh-CN"/>
        </w:rPr>
      </w:pPr>
      <w:r>
        <w:rPr>
          <w:rFonts w:hint="eastAsia" w:cs="Arial" w:asciiTheme="minorEastAsia" w:hAnsiTheme="minorEastAsia" w:eastAsiaTheme="minorEastAsia"/>
          <w:b/>
          <w:sz w:val="24"/>
          <w:szCs w:val="24"/>
        </w:rPr>
        <w:t>项目编号</w:t>
      </w:r>
      <w:r>
        <w:rPr>
          <w:rFonts w:hint="eastAsia" w:asciiTheme="minorEastAsia" w:hAnsiTheme="minorEastAsia" w:eastAsiaTheme="minorEastAsia"/>
          <w:b/>
          <w:sz w:val="24"/>
          <w:szCs w:val="24"/>
        </w:rPr>
        <w:t>：</w:t>
      </w:r>
      <w:r>
        <w:rPr>
          <w:rFonts w:hint="eastAsia" w:asciiTheme="minorEastAsia" w:hAnsiTheme="minorEastAsia" w:eastAsiaTheme="minorEastAsia"/>
          <w:b/>
          <w:sz w:val="24"/>
          <w:szCs w:val="24"/>
          <w:lang w:eastAsia="zh-CN"/>
        </w:rPr>
        <w:t>ZJZN-20951-SJ36</w:t>
      </w:r>
    </w:p>
    <w:p>
      <w:pPr>
        <w:adjustRightInd w:val="0"/>
        <w:snapToGrid w:val="0"/>
        <w:spacing w:line="360" w:lineRule="auto"/>
        <w:ind w:firstLine="1814" w:firstLineChars="753"/>
        <w:jc w:val="left"/>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采购计划：杭政采分-2021-00010[HZZFCG-YS-2021-00018]</w:t>
      </w:r>
    </w:p>
    <w:p>
      <w:pPr>
        <w:pStyle w:val="2"/>
      </w:pPr>
    </w:p>
    <w:p>
      <w:pPr>
        <w:pStyle w:val="2"/>
      </w:pPr>
    </w:p>
    <w:p>
      <w:pPr>
        <w:pStyle w:val="2"/>
      </w:pPr>
    </w:p>
    <w:p>
      <w:pPr>
        <w:pStyle w:val="2"/>
      </w:pPr>
    </w:p>
    <w:p>
      <w:pPr>
        <w:adjustRightInd w:val="0"/>
        <w:snapToGrid w:val="0"/>
        <w:spacing w:line="360" w:lineRule="auto"/>
        <w:ind w:firstLine="3070" w:firstLineChars="1274"/>
        <w:jc w:val="left"/>
        <w:rPr>
          <w:rFonts w:asciiTheme="minorEastAsia" w:hAnsiTheme="minorEastAsia" w:eastAsiaTheme="minorEastAsia"/>
          <w:b/>
          <w:sz w:val="24"/>
          <w:szCs w:val="24"/>
        </w:rPr>
      </w:pPr>
    </w:p>
    <w:p>
      <w:pPr>
        <w:adjustRightInd w:val="0"/>
        <w:snapToGrid w:val="0"/>
        <w:spacing w:line="360" w:lineRule="auto"/>
        <w:ind w:firstLine="3070" w:firstLineChars="1274"/>
        <w:jc w:val="left"/>
        <w:rPr>
          <w:rFonts w:asciiTheme="minorEastAsia" w:hAnsiTheme="minorEastAsia" w:eastAsiaTheme="minorEastAsia"/>
          <w:b/>
          <w:sz w:val="24"/>
          <w:szCs w:val="24"/>
        </w:rPr>
      </w:pPr>
    </w:p>
    <w:p>
      <w:pPr>
        <w:adjustRightInd w:val="0"/>
        <w:snapToGrid w:val="0"/>
        <w:spacing w:line="360" w:lineRule="auto"/>
        <w:ind w:firstLine="3070" w:firstLineChars="1274"/>
        <w:jc w:val="left"/>
        <w:rPr>
          <w:rFonts w:asciiTheme="minorEastAsia" w:hAnsiTheme="minorEastAsia" w:eastAsiaTheme="minorEastAsia"/>
          <w:b/>
          <w:sz w:val="24"/>
          <w:szCs w:val="24"/>
        </w:rPr>
      </w:pPr>
    </w:p>
    <w:tbl>
      <w:tblPr>
        <w:tblStyle w:val="39"/>
        <w:tblW w:w="5721" w:type="dxa"/>
        <w:jc w:val="center"/>
        <w:tblLayout w:type="fixed"/>
        <w:tblCellMar>
          <w:top w:w="0" w:type="dxa"/>
          <w:left w:w="108" w:type="dxa"/>
          <w:bottom w:w="0" w:type="dxa"/>
          <w:right w:w="108" w:type="dxa"/>
        </w:tblCellMar>
      </w:tblPr>
      <w:tblGrid>
        <w:gridCol w:w="2122"/>
        <w:gridCol w:w="3599"/>
      </w:tblGrid>
      <w:tr>
        <w:tblPrEx>
          <w:tblCellMar>
            <w:top w:w="0" w:type="dxa"/>
            <w:left w:w="108" w:type="dxa"/>
            <w:bottom w:w="0" w:type="dxa"/>
            <w:right w:w="108" w:type="dxa"/>
          </w:tblCellMar>
        </w:tblPrEx>
        <w:trPr>
          <w:jc w:val="center"/>
        </w:trPr>
        <w:tc>
          <w:tcPr>
            <w:tcW w:w="2122" w:type="dxa"/>
            <w:vAlign w:val="center"/>
          </w:tcPr>
          <w:p>
            <w:pPr>
              <w:autoSpaceDE w:val="0"/>
              <w:autoSpaceDN w:val="0"/>
              <w:adjustRightInd w:val="0"/>
              <w:snapToGrid w:val="0"/>
              <w:spacing w:line="360" w:lineRule="auto"/>
              <w:jc w:val="distribute"/>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采   购   人：</w:t>
            </w:r>
          </w:p>
        </w:tc>
        <w:tc>
          <w:tcPr>
            <w:tcW w:w="3599" w:type="dxa"/>
            <w:vAlign w:val="center"/>
          </w:tcPr>
          <w:p>
            <w:pPr>
              <w:autoSpaceDE w:val="0"/>
              <w:autoSpaceDN w:val="0"/>
              <w:adjustRightInd w:val="0"/>
              <w:snapToGrid w:val="0"/>
              <w:spacing w:line="360" w:lineRule="auto"/>
              <w:jc w:val="distribute"/>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杭州市市场监督管理局</w:t>
            </w:r>
          </w:p>
        </w:tc>
      </w:tr>
      <w:tr>
        <w:tblPrEx>
          <w:tblCellMar>
            <w:top w:w="0" w:type="dxa"/>
            <w:left w:w="108" w:type="dxa"/>
            <w:bottom w:w="0" w:type="dxa"/>
            <w:right w:w="108" w:type="dxa"/>
          </w:tblCellMar>
        </w:tblPrEx>
        <w:trPr>
          <w:jc w:val="center"/>
        </w:trPr>
        <w:tc>
          <w:tcPr>
            <w:tcW w:w="2122" w:type="dxa"/>
            <w:vAlign w:val="center"/>
          </w:tcPr>
          <w:p>
            <w:pPr>
              <w:adjustRightInd w:val="0"/>
              <w:snapToGrid w:val="0"/>
              <w:spacing w:line="360" w:lineRule="auto"/>
              <w:jc w:val="distribute"/>
              <w:rPr>
                <w:rFonts w:asciiTheme="minorEastAsia" w:hAnsiTheme="minorEastAsia" w:eastAsiaTheme="minorEastAsia"/>
                <w:sz w:val="28"/>
                <w:szCs w:val="28"/>
              </w:rPr>
            </w:pPr>
            <w:r>
              <w:rPr>
                <w:rFonts w:hint="eastAsia" w:asciiTheme="minorEastAsia" w:hAnsiTheme="minorEastAsia" w:eastAsiaTheme="minorEastAsia"/>
                <w:sz w:val="28"/>
                <w:szCs w:val="28"/>
              </w:rPr>
              <w:t>采购代理机构：</w:t>
            </w:r>
          </w:p>
        </w:tc>
        <w:tc>
          <w:tcPr>
            <w:tcW w:w="3599" w:type="dxa"/>
            <w:vAlign w:val="center"/>
          </w:tcPr>
          <w:p>
            <w:pPr>
              <w:adjustRightInd w:val="0"/>
              <w:snapToGrid w:val="0"/>
              <w:spacing w:line="360" w:lineRule="auto"/>
              <w:jc w:val="distribute"/>
              <w:rPr>
                <w:rFonts w:asciiTheme="minorEastAsia" w:hAnsiTheme="minorEastAsia" w:eastAsiaTheme="minorEastAsia"/>
                <w:sz w:val="28"/>
                <w:szCs w:val="28"/>
              </w:rPr>
            </w:pPr>
            <w:r>
              <w:rPr>
                <w:rFonts w:hint="eastAsia" w:asciiTheme="minorEastAsia" w:hAnsiTheme="minorEastAsia" w:eastAsiaTheme="minorEastAsia"/>
                <w:sz w:val="28"/>
                <w:szCs w:val="28"/>
              </w:rPr>
              <w:t>浙江中诺招标代理有限公司</w:t>
            </w:r>
          </w:p>
        </w:tc>
      </w:tr>
      <w:tr>
        <w:tblPrEx>
          <w:tblCellMar>
            <w:top w:w="0" w:type="dxa"/>
            <w:left w:w="108" w:type="dxa"/>
            <w:bottom w:w="0" w:type="dxa"/>
            <w:right w:w="108" w:type="dxa"/>
          </w:tblCellMar>
        </w:tblPrEx>
        <w:trPr>
          <w:jc w:val="center"/>
        </w:trPr>
        <w:tc>
          <w:tcPr>
            <w:tcW w:w="2122" w:type="dxa"/>
            <w:vAlign w:val="center"/>
          </w:tcPr>
          <w:p>
            <w:pPr>
              <w:adjustRightInd w:val="0"/>
              <w:snapToGrid w:val="0"/>
              <w:spacing w:line="360" w:lineRule="auto"/>
              <w:jc w:val="distribute"/>
              <w:rPr>
                <w:rFonts w:asciiTheme="minorEastAsia" w:hAnsiTheme="minorEastAsia" w:eastAsiaTheme="minorEastAsia"/>
                <w:sz w:val="28"/>
                <w:szCs w:val="28"/>
              </w:rPr>
            </w:pPr>
            <w:r>
              <w:rPr>
                <w:rFonts w:hint="eastAsia" w:asciiTheme="minorEastAsia" w:hAnsiTheme="minorEastAsia" w:eastAsiaTheme="minorEastAsia"/>
                <w:sz w:val="28"/>
                <w:szCs w:val="28"/>
              </w:rPr>
              <w:t>日        期：</w:t>
            </w:r>
          </w:p>
        </w:tc>
        <w:tc>
          <w:tcPr>
            <w:tcW w:w="3599" w:type="dxa"/>
            <w:vAlign w:val="center"/>
          </w:tcPr>
          <w:p>
            <w:pPr>
              <w:adjustRightInd w:val="0"/>
              <w:snapToGrid w:val="0"/>
              <w:spacing w:line="360" w:lineRule="auto"/>
              <w:jc w:val="distribute"/>
              <w:rPr>
                <w:rFonts w:asciiTheme="minorEastAsia" w:hAnsiTheme="minorEastAsia" w:eastAsiaTheme="minorEastAsia"/>
                <w:sz w:val="28"/>
                <w:szCs w:val="28"/>
              </w:rPr>
            </w:pPr>
            <w:r>
              <w:rPr>
                <w:rFonts w:hint="eastAsia" w:asciiTheme="minorEastAsia" w:hAnsiTheme="minorEastAsia" w:eastAsiaTheme="minorEastAsia"/>
                <w:sz w:val="28"/>
                <w:szCs w:val="28"/>
              </w:rPr>
              <w:t>二〇二</w:t>
            </w:r>
            <w:r>
              <w:rPr>
                <w:rFonts w:hint="eastAsia" w:asciiTheme="minorEastAsia" w:hAnsiTheme="minorEastAsia" w:eastAsiaTheme="minorEastAsia"/>
                <w:sz w:val="28"/>
                <w:szCs w:val="28"/>
                <w:lang w:val="en-US" w:eastAsia="zh-CN"/>
              </w:rPr>
              <w:t>一</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一</w:t>
            </w:r>
            <w:r>
              <w:rPr>
                <w:rFonts w:hint="eastAsia" w:asciiTheme="minorEastAsia" w:hAnsiTheme="minorEastAsia" w:eastAsiaTheme="minorEastAsia"/>
                <w:sz w:val="28"/>
                <w:szCs w:val="28"/>
              </w:rPr>
              <w:t>月</w:t>
            </w:r>
          </w:p>
        </w:tc>
      </w:tr>
    </w:tbl>
    <w:p>
      <w:pPr>
        <w:adjustRightInd w:val="0"/>
        <w:snapToGrid w:val="0"/>
        <w:spacing w:line="360" w:lineRule="auto"/>
        <w:rPr>
          <w:rFonts w:asciiTheme="minorEastAsia" w:hAnsiTheme="minorEastAsia" w:eastAsiaTheme="minorEastAsia"/>
          <w:b/>
          <w:sz w:val="36"/>
        </w:rPr>
      </w:pPr>
      <w:bookmarkStart w:id="0" w:name="_Hlt67893495"/>
      <w:bookmarkEnd w:id="0"/>
      <w:r>
        <w:rPr>
          <w:rFonts w:asciiTheme="minorEastAsia" w:hAnsiTheme="minorEastAsia" w:eastAsiaTheme="minorEastAsia"/>
          <w:b/>
          <w:sz w:val="36"/>
        </w:rPr>
        <w:br w:type="page"/>
      </w:r>
    </w:p>
    <w:p>
      <w:pPr>
        <w:adjustRightInd w:val="0"/>
        <w:snapToGrid w:val="0"/>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目    录</w:t>
      </w:r>
    </w:p>
    <w:p>
      <w:pPr>
        <w:pStyle w:val="28"/>
        <w:tabs>
          <w:tab w:val="right" w:leader="dot" w:pos="9014"/>
        </w:tabs>
        <w:snapToGrid w:val="0"/>
        <w:spacing w:line="360" w:lineRule="auto"/>
        <w:rPr>
          <w:sz w:val="24"/>
          <w:szCs w:val="22"/>
        </w:rPr>
      </w:pPr>
      <w:bookmarkStart w:id="1" w:name="_Toc91899869"/>
      <w:r>
        <w:rPr>
          <w:rFonts w:hint="eastAsia" w:asciiTheme="minorEastAsia" w:hAnsiTheme="minorEastAsia" w:eastAsiaTheme="minorEastAsia"/>
          <w:sz w:val="32"/>
          <w:szCs w:val="32"/>
        </w:rPr>
        <w:fldChar w:fldCharType="begin"/>
      </w:r>
      <w:r>
        <w:rPr>
          <w:rFonts w:hint="eastAsia" w:asciiTheme="minorEastAsia" w:hAnsiTheme="minorEastAsia" w:eastAsiaTheme="minorEastAsia"/>
          <w:sz w:val="32"/>
          <w:szCs w:val="32"/>
        </w:rPr>
        <w:instrText xml:space="preserve">TOC \o "1-3" \h \z \u</w:instrText>
      </w:r>
      <w:r>
        <w:rPr>
          <w:rFonts w:hint="eastAsia" w:asciiTheme="minorEastAsia" w:hAnsiTheme="minorEastAsia" w:eastAsiaTheme="minorEastAsia"/>
          <w:sz w:val="32"/>
          <w:szCs w:val="32"/>
        </w:rPr>
        <w:fldChar w:fldCharType="separate"/>
      </w:r>
      <w:r>
        <w:fldChar w:fldCharType="begin"/>
      </w:r>
      <w:r>
        <w:instrText xml:space="preserve"> HYPERLINK \l "_Toc19079" </w:instrText>
      </w:r>
      <w:r>
        <w:fldChar w:fldCharType="separate"/>
      </w:r>
      <w:r>
        <w:rPr>
          <w:rFonts w:hint="eastAsia" w:asciiTheme="minorEastAsia" w:hAnsiTheme="minorEastAsia" w:eastAsiaTheme="minorEastAsia"/>
          <w:sz w:val="24"/>
          <w:szCs w:val="32"/>
        </w:rPr>
        <w:t>第一部分 公开招标公告</w:t>
      </w:r>
      <w:r>
        <w:rPr>
          <w:sz w:val="24"/>
          <w:szCs w:val="22"/>
        </w:rPr>
        <w:tab/>
      </w:r>
      <w:r>
        <w:rPr>
          <w:sz w:val="24"/>
          <w:szCs w:val="22"/>
        </w:rPr>
        <w:fldChar w:fldCharType="begin"/>
      </w:r>
      <w:r>
        <w:rPr>
          <w:sz w:val="24"/>
          <w:szCs w:val="22"/>
        </w:rPr>
        <w:instrText xml:space="preserve"> PAGEREF _Toc19079 </w:instrText>
      </w:r>
      <w:r>
        <w:rPr>
          <w:sz w:val="24"/>
          <w:szCs w:val="22"/>
        </w:rPr>
        <w:fldChar w:fldCharType="separate"/>
      </w:r>
      <w:r>
        <w:rPr>
          <w:sz w:val="24"/>
          <w:szCs w:val="22"/>
        </w:rPr>
        <w:t>3</w:t>
      </w:r>
      <w:r>
        <w:rPr>
          <w:sz w:val="24"/>
          <w:szCs w:val="22"/>
        </w:rPr>
        <w:fldChar w:fldCharType="end"/>
      </w:r>
      <w:r>
        <w:rPr>
          <w:sz w:val="24"/>
          <w:szCs w:val="22"/>
        </w:rPr>
        <w:fldChar w:fldCharType="end"/>
      </w:r>
    </w:p>
    <w:p>
      <w:pPr>
        <w:pStyle w:val="28"/>
        <w:tabs>
          <w:tab w:val="right" w:leader="dot" w:pos="9014"/>
        </w:tabs>
        <w:snapToGrid w:val="0"/>
        <w:spacing w:line="360" w:lineRule="auto"/>
        <w:rPr>
          <w:sz w:val="24"/>
          <w:szCs w:val="22"/>
        </w:rPr>
      </w:pPr>
      <w:r>
        <w:fldChar w:fldCharType="begin"/>
      </w:r>
      <w:r>
        <w:instrText xml:space="preserve"> HYPERLINK \l "_Toc19324" </w:instrText>
      </w:r>
      <w:r>
        <w:fldChar w:fldCharType="separate"/>
      </w:r>
      <w:r>
        <w:rPr>
          <w:rFonts w:hint="eastAsia" w:asciiTheme="minorEastAsia" w:hAnsiTheme="minorEastAsia" w:eastAsiaTheme="minorEastAsia"/>
          <w:sz w:val="24"/>
          <w:szCs w:val="36"/>
        </w:rPr>
        <w:t>第二部分 编制和提交采购响应文件须知</w:t>
      </w:r>
      <w:r>
        <w:rPr>
          <w:sz w:val="24"/>
          <w:szCs w:val="22"/>
        </w:rPr>
        <w:tab/>
      </w:r>
      <w:r>
        <w:rPr>
          <w:sz w:val="24"/>
          <w:szCs w:val="22"/>
        </w:rPr>
        <w:fldChar w:fldCharType="begin"/>
      </w:r>
      <w:r>
        <w:rPr>
          <w:sz w:val="24"/>
          <w:szCs w:val="22"/>
        </w:rPr>
        <w:instrText xml:space="preserve"> PAGEREF _Toc19324 </w:instrText>
      </w:r>
      <w:r>
        <w:rPr>
          <w:sz w:val="24"/>
          <w:szCs w:val="22"/>
        </w:rPr>
        <w:fldChar w:fldCharType="separate"/>
      </w:r>
      <w:r>
        <w:rPr>
          <w:sz w:val="24"/>
          <w:szCs w:val="22"/>
        </w:rPr>
        <w:t>7</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"_Toc29490" </w:instrText>
      </w:r>
      <w:r>
        <w:fldChar w:fldCharType="separate"/>
      </w:r>
      <w:r>
        <w:rPr>
          <w:rFonts w:hint="eastAsia" w:asciiTheme="minorEastAsia" w:hAnsiTheme="minorEastAsia" w:eastAsiaTheme="minorEastAsia"/>
          <w:sz w:val="24"/>
          <w:szCs w:val="32"/>
        </w:rPr>
        <w:t>前 附 表</w:t>
      </w:r>
      <w:r>
        <w:rPr>
          <w:sz w:val="24"/>
          <w:szCs w:val="22"/>
        </w:rPr>
        <w:tab/>
      </w:r>
      <w:r>
        <w:rPr>
          <w:sz w:val="24"/>
          <w:szCs w:val="22"/>
        </w:rPr>
        <w:fldChar w:fldCharType="begin"/>
      </w:r>
      <w:r>
        <w:rPr>
          <w:sz w:val="24"/>
          <w:szCs w:val="22"/>
        </w:rPr>
        <w:instrText xml:space="preserve"> PAGEREF _Toc29490 </w:instrText>
      </w:r>
      <w:r>
        <w:rPr>
          <w:sz w:val="24"/>
          <w:szCs w:val="22"/>
        </w:rPr>
        <w:fldChar w:fldCharType="separate"/>
      </w:r>
      <w:r>
        <w:rPr>
          <w:sz w:val="24"/>
          <w:szCs w:val="22"/>
        </w:rPr>
        <w:t>7</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"_Toc18238" </w:instrText>
      </w:r>
      <w:r>
        <w:fldChar w:fldCharType="separate"/>
      </w:r>
      <w:r>
        <w:rPr>
          <w:rFonts w:hint="eastAsia" w:asciiTheme="minorEastAsia" w:hAnsiTheme="minorEastAsia" w:eastAsiaTheme="minorEastAsia"/>
          <w:sz w:val="24"/>
          <w:szCs w:val="32"/>
        </w:rPr>
        <w:t>一、总 则</w:t>
      </w:r>
      <w:r>
        <w:rPr>
          <w:sz w:val="24"/>
          <w:szCs w:val="22"/>
        </w:rPr>
        <w:tab/>
      </w:r>
      <w:r>
        <w:rPr>
          <w:sz w:val="24"/>
          <w:szCs w:val="22"/>
        </w:rPr>
        <w:fldChar w:fldCharType="begin"/>
      </w:r>
      <w:r>
        <w:rPr>
          <w:sz w:val="24"/>
          <w:szCs w:val="22"/>
        </w:rPr>
        <w:instrText xml:space="preserve"> PAGEREF _Toc18238 </w:instrText>
      </w:r>
      <w:r>
        <w:rPr>
          <w:sz w:val="24"/>
          <w:szCs w:val="22"/>
        </w:rPr>
        <w:fldChar w:fldCharType="separate"/>
      </w:r>
      <w:r>
        <w:rPr>
          <w:sz w:val="24"/>
          <w:szCs w:val="22"/>
        </w:rPr>
        <w:t>11</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"_Toc18624" </w:instrText>
      </w:r>
      <w:r>
        <w:fldChar w:fldCharType="separate"/>
      </w:r>
      <w:r>
        <w:rPr>
          <w:rFonts w:hint="eastAsia" w:asciiTheme="minorEastAsia" w:hAnsiTheme="minorEastAsia" w:eastAsiaTheme="minorEastAsia"/>
          <w:sz w:val="24"/>
          <w:szCs w:val="32"/>
        </w:rPr>
        <w:t>二、招标文件</w:t>
      </w:r>
      <w:r>
        <w:rPr>
          <w:sz w:val="24"/>
          <w:szCs w:val="22"/>
        </w:rPr>
        <w:tab/>
      </w:r>
      <w:r>
        <w:rPr>
          <w:sz w:val="24"/>
          <w:szCs w:val="22"/>
        </w:rPr>
        <w:fldChar w:fldCharType="begin"/>
      </w:r>
      <w:r>
        <w:rPr>
          <w:sz w:val="24"/>
          <w:szCs w:val="22"/>
        </w:rPr>
        <w:instrText xml:space="preserve"> PAGEREF _Toc18624 </w:instrText>
      </w:r>
      <w:r>
        <w:rPr>
          <w:sz w:val="24"/>
          <w:szCs w:val="22"/>
        </w:rPr>
        <w:fldChar w:fldCharType="separate"/>
      </w:r>
      <w:r>
        <w:rPr>
          <w:sz w:val="24"/>
          <w:szCs w:val="22"/>
        </w:rPr>
        <w:t>12</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"_Toc28089" </w:instrText>
      </w:r>
      <w:r>
        <w:fldChar w:fldCharType="separate"/>
      </w:r>
      <w:r>
        <w:rPr>
          <w:rFonts w:hint="eastAsia" w:asciiTheme="minorEastAsia" w:hAnsiTheme="minorEastAsia" w:eastAsiaTheme="minorEastAsia"/>
          <w:sz w:val="24"/>
          <w:szCs w:val="32"/>
        </w:rPr>
        <w:t>三、投标文件的编制</w:t>
      </w:r>
      <w:r>
        <w:rPr>
          <w:sz w:val="24"/>
          <w:szCs w:val="22"/>
        </w:rPr>
        <w:tab/>
      </w:r>
      <w:r>
        <w:rPr>
          <w:sz w:val="24"/>
          <w:szCs w:val="22"/>
        </w:rPr>
        <w:fldChar w:fldCharType="begin"/>
      </w:r>
      <w:r>
        <w:rPr>
          <w:sz w:val="24"/>
          <w:szCs w:val="22"/>
        </w:rPr>
        <w:instrText xml:space="preserve"> PAGEREF _Toc28089 </w:instrText>
      </w:r>
      <w:r>
        <w:rPr>
          <w:sz w:val="24"/>
          <w:szCs w:val="22"/>
        </w:rPr>
        <w:fldChar w:fldCharType="separate"/>
      </w:r>
      <w:r>
        <w:rPr>
          <w:sz w:val="24"/>
          <w:szCs w:val="22"/>
        </w:rPr>
        <w:t>14</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"_Toc23297" </w:instrText>
      </w:r>
      <w:r>
        <w:fldChar w:fldCharType="separate"/>
      </w:r>
      <w:r>
        <w:rPr>
          <w:rFonts w:hint="eastAsia" w:asciiTheme="minorEastAsia" w:hAnsiTheme="minorEastAsia" w:eastAsiaTheme="minorEastAsia"/>
          <w:sz w:val="24"/>
          <w:szCs w:val="32"/>
        </w:rPr>
        <w:t>四、投标文件的递交</w:t>
      </w:r>
      <w:r>
        <w:rPr>
          <w:sz w:val="24"/>
          <w:szCs w:val="22"/>
        </w:rPr>
        <w:tab/>
      </w:r>
      <w:r>
        <w:rPr>
          <w:sz w:val="24"/>
          <w:szCs w:val="22"/>
        </w:rPr>
        <w:fldChar w:fldCharType="begin"/>
      </w:r>
      <w:r>
        <w:rPr>
          <w:sz w:val="24"/>
          <w:szCs w:val="22"/>
        </w:rPr>
        <w:instrText xml:space="preserve"> PAGEREF _Toc23297 </w:instrText>
      </w:r>
      <w:r>
        <w:rPr>
          <w:sz w:val="24"/>
          <w:szCs w:val="22"/>
        </w:rPr>
        <w:fldChar w:fldCharType="separate"/>
      </w:r>
      <w:r>
        <w:rPr>
          <w:sz w:val="24"/>
          <w:szCs w:val="22"/>
        </w:rPr>
        <w:t>17</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"_Toc13436" </w:instrText>
      </w:r>
      <w:r>
        <w:fldChar w:fldCharType="separate"/>
      </w:r>
      <w:r>
        <w:rPr>
          <w:rFonts w:hint="eastAsia" w:asciiTheme="minorEastAsia" w:hAnsiTheme="minorEastAsia" w:eastAsiaTheme="minorEastAsia"/>
          <w:sz w:val="24"/>
          <w:szCs w:val="32"/>
        </w:rPr>
        <w:t>五、开 标</w:t>
      </w:r>
      <w:r>
        <w:rPr>
          <w:sz w:val="24"/>
          <w:szCs w:val="22"/>
        </w:rPr>
        <w:tab/>
      </w:r>
      <w:r>
        <w:rPr>
          <w:sz w:val="24"/>
          <w:szCs w:val="22"/>
        </w:rPr>
        <w:fldChar w:fldCharType="begin"/>
      </w:r>
      <w:r>
        <w:rPr>
          <w:sz w:val="24"/>
          <w:szCs w:val="22"/>
        </w:rPr>
        <w:instrText xml:space="preserve"> PAGEREF _Toc13436 </w:instrText>
      </w:r>
      <w:r>
        <w:rPr>
          <w:sz w:val="24"/>
          <w:szCs w:val="22"/>
        </w:rPr>
        <w:fldChar w:fldCharType="separate"/>
      </w:r>
      <w:r>
        <w:rPr>
          <w:sz w:val="24"/>
          <w:szCs w:val="22"/>
        </w:rPr>
        <w:t>18</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"_Toc25158" </w:instrText>
      </w:r>
      <w:r>
        <w:fldChar w:fldCharType="separate"/>
      </w:r>
      <w:r>
        <w:rPr>
          <w:rFonts w:hint="eastAsia" w:asciiTheme="minorEastAsia" w:hAnsiTheme="minorEastAsia" w:eastAsiaTheme="minorEastAsia"/>
          <w:sz w:val="24"/>
          <w:szCs w:val="32"/>
        </w:rPr>
        <w:t>六、评 标</w:t>
      </w:r>
      <w:r>
        <w:rPr>
          <w:sz w:val="24"/>
          <w:szCs w:val="22"/>
        </w:rPr>
        <w:tab/>
      </w:r>
      <w:r>
        <w:rPr>
          <w:sz w:val="24"/>
          <w:szCs w:val="22"/>
        </w:rPr>
        <w:fldChar w:fldCharType="begin"/>
      </w:r>
      <w:r>
        <w:rPr>
          <w:sz w:val="24"/>
          <w:szCs w:val="22"/>
        </w:rPr>
        <w:instrText xml:space="preserve"> PAGEREF _Toc25158 </w:instrText>
      </w:r>
      <w:r>
        <w:rPr>
          <w:sz w:val="24"/>
          <w:szCs w:val="22"/>
        </w:rPr>
        <w:fldChar w:fldCharType="separate"/>
      </w:r>
      <w:r>
        <w:rPr>
          <w:sz w:val="24"/>
          <w:szCs w:val="22"/>
        </w:rPr>
        <w:t>19</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"_Toc4007" </w:instrText>
      </w:r>
      <w:r>
        <w:fldChar w:fldCharType="separate"/>
      </w:r>
      <w:r>
        <w:rPr>
          <w:rFonts w:hint="eastAsia" w:asciiTheme="minorEastAsia" w:hAnsiTheme="minorEastAsia" w:eastAsiaTheme="minorEastAsia"/>
          <w:sz w:val="24"/>
          <w:szCs w:val="32"/>
        </w:rPr>
        <w:t>七、定 标</w:t>
      </w:r>
      <w:r>
        <w:rPr>
          <w:sz w:val="24"/>
          <w:szCs w:val="22"/>
        </w:rPr>
        <w:tab/>
      </w:r>
      <w:r>
        <w:rPr>
          <w:sz w:val="24"/>
          <w:szCs w:val="22"/>
        </w:rPr>
        <w:fldChar w:fldCharType="begin"/>
      </w:r>
      <w:r>
        <w:rPr>
          <w:sz w:val="24"/>
          <w:szCs w:val="22"/>
        </w:rPr>
        <w:instrText xml:space="preserve"> PAGEREF _Toc4007 </w:instrText>
      </w:r>
      <w:r>
        <w:rPr>
          <w:sz w:val="24"/>
          <w:szCs w:val="22"/>
        </w:rPr>
        <w:fldChar w:fldCharType="separate"/>
      </w:r>
      <w:r>
        <w:rPr>
          <w:sz w:val="24"/>
          <w:szCs w:val="22"/>
        </w:rPr>
        <w:t>23</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"_Toc29428" </w:instrText>
      </w:r>
      <w:r>
        <w:fldChar w:fldCharType="separate"/>
      </w:r>
      <w:r>
        <w:rPr>
          <w:rFonts w:hint="eastAsia" w:asciiTheme="minorEastAsia" w:hAnsiTheme="minorEastAsia" w:eastAsiaTheme="minorEastAsia"/>
          <w:sz w:val="24"/>
          <w:szCs w:val="32"/>
        </w:rPr>
        <w:t>八、合同签订及其他</w:t>
      </w:r>
      <w:r>
        <w:rPr>
          <w:sz w:val="24"/>
          <w:szCs w:val="22"/>
        </w:rPr>
        <w:tab/>
      </w:r>
      <w:r>
        <w:rPr>
          <w:sz w:val="24"/>
          <w:szCs w:val="22"/>
        </w:rPr>
        <w:fldChar w:fldCharType="begin"/>
      </w:r>
      <w:r>
        <w:rPr>
          <w:sz w:val="24"/>
          <w:szCs w:val="22"/>
        </w:rPr>
        <w:instrText xml:space="preserve"> PAGEREF _Toc29428 </w:instrText>
      </w:r>
      <w:r>
        <w:rPr>
          <w:sz w:val="24"/>
          <w:szCs w:val="22"/>
        </w:rPr>
        <w:fldChar w:fldCharType="separate"/>
      </w:r>
      <w:r>
        <w:rPr>
          <w:sz w:val="24"/>
          <w:szCs w:val="22"/>
        </w:rPr>
        <w:t>23</w:t>
      </w:r>
      <w:r>
        <w:rPr>
          <w:sz w:val="24"/>
          <w:szCs w:val="22"/>
        </w:rPr>
        <w:fldChar w:fldCharType="end"/>
      </w:r>
      <w:r>
        <w:rPr>
          <w:sz w:val="24"/>
          <w:szCs w:val="22"/>
        </w:rPr>
        <w:fldChar w:fldCharType="end"/>
      </w:r>
    </w:p>
    <w:p>
      <w:pPr>
        <w:pStyle w:val="28"/>
        <w:tabs>
          <w:tab w:val="right" w:leader="dot" w:pos="9014"/>
        </w:tabs>
        <w:snapToGrid w:val="0"/>
        <w:spacing w:line="360" w:lineRule="auto"/>
        <w:rPr>
          <w:sz w:val="24"/>
          <w:szCs w:val="22"/>
        </w:rPr>
      </w:pPr>
      <w:r>
        <w:fldChar w:fldCharType="begin"/>
      </w:r>
      <w:r>
        <w:instrText xml:space="preserve"> HYPERLINK \l "_Toc6062" </w:instrText>
      </w:r>
      <w:r>
        <w:fldChar w:fldCharType="separate"/>
      </w:r>
      <w:r>
        <w:rPr>
          <w:rFonts w:hint="eastAsia" w:asciiTheme="minorEastAsia" w:hAnsiTheme="minorEastAsia" w:eastAsiaTheme="minorEastAsia"/>
          <w:sz w:val="24"/>
          <w:szCs w:val="36"/>
        </w:rPr>
        <w:t>第三部分 项目技术规范和服务要求</w:t>
      </w:r>
      <w:r>
        <w:rPr>
          <w:sz w:val="24"/>
          <w:szCs w:val="22"/>
        </w:rPr>
        <w:tab/>
      </w:r>
      <w:r>
        <w:rPr>
          <w:sz w:val="24"/>
          <w:szCs w:val="22"/>
        </w:rPr>
        <w:fldChar w:fldCharType="begin"/>
      </w:r>
      <w:r>
        <w:rPr>
          <w:sz w:val="24"/>
          <w:szCs w:val="22"/>
        </w:rPr>
        <w:instrText xml:space="preserve"> PAGEREF _Toc6062 </w:instrText>
      </w:r>
      <w:r>
        <w:rPr>
          <w:sz w:val="24"/>
          <w:szCs w:val="22"/>
        </w:rPr>
        <w:fldChar w:fldCharType="separate"/>
      </w:r>
      <w:r>
        <w:rPr>
          <w:sz w:val="24"/>
          <w:szCs w:val="22"/>
        </w:rPr>
        <w:t>26</w:t>
      </w:r>
      <w:r>
        <w:rPr>
          <w:sz w:val="24"/>
          <w:szCs w:val="22"/>
        </w:rPr>
        <w:fldChar w:fldCharType="end"/>
      </w:r>
      <w:r>
        <w:rPr>
          <w:sz w:val="24"/>
          <w:szCs w:val="22"/>
        </w:rPr>
        <w:fldChar w:fldCharType="end"/>
      </w:r>
    </w:p>
    <w:p>
      <w:pPr>
        <w:pStyle w:val="28"/>
        <w:tabs>
          <w:tab w:val="right" w:leader="dot" w:pos="9014"/>
        </w:tabs>
        <w:snapToGrid w:val="0"/>
        <w:spacing w:line="360" w:lineRule="auto"/>
        <w:rPr>
          <w:sz w:val="24"/>
          <w:szCs w:val="22"/>
        </w:rPr>
      </w:pPr>
      <w:r>
        <w:fldChar w:fldCharType="begin"/>
      </w:r>
      <w:r>
        <w:instrText xml:space="preserve"> HYPERLINK \l "_Toc19148" </w:instrText>
      </w:r>
      <w:r>
        <w:fldChar w:fldCharType="separate"/>
      </w:r>
      <w:r>
        <w:rPr>
          <w:rFonts w:hint="eastAsia" w:asciiTheme="minorEastAsia" w:hAnsiTheme="minorEastAsia" w:eastAsiaTheme="minorEastAsia"/>
          <w:sz w:val="24"/>
          <w:szCs w:val="36"/>
        </w:rPr>
        <w:t>第四部分 采购合同的一般和特殊条款</w:t>
      </w:r>
      <w:r>
        <w:rPr>
          <w:sz w:val="24"/>
          <w:szCs w:val="22"/>
        </w:rPr>
        <w:tab/>
      </w:r>
      <w:r>
        <w:rPr>
          <w:sz w:val="24"/>
          <w:szCs w:val="22"/>
        </w:rPr>
        <w:fldChar w:fldCharType="begin"/>
      </w:r>
      <w:r>
        <w:rPr>
          <w:sz w:val="24"/>
          <w:szCs w:val="22"/>
        </w:rPr>
        <w:instrText xml:space="preserve"> PAGEREF _Toc19148 </w:instrText>
      </w:r>
      <w:r>
        <w:rPr>
          <w:sz w:val="24"/>
          <w:szCs w:val="22"/>
        </w:rPr>
        <w:fldChar w:fldCharType="separate"/>
      </w:r>
      <w:r>
        <w:rPr>
          <w:sz w:val="24"/>
          <w:szCs w:val="22"/>
        </w:rPr>
        <w:t>39</w:t>
      </w:r>
      <w:r>
        <w:rPr>
          <w:sz w:val="24"/>
          <w:szCs w:val="22"/>
        </w:rPr>
        <w:fldChar w:fldCharType="end"/>
      </w:r>
      <w:r>
        <w:rPr>
          <w:sz w:val="24"/>
          <w:szCs w:val="22"/>
        </w:rPr>
        <w:fldChar w:fldCharType="end"/>
      </w:r>
    </w:p>
    <w:p>
      <w:pPr>
        <w:pStyle w:val="28"/>
        <w:tabs>
          <w:tab w:val="right" w:leader="dot" w:pos="9014"/>
        </w:tabs>
        <w:snapToGrid w:val="0"/>
        <w:spacing w:line="360" w:lineRule="auto"/>
        <w:rPr>
          <w:sz w:val="24"/>
          <w:szCs w:val="22"/>
        </w:rPr>
      </w:pPr>
      <w:r>
        <w:fldChar w:fldCharType="begin"/>
      </w:r>
      <w:r>
        <w:instrText xml:space="preserve"> HYPERLINK \l "_Toc26112" </w:instrText>
      </w:r>
      <w:r>
        <w:fldChar w:fldCharType="separate"/>
      </w:r>
      <w:r>
        <w:rPr>
          <w:rFonts w:hint="eastAsia" w:asciiTheme="minorEastAsia" w:hAnsiTheme="minorEastAsia" w:eastAsiaTheme="minorEastAsia"/>
          <w:sz w:val="24"/>
          <w:szCs w:val="36"/>
        </w:rPr>
        <w:t>第五部分 应提交的有关格式范例</w:t>
      </w:r>
      <w:r>
        <w:rPr>
          <w:sz w:val="24"/>
          <w:szCs w:val="22"/>
        </w:rPr>
        <w:tab/>
      </w:r>
      <w:r>
        <w:rPr>
          <w:sz w:val="24"/>
          <w:szCs w:val="22"/>
        </w:rPr>
        <w:fldChar w:fldCharType="begin"/>
      </w:r>
      <w:r>
        <w:rPr>
          <w:sz w:val="24"/>
          <w:szCs w:val="22"/>
        </w:rPr>
        <w:instrText xml:space="preserve"> PAGEREF _Toc26112 </w:instrText>
      </w:r>
      <w:r>
        <w:rPr>
          <w:sz w:val="24"/>
          <w:szCs w:val="22"/>
        </w:rPr>
        <w:fldChar w:fldCharType="separate"/>
      </w:r>
      <w:r>
        <w:rPr>
          <w:sz w:val="24"/>
          <w:szCs w:val="22"/>
        </w:rPr>
        <w:t>42</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"_Toc28011" </w:instrText>
      </w:r>
      <w:r>
        <w:fldChar w:fldCharType="separate"/>
      </w:r>
      <w:r>
        <w:rPr>
          <w:rFonts w:hint="eastAsia" w:asciiTheme="minorEastAsia" w:hAnsiTheme="minorEastAsia" w:eastAsiaTheme="minorEastAsia"/>
          <w:sz w:val="24"/>
          <w:szCs w:val="32"/>
        </w:rPr>
        <w:t>一、投标人提交投标文件须知：</w:t>
      </w:r>
      <w:r>
        <w:rPr>
          <w:sz w:val="24"/>
          <w:szCs w:val="22"/>
        </w:rPr>
        <w:tab/>
      </w:r>
      <w:r>
        <w:rPr>
          <w:sz w:val="24"/>
          <w:szCs w:val="22"/>
        </w:rPr>
        <w:fldChar w:fldCharType="begin"/>
      </w:r>
      <w:r>
        <w:rPr>
          <w:sz w:val="24"/>
          <w:szCs w:val="22"/>
        </w:rPr>
        <w:instrText xml:space="preserve"> PAGEREF _Toc28011 </w:instrText>
      </w:r>
      <w:r>
        <w:rPr>
          <w:sz w:val="24"/>
          <w:szCs w:val="22"/>
        </w:rPr>
        <w:fldChar w:fldCharType="separate"/>
      </w:r>
      <w:r>
        <w:rPr>
          <w:sz w:val="24"/>
          <w:szCs w:val="22"/>
        </w:rPr>
        <w:t>42</w:t>
      </w:r>
      <w:r>
        <w:rPr>
          <w:sz w:val="24"/>
          <w:szCs w:val="22"/>
        </w:rPr>
        <w:fldChar w:fldCharType="end"/>
      </w:r>
      <w:r>
        <w:rPr>
          <w:sz w:val="24"/>
          <w:szCs w:val="22"/>
        </w:rPr>
        <w:fldChar w:fldCharType="end"/>
      </w:r>
    </w:p>
    <w:p>
      <w:pPr>
        <w:pStyle w:val="32"/>
        <w:tabs>
          <w:tab w:val="right" w:leader="dot" w:pos="9014"/>
        </w:tabs>
        <w:snapToGrid w:val="0"/>
        <w:spacing w:line="360" w:lineRule="auto"/>
        <w:rPr>
          <w:sz w:val="24"/>
          <w:szCs w:val="22"/>
        </w:rPr>
      </w:pPr>
      <w:r>
        <w:fldChar w:fldCharType="begin"/>
      </w:r>
      <w:r>
        <w:instrText xml:space="preserve"> HYPERLINK \l "_Toc10247" </w:instrText>
      </w:r>
      <w:r>
        <w:fldChar w:fldCharType="separate"/>
      </w:r>
      <w:r>
        <w:rPr>
          <w:rFonts w:hint="eastAsia" w:asciiTheme="minorEastAsia" w:hAnsiTheme="minorEastAsia" w:eastAsiaTheme="minorEastAsia"/>
          <w:sz w:val="24"/>
          <w:szCs w:val="32"/>
        </w:rPr>
        <w:t>二、投标文件编制格式及规范要求：</w:t>
      </w:r>
      <w:r>
        <w:rPr>
          <w:sz w:val="24"/>
          <w:szCs w:val="22"/>
        </w:rPr>
        <w:tab/>
      </w:r>
      <w:r>
        <w:rPr>
          <w:sz w:val="24"/>
          <w:szCs w:val="22"/>
        </w:rPr>
        <w:fldChar w:fldCharType="begin"/>
      </w:r>
      <w:r>
        <w:rPr>
          <w:sz w:val="24"/>
          <w:szCs w:val="22"/>
        </w:rPr>
        <w:instrText xml:space="preserve"> PAGEREF _Toc10247 </w:instrText>
      </w:r>
      <w:r>
        <w:rPr>
          <w:sz w:val="24"/>
          <w:szCs w:val="22"/>
        </w:rPr>
        <w:fldChar w:fldCharType="separate"/>
      </w:r>
      <w:r>
        <w:rPr>
          <w:sz w:val="24"/>
          <w:szCs w:val="22"/>
        </w:rPr>
        <w:t>42</w:t>
      </w:r>
      <w:r>
        <w:rPr>
          <w:sz w:val="24"/>
          <w:szCs w:val="22"/>
        </w:rPr>
        <w:fldChar w:fldCharType="end"/>
      </w:r>
      <w:r>
        <w:rPr>
          <w:sz w:val="24"/>
          <w:szCs w:val="22"/>
        </w:rPr>
        <w:fldChar w:fldCharType="end"/>
      </w:r>
    </w:p>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32"/>
        </w:rPr>
        <w:fldChar w:fldCharType="end"/>
      </w:r>
    </w:p>
    <w:p>
      <w:pPr>
        <w:adjustRightInd w:val="0"/>
        <w:snapToGrid w:val="0"/>
        <w:spacing w:line="360" w:lineRule="auto"/>
        <w:jc w:val="center"/>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br w:type="page"/>
      </w:r>
      <w:bookmarkStart w:id="2" w:name="_Toc19079"/>
      <w:r>
        <w:rPr>
          <w:rFonts w:hint="eastAsia" w:asciiTheme="minorEastAsia" w:hAnsiTheme="minorEastAsia" w:eastAsiaTheme="minorEastAsia"/>
          <w:b/>
          <w:sz w:val="24"/>
          <w:szCs w:val="24"/>
        </w:rPr>
        <w:t>第一部分 杭州市市场监督管理局2021年上半年食品生产环节监督抽检项目公开招标公告</w:t>
      </w:r>
      <w:bookmarkEnd w:id="1"/>
      <w:bookmarkEnd w:id="2"/>
    </w:p>
    <w:p>
      <w:pPr>
        <w:adjustRightInd w:val="0"/>
        <w:snapToGrid w:val="0"/>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为支持和促进中小企业发展，杭州市财政局出台了政府采购信用融资政策，供应商可凭中标合同申请贷款，利率一般在基准利率左右（不同银行略有差异）。具体可登录http://220.191.208.230/login.do 办理业务。</w:t>
      </w:r>
    </w:p>
    <w:p>
      <w:pPr>
        <w:pBdr>
          <w:top w:val="single" w:color="auto" w:sz="4" w:space="1"/>
          <w:left w:val="single" w:color="auto" w:sz="4" w:space="4"/>
          <w:bottom w:val="single" w:color="auto" w:sz="4" w:space="1"/>
          <w:right w:val="single" w:color="auto" w:sz="4" w:space="4"/>
        </w:pBd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cs="宋体"/>
          <w:sz w:val="24"/>
          <w:szCs w:val="24"/>
        </w:rPr>
      </w:pPr>
      <w:r>
        <w:rPr>
          <w:rFonts w:hint="eastAsia" w:ascii="宋体" w:hAnsi="宋体" w:cs="宋体"/>
          <w:sz w:val="24"/>
          <w:szCs w:val="24"/>
          <w:u w:val="single"/>
        </w:rPr>
        <w:t>杭州市市场监督管理局2021年上半年食品生产环节监督抽检项目</w:t>
      </w:r>
      <w:r>
        <w:rPr>
          <w:rFonts w:hint="eastAsia" w:ascii="宋体" w:hAnsi="宋体" w:cs="宋体"/>
          <w:sz w:val="24"/>
          <w:szCs w:val="24"/>
        </w:rPr>
        <w:t>招标项目的潜在投标人应在</w:t>
      </w:r>
      <w:r>
        <w:rPr>
          <w:rFonts w:hint="eastAsia" w:ascii="宋体" w:hAnsi="宋体" w:cs="宋体"/>
          <w:sz w:val="24"/>
          <w:szCs w:val="24"/>
          <w:u w:val="single"/>
        </w:rPr>
        <w:t>浙江政府采购网（http://zfcg.czt.zj.gov.cn）</w:t>
      </w:r>
      <w:r>
        <w:rPr>
          <w:rFonts w:hint="eastAsia" w:ascii="宋体" w:hAnsi="宋体" w:cs="宋体"/>
          <w:sz w:val="24"/>
          <w:szCs w:val="24"/>
        </w:rPr>
        <w:t>获取招标文件，并于</w:t>
      </w:r>
      <w:r>
        <w:rPr>
          <w:rFonts w:hint="eastAsia" w:ascii="宋体" w:hAnsi="宋体" w:cs="宋体"/>
          <w:sz w:val="24"/>
          <w:szCs w:val="24"/>
          <w:u w:val="single"/>
        </w:rPr>
        <w:t>2021</w:t>
      </w:r>
      <w:r>
        <w:rPr>
          <w:rFonts w:hint="eastAsia" w:ascii="宋体" w:hAnsi="宋体" w:cs="宋体"/>
          <w:bCs/>
          <w:sz w:val="24"/>
          <w:szCs w:val="24"/>
          <w:u w:val="single"/>
        </w:rPr>
        <w:t>年</w:t>
      </w:r>
      <w:r>
        <w:rPr>
          <w:rFonts w:hint="eastAsia" w:ascii="宋体" w:hAnsi="宋体" w:cs="宋体"/>
          <w:bCs/>
          <w:sz w:val="24"/>
          <w:szCs w:val="24"/>
          <w:u w:val="single"/>
          <w:lang w:val="en-US" w:eastAsia="zh-CN"/>
        </w:rPr>
        <w:t>2</w:t>
      </w:r>
      <w:r>
        <w:rPr>
          <w:rFonts w:hint="eastAsia" w:ascii="宋体" w:hAnsi="宋体" w:cs="宋体"/>
          <w:bCs/>
          <w:sz w:val="24"/>
          <w:szCs w:val="24"/>
          <w:u w:val="single"/>
        </w:rPr>
        <w:t>月</w:t>
      </w:r>
      <w:r>
        <w:rPr>
          <w:rFonts w:hint="eastAsia" w:ascii="宋体" w:hAnsi="宋体" w:cs="宋体"/>
          <w:bCs/>
          <w:sz w:val="24"/>
          <w:szCs w:val="24"/>
          <w:u w:val="single"/>
          <w:lang w:val="en-US" w:eastAsia="zh-CN"/>
        </w:rPr>
        <w:t>1</w:t>
      </w:r>
      <w:r>
        <w:rPr>
          <w:rFonts w:hint="eastAsia" w:ascii="宋体" w:hAnsi="宋体" w:cs="宋体"/>
          <w:bCs/>
          <w:sz w:val="24"/>
          <w:szCs w:val="24"/>
          <w:u w:val="single"/>
        </w:rPr>
        <w:t>日10点00分（</w:t>
      </w:r>
      <w:r>
        <w:rPr>
          <w:rFonts w:hint="eastAsia" w:ascii="宋体" w:hAnsi="宋体" w:cs="宋体"/>
          <w:bCs/>
          <w:sz w:val="24"/>
          <w:szCs w:val="24"/>
        </w:rPr>
        <w:t>北京时间）前递交投标文件</w:t>
      </w:r>
      <w:r>
        <w:rPr>
          <w:rFonts w:hint="eastAsia" w:ascii="宋体" w:hAnsi="宋体" w:cs="宋体"/>
          <w:sz w:val="24"/>
          <w:szCs w:val="24"/>
        </w:rPr>
        <w:t>。</w:t>
      </w:r>
    </w:p>
    <w:p>
      <w:pPr>
        <w:pStyle w:val="4"/>
        <w:snapToGrid w:val="0"/>
        <w:rPr>
          <w:rFonts w:ascii="宋体" w:hAnsi="宋体" w:eastAsia="宋体" w:cs="宋体"/>
          <w:bCs/>
          <w:szCs w:val="24"/>
        </w:rPr>
      </w:pPr>
      <w:bookmarkStart w:id="3" w:name="_Toc35393621"/>
      <w:bookmarkStart w:id="4" w:name="_Toc28359002"/>
      <w:bookmarkStart w:id="5" w:name="_Toc35393790"/>
      <w:bookmarkStart w:id="6" w:name="_Toc28359079"/>
      <w:bookmarkStart w:id="7" w:name="_Hlk24379207"/>
      <w:r>
        <w:rPr>
          <w:rFonts w:hint="eastAsia" w:ascii="宋体" w:hAnsi="宋体" w:eastAsia="宋体" w:cs="宋体"/>
          <w:bCs/>
          <w:szCs w:val="24"/>
        </w:rPr>
        <w:t>一、项目基本情况</w:t>
      </w:r>
      <w:bookmarkEnd w:id="3"/>
      <w:bookmarkEnd w:id="4"/>
      <w:bookmarkEnd w:id="5"/>
      <w:bookmarkEnd w:id="6"/>
    </w:p>
    <w:p>
      <w:pPr>
        <w:snapToGrid w:val="0"/>
        <w:spacing w:line="360" w:lineRule="auto"/>
        <w:ind w:firstLine="482" w:firstLineChars="200"/>
        <w:rPr>
          <w:rFonts w:hint="eastAsia" w:ascii="宋体" w:hAnsi="宋体" w:eastAsia="宋体" w:cs="宋体"/>
          <w:sz w:val="24"/>
          <w:szCs w:val="24"/>
          <w:lang w:eastAsia="zh-CN"/>
        </w:rPr>
      </w:pPr>
      <w:r>
        <w:rPr>
          <w:rFonts w:hint="eastAsia" w:ascii="宋体" w:hAnsi="宋体" w:cs="宋体"/>
          <w:b/>
          <w:bCs/>
          <w:sz w:val="24"/>
          <w:szCs w:val="24"/>
        </w:rPr>
        <w:t>项目编号：</w:t>
      </w:r>
      <w:r>
        <w:rPr>
          <w:rFonts w:hint="eastAsia" w:ascii="宋体" w:hAnsi="宋体" w:cs="宋体"/>
          <w:sz w:val="24"/>
          <w:szCs w:val="24"/>
          <w:lang w:eastAsia="zh-CN"/>
        </w:rPr>
        <w:t>ZJZN-20951-SJ36</w:t>
      </w:r>
    </w:p>
    <w:p>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项目名称：</w:t>
      </w:r>
      <w:r>
        <w:rPr>
          <w:rFonts w:hint="eastAsia" w:ascii="宋体" w:hAnsi="宋体" w:cs="宋体"/>
          <w:sz w:val="24"/>
          <w:szCs w:val="24"/>
        </w:rPr>
        <w:t>杭州市市场监督管理局2021年上半年食品生产环节监督抽检项目</w:t>
      </w:r>
    </w:p>
    <w:bookmarkEnd w:id="7"/>
    <w:p>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预算金额：</w:t>
      </w:r>
      <w:r>
        <w:rPr>
          <w:rFonts w:hint="eastAsia" w:ascii="宋体" w:hAnsi="宋体" w:cs="宋体"/>
          <w:sz w:val="24"/>
          <w:szCs w:val="24"/>
        </w:rPr>
        <w:t>人民币283万元</w:t>
      </w:r>
    </w:p>
    <w:p>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最高限价：</w:t>
      </w:r>
      <w:r>
        <w:rPr>
          <w:rFonts w:hint="eastAsia" w:ascii="宋体" w:hAnsi="宋体" w:cs="宋体"/>
          <w:sz w:val="24"/>
          <w:szCs w:val="24"/>
        </w:rPr>
        <w:t>标项一：人民币73万元；标项二：人民币73万元；标项三：人民币73万元；标项四：人民币72万元；标项五：人民币72万元；标项六：人民币73万元；标项七：人民币73万元</w:t>
      </w:r>
    </w:p>
    <w:p>
      <w:pPr>
        <w:adjustRightInd w:val="0"/>
        <w:snapToGrid w:val="0"/>
        <w:spacing w:line="360" w:lineRule="auto"/>
        <w:ind w:firstLine="359" w:firstLineChars="149"/>
        <w:rPr>
          <w:rFonts w:asciiTheme="minorEastAsia" w:hAnsiTheme="minorEastAsia" w:eastAsiaTheme="minorEastAsia"/>
          <w:sz w:val="24"/>
          <w:szCs w:val="24"/>
        </w:rPr>
      </w:pPr>
      <w:r>
        <w:rPr>
          <w:rFonts w:hint="eastAsia" w:ascii="宋体" w:hAnsi="宋体" w:cs="宋体"/>
          <w:b/>
          <w:bCs/>
          <w:sz w:val="24"/>
          <w:szCs w:val="24"/>
        </w:rPr>
        <w:t>采购需求：</w:t>
      </w:r>
      <w:r>
        <w:rPr>
          <w:rFonts w:hint="eastAsia" w:cs="Arial" w:asciiTheme="minorEastAsia" w:hAnsiTheme="minorEastAsia" w:eastAsiaTheme="minorEastAsia"/>
          <w:b/>
          <w:sz w:val="24"/>
          <w:szCs w:val="24"/>
        </w:rPr>
        <w:t>本项目分五个标项，有效供应商可对一个或多个标项进行选择性投标</w:t>
      </w:r>
    </w:p>
    <w:tbl>
      <w:tblPr>
        <w:tblStyle w:val="3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08"/>
        <w:gridCol w:w="6600"/>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9" w:hRule="atLeast"/>
        </w:trPr>
        <w:tc>
          <w:tcPr>
            <w:tcW w:w="392" w:type="pct"/>
            <w:vAlign w:val="center"/>
          </w:tcPr>
          <w:p>
            <w:pPr>
              <w:widowControl/>
              <w:adjustRightInd w:val="0"/>
              <w:snapToGrid w:val="0"/>
              <w:jc w:val="center"/>
              <w:textAlignment w:val="center"/>
              <w:rPr>
                <w:rFonts w:cs="仿宋" w:asciiTheme="minorEastAsia" w:hAnsiTheme="minorEastAsia" w:eastAsiaTheme="minorEastAsia"/>
                <w:b/>
                <w:sz w:val="18"/>
                <w:szCs w:val="18"/>
              </w:rPr>
            </w:pPr>
            <w:r>
              <w:rPr>
                <w:rFonts w:hint="eastAsia" w:cs="仿宋" w:asciiTheme="minorEastAsia" w:hAnsiTheme="minorEastAsia" w:eastAsiaTheme="minorEastAsia"/>
                <w:b/>
                <w:kern w:val="0"/>
                <w:sz w:val="18"/>
                <w:szCs w:val="18"/>
              </w:rPr>
              <w:t>标项</w:t>
            </w:r>
          </w:p>
        </w:tc>
        <w:tc>
          <w:tcPr>
            <w:tcW w:w="3649" w:type="pct"/>
            <w:shd w:val="clear" w:color="auto" w:fill="auto"/>
            <w:vAlign w:val="center"/>
          </w:tcPr>
          <w:p>
            <w:pPr>
              <w:widowControl/>
              <w:adjustRightInd w:val="0"/>
              <w:snapToGrid w:val="0"/>
              <w:jc w:val="center"/>
              <w:textAlignment w:val="center"/>
              <w:rPr>
                <w:rFonts w:cs="仿宋" w:asciiTheme="minorEastAsia" w:hAnsiTheme="minorEastAsia" w:eastAsiaTheme="minorEastAsia"/>
                <w:b/>
                <w:sz w:val="18"/>
                <w:szCs w:val="18"/>
              </w:rPr>
            </w:pPr>
            <w:r>
              <w:rPr>
                <w:rFonts w:hint="eastAsia" w:cs="仿宋" w:asciiTheme="minorEastAsia" w:hAnsiTheme="minorEastAsia" w:eastAsiaTheme="minorEastAsia"/>
                <w:b/>
                <w:sz w:val="18"/>
                <w:szCs w:val="18"/>
              </w:rPr>
              <w:t>内容</w:t>
            </w:r>
          </w:p>
        </w:tc>
        <w:tc>
          <w:tcPr>
            <w:tcW w:w="957" w:type="pct"/>
            <w:shd w:val="clear" w:color="auto" w:fill="auto"/>
            <w:vAlign w:val="center"/>
          </w:tcPr>
          <w:p>
            <w:pPr>
              <w:widowControl/>
              <w:adjustRightInd w:val="0"/>
              <w:snapToGrid w:val="0"/>
              <w:jc w:val="center"/>
              <w:textAlignment w:val="center"/>
              <w:rPr>
                <w:rFonts w:cs="仿宋" w:asciiTheme="minorEastAsia" w:hAnsiTheme="minorEastAsia" w:eastAsiaTheme="minorEastAsia"/>
                <w:b/>
                <w:kern w:val="0"/>
                <w:sz w:val="18"/>
                <w:szCs w:val="18"/>
              </w:rPr>
            </w:pPr>
            <w:r>
              <w:rPr>
                <w:rFonts w:hint="eastAsia" w:cs="仿宋" w:asciiTheme="minorEastAsia" w:hAnsiTheme="minorEastAsia" w:eastAsiaTheme="minorEastAsia"/>
                <w:b/>
                <w:kern w:val="0"/>
                <w:sz w:val="18"/>
                <w:szCs w:val="18"/>
              </w:rPr>
              <w:t>预算</w:t>
            </w:r>
          </w:p>
          <w:p>
            <w:pPr>
              <w:widowControl/>
              <w:adjustRightInd w:val="0"/>
              <w:snapToGrid w:val="0"/>
              <w:jc w:val="center"/>
              <w:textAlignment w:val="center"/>
              <w:rPr>
                <w:rFonts w:cs="仿宋" w:asciiTheme="minorEastAsia" w:hAnsiTheme="minorEastAsia" w:eastAsiaTheme="minorEastAsia"/>
                <w:b/>
                <w:kern w:val="0"/>
                <w:sz w:val="18"/>
                <w:szCs w:val="18"/>
              </w:rPr>
            </w:pPr>
            <w:r>
              <w:rPr>
                <w:rFonts w:hint="eastAsia" w:cs="仿宋" w:asciiTheme="minorEastAsia" w:hAnsiTheme="minorEastAsia" w:eastAsiaTheme="minorEastAsia"/>
                <w:b/>
                <w:kern w:val="0"/>
                <w:sz w:val="18"/>
                <w:szCs w:val="18"/>
              </w:rPr>
              <w:t>（含买样费）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2" w:type="pct"/>
            <w:shd w:val="clear" w:color="auto" w:fill="FFFFFF"/>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3649" w:type="pct"/>
            <w:shd w:val="clear" w:color="auto" w:fill="FFFFFF"/>
            <w:vAlign w:val="center"/>
          </w:tcPr>
          <w:p>
            <w:pPr>
              <w:pStyle w:val="18"/>
              <w:snapToGrid w:val="0"/>
              <w:spacing w:line="240" w:lineRule="auto"/>
              <w:rPr>
                <w:sz w:val="18"/>
                <w:szCs w:val="18"/>
                <w:lang w:val="en-US"/>
              </w:rPr>
            </w:pPr>
            <w:r>
              <w:rPr>
                <w:rFonts w:hint="eastAsia"/>
                <w:sz w:val="18"/>
                <w:szCs w:val="18"/>
                <w:lang w:val="en-US"/>
              </w:rPr>
              <w:t>食品生产环节监督抽检（一）</w:t>
            </w:r>
          </w:p>
        </w:tc>
        <w:tc>
          <w:tcPr>
            <w:tcW w:w="957" w:type="pct"/>
            <w:shd w:val="clear" w:color="auto" w:fill="FFFFFF"/>
            <w:vAlign w:val="center"/>
          </w:tcPr>
          <w:p>
            <w:pPr>
              <w:widowControl/>
              <w:adjustRightInd w:val="0"/>
              <w:snapToGrid w:val="0"/>
              <w:jc w:val="center"/>
              <w:textAlignment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73</w:t>
            </w:r>
            <w:r>
              <w:rPr>
                <w:rFonts w:cs="仿宋" w:asciiTheme="minorEastAsia" w:hAnsiTheme="minorEastAsia" w:eastAsiaTheme="minorEastAsia"/>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2" w:type="pct"/>
            <w:shd w:val="clear" w:color="auto" w:fill="FFFFFF"/>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3649" w:type="pct"/>
            <w:shd w:val="clear" w:color="auto" w:fill="FFFFFF"/>
            <w:vAlign w:val="center"/>
          </w:tcPr>
          <w:p>
            <w:pPr>
              <w:pStyle w:val="18"/>
              <w:snapToGrid w:val="0"/>
              <w:spacing w:line="240" w:lineRule="auto"/>
              <w:rPr>
                <w:sz w:val="18"/>
                <w:szCs w:val="18"/>
                <w:lang w:val="en-US"/>
              </w:rPr>
            </w:pPr>
            <w:r>
              <w:rPr>
                <w:rFonts w:hint="eastAsia"/>
                <w:sz w:val="18"/>
                <w:szCs w:val="18"/>
                <w:lang w:val="en-US"/>
              </w:rPr>
              <w:t>食品生产环节监督抽检（二）</w:t>
            </w:r>
          </w:p>
        </w:tc>
        <w:tc>
          <w:tcPr>
            <w:tcW w:w="957" w:type="pct"/>
            <w:shd w:val="clear" w:color="auto" w:fill="FFFFFF"/>
            <w:vAlign w:val="center"/>
          </w:tcPr>
          <w:p>
            <w:pPr>
              <w:widowControl/>
              <w:adjustRightInd w:val="0"/>
              <w:snapToGrid w:val="0"/>
              <w:jc w:val="center"/>
              <w:textAlignment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73</w:t>
            </w:r>
            <w:r>
              <w:rPr>
                <w:rFonts w:cs="仿宋" w:asciiTheme="minorEastAsia" w:hAnsiTheme="minorEastAsia" w:eastAsiaTheme="minorEastAsia"/>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2" w:type="pct"/>
            <w:shd w:val="clear" w:color="auto" w:fill="FFFFFF"/>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3649" w:type="pct"/>
            <w:shd w:val="clear" w:color="auto" w:fill="FFFFFF"/>
            <w:vAlign w:val="center"/>
          </w:tcPr>
          <w:p>
            <w:pPr>
              <w:pStyle w:val="18"/>
              <w:snapToGrid w:val="0"/>
              <w:spacing w:line="240" w:lineRule="auto"/>
              <w:rPr>
                <w:sz w:val="18"/>
                <w:szCs w:val="18"/>
                <w:lang w:val="en-US"/>
              </w:rPr>
            </w:pPr>
            <w:r>
              <w:rPr>
                <w:rFonts w:hint="eastAsia"/>
                <w:sz w:val="18"/>
                <w:szCs w:val="18"/>
                <w:lang w:val="en-US"/>
              </w:rPr>
              <w:t>食品生产环节监督抽检（三）</w:t>
            </w:r>
          </w:p>
        </w:tc>
        <w:tc>
          <w:tcPr>
            <w:tcW w:w="957" w:type="pct"/>
            <w:shd w:val="clear" w:color="auto" w:fill="FFFFFF"/>
            <w:vAlign w:val="center"/>
          </w:tcPr>
          <w:p>
            <w:pPr>
              <w:widowControl/>
              <w:adjustRightInd w:val="0"/>
              <w:snapToGrid w:val="0"/>
              <w:jc w:val="center"/>
              <w:textAlignment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73万元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2" w:type="pct"/>
            <w:shd w:val="clear" w:color="auto" w:fill="FFFFFF"/>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6600" w:type="dxa"/>
            <w:shd w:val="clear" w:color="auto" w:fill="FFFFFF"/>
            <w:vAlign w:val="center"/>
          </w:tcPr>
          <w:p>
            <w:pPr>
              <w:pStyle w:val="18"/>
              <w:snapToGrid w:val="0"/>
              <w:spacing w:line="240" w:lineRule="auto"/>
              <w:rPr>
                <w:sz w:val="18"/>
                <w:szCs w:val="18"/>
                <w:lang w:val="en-US"/>
              </w:rPr>
            </w:pPr>
            <w:r>
              <w:rPr>
                <w:rFonts w:hint="eastAsia"/>
                <w:sz w:val="18"/>
                <w:szCs w:val="18"/>
                <w:lang w:val="en-US"/>
              </w:rPr>
              <w:t>食品生产环节监督抽检（四）</w:t>
            </w:r>
          </w:p>
        </w:tc>
        <w:tc>
          <w:tcPr>
            <w:tcW w:w="957" w:type="pct"/>
            <w:shd w:val="clear" w:color="auto" w:fill="FFFFFF"/>
            <w:vAlign w:val="center"/>
          </w:tcPr>
          <w:p>
            <w:pPr>
              <w:widowControl/>
              <w:adjustRightInd w:val="0"/>
              <w:snapToGrid w:val="0"/>
              <w:jc w:val="center"/>
              <w:textAlignment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72万元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2" w:type="pct"/>
            <w:shd w:val="clear" w:color="auto" w:fill="FFFFFF"/>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6600" w:type="dxa"/>
            <w:shd w:val="clear" w:color="auto" w:fill="FFFFFF"/>
            <w:vAlign w:val="center"/>
          </w:tcPr>
          <w:p>
            <w:pPr>
              <w:pStyle w:val="18"/>
              <w:snapToGrid w:val="0"/>
              <w:spacing w:line="240" w:lineRule="auto"/>
              <w:rPr>
                <w:sz w:val="18"/>
                <w:szCs w:val="18"/>
                <w:lang w:val="en-US"/>
              </w:rPr>
            </w:pPr>
            <w:r>
              <w:rPr>
                <w:rFonts w:hint="eastAsia"/>
                <w:sz w:val="18"/>
                <w:szCs w:val="18"/>
                <w:lang w:val="en-US"/>
              </w:rPr>
              <w:t>食品生产环节监督抽检（五）</w:t>
            </w:r>
          </w:p>
        </w:tc>
        <w:tc>
          <w:tcPr>
            <w:tcW w:w="957" w:type="pct"/>
            <w:shd w:val="clear" w:color="auto" w:fill="FFFFFF"/>
            <w:vAlign w:val="center"/>
          </w:tcPr>
          <w:p>
            <w:pPr>
              <w:widowControl/>
              <w:adjustRightInd w:val="0"/>
              <w:snapToGrid w:val="0"/>
              <w:jc w:val="center"/>
              <w:textAlignment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72万元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2" w:type="pct"/>
            <w:shd w:val="clear" w:color="auto" w:fill="FFFFFF"/>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3649" w:type="pct"/>
            <w:shd w:val="clear" w:color="auto" w:fill="FFFFFF"/>
            <w:vAlign w:val="center"/>
          </w:tcPr>
          <w:p>
            <w:pPr>
              <w:pStyle w:val="18"/>
              <w:snapToGrid w:val="0"/>
              <w:spacing w:line="240" w:lineRule="auto"/>
              <w:rPr>
                <w:sz w:val="18"/>
                <w:szCs w:val="18"/>
                <w:lang w:val="en-US"/>
              </w:rPr>
            </w:pPr>
            <w:r>
              <w:rPr>
                <w:rFonts w:hint="eastAsia"/>
                <w:sz w:val="18"/>
                <w:szCs w:val="18"/>
                <w:lang w:val="en-US"/>
              </w:rPr>
              <w:t>食品生产环节监督抽检（六）</w:t>
            </w:r>
          </w:p>
        </w:tc>
        <w:tc>
          <w:tcPr>
            <w:tcW w:w="957" w:type="pct"/>
            <w:shd w:val="clear" w:color="auto" w:fill="FFFFFF"/>
            <w:vAlign w:val="center"/>
          </w:tcPr>
          <w:p>
            <w:pPr>
              <w:widowControl/>
              <w:adjustRightInd w:val="0"/>
              <w:snapToGrid w:val="0"/>
              <w:jc w:val="center"/>
              <w:textAlignment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73万元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2" w:type="pct"/>
            <w:shd w:val="clear" w:color="auto" w:fill="FFFFFF"/>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3649" w:type="pct"/>
            <w:shd w:val="clear" w:color="auto" w:fill="FFFFFF"/>
            <w:vAlign w:val="center"/>
          </w:tcPr>
          <w:p>
            <w:pPr>
              <w:pStyle w:val="18"/>
              <w:snapToGrid w:val="0"/>
              <w:spacing w:line="240" w:lineRule="auto"/>
              <w:rPr>
                <w:sz w:val="18"/>
                <w:szCs w:val="18"/>
                <w:lang w:val="en-US"/>
              </w:rPr>
            </w:pPr>
            <w:r>
              <w:rPr>
                <w:rFonts w:hint="eastAsia"/>
                <w:sz w:val="18"/>
                <w:szCs w:val="18"/>
                <w:lang w:val="en-US"/>
              </w:rPr>
              <w:t>食品生产环节监督抽检（七）</w:t>
            </w:r>
          </w:p>
        </w:tc>
        <w:tc>
          <w:tcPr>
            <w:tcW w:w="957" w:type="pct"/>
            <w:shd w:val="clear" w:color="auto" w:fill="FFFFFF"/>
            <w:vAlign w:val="center"/>
          </w:tcPr>
          <w:p>
            <w:pPr>
              <w:widowControl/>
              <w:adjustRightInd w:val="0"/>
              <w:snapToGrid w:val="0"/>
              <w:jc w:val="center"/>
              <w:textAlignment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73万元</w:t>
            </w:r>
          </w:p>
        </w:tc>
      </w:tr>
    </w:tbl>
    <w:p>
      <w:pPr>
        <w:pStyle w:val="61"/>
        <w:adjustRightInd w:val="0"/>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详见招标文件第三部分“项目技术规范和服务要求”。</w:t>
      </w:r>
    </w:p>
    <w:p>
      <w:pPr>
        <w:snapToGrid w:val="0"/>
        <w:spacing w:line="360" w:lineRule="auto"/>
        <w:ind w:firstLine="482" w:firstLineChars="200"/>
        <w:rPr>
          <w:rFonts w:ascii="宋体" w:hAnsi="宋体" w:cs="宋体"/>
          <w:sz w:val="24"/>
          <w:szCs w:val="24"/>
          <w:u w:val="single"/>
        </w:rPr>
      </w:pPr>
      <w:r>
        <w:rPr>
          <w:rFonts w:hint="eastAsia" w:ascii="宋体" w:hAnsi="宋体" w:cs="宋体"/>
          <w:b/>
          <w:bCs/>
          <w:sz w:val="24"/>
          <w:szCs w:val="24"/>
        </w:rPr>
        <w:t>合同履行期限：</w:t>
      </w:r>
      <w:r>
        <w:rPr>
          <w:rFonts w:hint="eastAsia" w:ascii="宋体" w:hAnsi="宋体" w:cs="宋体"/>
          <w:sz w:val="24"/>
          <w:szCs w:val="24"/>
        </w:rPr>
        <w:t>至2021年6月30日</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本项目不接受联合体投标。</w:t>
      </w:r>
    </w:p>
    <w:p>
      <w:pPr>
        <w:pStyle w:val="4"/>
        <w:snapToGrid w:val="0"/>
        <w:rPr>
          <w:rFonts w:ascii="宋体" w:hAnsi="宋体" w:eastAsia="宋体" w:cs="宋体"/>
          <w:bCs/>
          <w:szCs w:val="24"/>
        </w:rPr>
      </w:pPr>
      <w:bookmarkStart w:id="8" w:name="_Toc28359080"/>
      <w:bookmarkStart w:id="9" w:name="_Toc28359003"/>
      <w:bookmarkStart w:id="10" w:name="_Toc35393622"/>
      <w:bookmarkStart w:id="11" w:name="_Toc35393791"/>
      <w:r>
        <w:rPr>
          <w:rFonts w:hint="eastAsia" w:ascii="宋体" w:hAnsi="宋体" w:eastAsia="宋体" w:cs="宋体"/>
          <w:bCs/>
          <w:szCs w:val="24"/>
        </w:rPr>
        <w:t>二、申请人的资格要求：</w:t>
      </w:r>
      <w:bookmarkEnd w:id="8"/>
      <w:bookmarkEnd w:id="9"/>
      <w:bookmarkEnd w:id="10"/>
      <w:bookmarkEnd w:id="11"/>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w:t>
      </w:r>
    </w:p>
    <w:p>
      <w:pPr>
        <w:snapToGrid w:val="0"/>
        <w:spacing w:line="360" w:lineRule="auto"/>
        <w:ind w:firstLine="480" w:firstLineChars="200"/>
        <w:rPr>
          <w:rFonts w:ascii="宋体" w:hAnsi="宋体" w:cs="宋体"/>
          <w:sz w:val="24"/>
          <w:szCs w:val="24"/>
        </w:rPr>
      </w:pPr>
      <w:bookmarkStart w:id="12" w:name="_Toc28359004"/>
      <w:bookmarkStart w:id="13" w:name="_Toc28359081"/>
      <w:r>
        <w:rPr>
          <w:rFonts w:hint="eastAsia" w:ascii="宋体" w:hAnsi="宋体" w:cs="宋体"/>
          <w:sz w:val="24"/>
          <w:szCs w:val="24"/>
        </w:rPr>
        <w:t>2.落实政府采购政策需满足的资格要求：</w:t>
      </w:r>
      <w:r>
        <w:rPr>
          <w:rFonts w:hint="eastAsia" w:ascii="宋体" w:hAnsi="宋体" w:cs="宋体"/>
          <w:sz w:val="24"/>
          <w:szCs w:val="24"/>
          <w:u w:val="single"/>
        </w:rPr>
        <w:t>无</w:t>
      </w:r>
    </w:p>
    <w:p>
      <w:pPr>
        <w:snapToGrid w:val="0"/>
        <w:spacing w:line="360" w:lineRule="auto"/>
        <w:ind w:firstLine="480" w:firstLineChars="200"/>
        <w:rPr>
          <w:rFonts w:ascii="宋体" w:hAnsi="宋体" w:cs="宋体"/>
          <w:i/>
          <w:iCs/>
          <w:sz w:val="24"/>
          <w:szCs w:val="24"/>
          <w:u w:val="single"/>
        </w:rPr>
      </w:pPr>
      <w:r>
        <w:rPr>
          <w:rFonts w:hint="eastAsia" w:ascii="宋体" w:hAnsi="宋体" w:cs="宋体"/>
          <w:sz w:val="24"/>
          <w:szCs w:val="24"/>
        </w:rPr>
        <w:t>3.本项目的特定资格要求：</w:t>
      </w:r>
      <w:r>
        <w:rPr>
          <w:rFonts w:hint="eastAsia" w:asciiTheme="minorEastAsia" w:hAnsiTheme="minorEastAsia" w:eastAsiaTheme="minorEastAsia"/>
          <w:sz w:val="24"/>
          <w:szCs w:val="24"/>
          <w:u w:val="single"/>
        </w:rPr>
        <w:t>符合《浙江省检验机构管理条例》第八条规定：检验机构从事检验服务活动，应当经国家认证认可监督管理部门或者省质量技术监督部门计量认证合格；未经计量认证合格，不得从事检验服务活动</w:t>
      </w:r>
    </w:p>
    <w:p>
      <w:pPr>
        <w:pStyle w:val="4"/>
        <w:snapToGrid w:val="0"/>
        <w:rPr>
          <w:rFonts w:ascii="宋体" w:hAnsi="宋体" w:eastAsia="宋体" w:cs="宋体"/>
          <w:bCs/>
          <w:szCs w:val="24"/>
        </w:rPr>
      </w:pPr>
      <w:bookmarkStart w:id="14" w:name="_Toc35393623"/>
      <w:bookmarkStart w:id="15" w:name="_Toc35393792"/>
      <w:r>
        <w:rPr>
          <w:rFonts w:hint="eastAsia" w:ascii="宋体" w:hAnsi="宋体" w:eastAsia="宋体" w:cs="宋体"/>
          <w:bCs/>
          <w:szCs w:val="24"/>
        </w:rPr>
        <w:t>三、获取招标文件</w:t>
      </w:r>
      <w:bookmarkEnd w:id="12"/>
      <w:bookmarkEnd w:id="13"/>
      <w:bookmarkEnd w:id="14"/>
      <w:bookmarkEnd w:id="15"/>
    </w:p>
    <w:p>
      <w:pPr>
        <w:snapToGrid w:val="0"/>
        <w:spacing w:line="360" w:lineRule="auto"/>
        <w:ind w:firstLine="540"/>
        <w:rPr>
          <w:rFonts w:ascii="宋体" w:hAnsi="宋体" w:cs="宋体"/>
          <w:sz w:val="24"/>
          <w:szCs w:val="24"/>
        </w:rPr>
      </w:pPr>
      <w:r>
        <w:rPr>
          <w:rFonts w:hint="eastAsia" w:ascii="宋体" w:hAnsi="宋体" w:cs="宋体"/>
          <w:b/>
          <w:bCs/>
          <w:sz w:val="24"/>
          <w:szCs w:val="24"/>
        </w:rPr>
        <w:t>时间：</w:t>
      </w:r>
      <w:r>
        <w:rPr>
          <w:rFonts w:hint="eastAsia" w:ascii="宋体" w:hAnsi="宋体" w:cs="宋体"/>
          <w:sz w:val="24"/>
          <w:szCs w:val="24"/>
          <w:u w:val="single"/>
        </w:rPr>
        <w:t>公告发布之日</w:t>
      </w:r>
      <w:r>
        <w:rPr>
          <w:rFonts w:hint="eastAsia" w:ascii="宋体" w:hAnsi="宋体" w:cs="宋体"/>
          <w:sz w:val="24"/>
          <w:szCs w:val="24"/>
        </w:rPr>
        <w:t>至</w:t>
      </w:r>
      <w:r>
        <w:rPr>
          <w:rFonts w:hint="eastAsia" w:ascii="宋体" w:hAnsi="宋体" w:cs="宋体"/>
          <w:sz w:val="24"/>
          <w:szCs w:val="24"/>
          <w:u w:val="single"/>
        </w:rPr>
        <w:t>投标截止时间</w:t>
      </w:r>
      <w:r>
        <w:rPr>
          <w:rFonts w:hint="eastAsia" w:ascii="宋体" w:hAnsi="宋体" w:cs="宋体"/>
          <w:sz w:val="24"/>
          <w:szCs w:val="24"/>
        </w:rPr>
        <w:t>（北京时间，法定节假日除外）</w:t>
      </w:r>
    </w:p>
    <w:p>
      <w:pPr>
        <w:snapToGrid w:val="0"/>
        <w:spacing w:line="360" w:lineRule="auto"/>
        <w:ind w:firstLine="540"/>
        <w:rPr>
          <w:rFonts w:ascii="宋体" w:hAnsi="宋体" w:cs="宋体"/>
          <w:sz w:val="24"/>
          <w:szCs w:val="24"/>
          <w:u w:val="single"/>
        </w:rPr>
      </w:pPr>
      <w:r>
        <w:rPr>
          <w:rFonts w:hint="eastAsia" w:ascii="宋体" w:hAnsi="宋体" w:cs="宋体"/>
          <w:b/>
          <w:bCs/>
          <w:sz w:val="24"/>
          <w:szCs w:val="24"/>
        </w:rPr>
        <w:t>地点：</w:t>
      </w:r>
      <w:r>
        <w:rPr>
          <w:rFonts w:hint="eastAsia" w:ascii="宋体" w:hAnsi="宋体" w:cs="宋体"/>
          <w:sz w:val="24"/>
          <w:szCs w:val="24"/>
        </w:rPr>
        <w:t>浙江政府采购网（http://zfcg.czt.zj.gov.cn）</w:t>
      </w:r>
    </w:p>
    <w:p>
      <w:pPr>
        <w:snapToGrid w:val="0"/>
        <w:spacing w:line="360" w:lineRule="auto"/>
        <w:ind w:firstLine="540"/>
        <w:rPr>
          <w:rFonts w:ascii="宋体" w:hAnsi="宋体" w:cs="宋体"/>
          <w:sz w:val="24"/>
          <w:szCs w:val="24"/>
          <w:u w:val="single"/>
        </w:rPr>
      </w:pPr>
      <w:r>
        <w:rPr>
          <w:rFonts w:hint="eastAsia" w:ascii="宋体" w:hAnsi="宋体" w:cs="宋体"/>
          <w:b/>
          <w:bCs/>
          <w:sz w:val="24"/>
          <w:szCs w:val="24"/>
        </w:rPr>
        <w:t>方式：</w:t>
      </w:r>
      <w:r>
        <w:rPr>
          <w:rFonts w:hint="eastAsia" w:ascii="宋体" w:hAnsi="宋体" w:cs="宋体"/>
          <w:sz w:val="24"/>
          <w:szCs w:val="24"/>
        </w:rPr>
        <w:t>本项目实行网上报名，不接受现场报名。供应商登录浙江政府采购网进行报名。《供应商网上报名操作指南》位置：“首页-办事指南-投标报价-网上报名”（http://zfcg.czt.zj.gov.cn/quote/2017-05-25/6708.html）或点击本公告下方：“潜在供应商-获取采购文件”</w:t>
      </w:r>
    </w:p>
    <w:p>
      <w:pPr>
        <w:snapToGrid w:val="0"/>
        <w:spacing w:line="360" w:lineRule="auto"/>
        <w:ind w:firstLine="540"/>
        <w:rPr>
          <w:rFonts w:ascii="宋体" w:hAnsi="宋体" w:cs="宋体"/>
          <w:b/>
          <w:bCs/>
          <w:sz w:val="24"/>
          <w:szCs w:val="24"/>
        </w:rPr>
      </w:pPr>
      <w:r>
        <w:rPr>
          <w:rFonts w:hint="eastAsia" w:ascii="宋体" w:hAnsi="宋体" w:cs="宋体"/>
          <w:b/>
          <w:bCs/>
          <w:sz w:val="24"/>
          <w:szCs w:val="24"/>
        </w:rPr>
        <w:t>售价：</w:t>
      </w:r>
      <w:r>
        <w:rPr>
          <w:rFonts w:hint="eastAsia" w:ascii="宋体" w:hAnsi="宋体" w:cs="宋体"/>
          <w:sz w:val="24"/>
          <w:szCs w:val="24"/>
        </w:rPr>
        <w:t>免费</w:t>
      </w:r>
    </w:p>
    <w:p>
      <w:pPr>
        <w:pStyle w:val="4"/>
        <w:snapToGrid w:val="0"/>
        <w:rPr>
          <w:rFonts w:ascii="宋体" w:hAnsi="宋体" w:eastAsia="宋体" w:cs="宋体"/>
          <w:bCs/>
          <w:szCs w:val="24"/>
        </w:rPr>
      </w:pPr>
      <w:bookmarkStart w:id="16" w:name="_Toc28359082"/>
      <w:bookmarkStart w:id="17" w:name="_Toc28359005"/>
      <w:bookmarkStart w:id="18" w:name="_Toc35393624"/>
      <w:bookmarkStart w:id="19" w:name="_Toc35393793"/>
      <w:r>
        <w:rPr>
          <w:rFonts w:hint="eastAsia" w:ascii="宋体" w:hAnsi="宋体" w:eastAsia="宋体" w:cs="宋体"/>
          <w:bCs/>
          <w:szCs w:val="24"/>
        </w:rPr>
        <w:t>四、提交投标文件</w:t>
      </w:r>
      <w:bookmarkEnd w:id="16"/>
      <w:bookmarkEnd w:id="17"/>
      <w:r>
        <w:rPr>
          <w:rFonts w:hint="eastAsia" w:ascii="宋体" w:hAnsi="宋体" w:eastAsia="宋体" w:cs="宋体"/>
          <w:bCs/>
          <w:szCs w:val="24"/>
        </w:rPr>
        <w:t>截止时间、开标时间和地点</w:t>
      </w:r>
      <w:bookmarkEnd w:id="18"/>
      <w:bookmarkEnd w:id="19"/>
    </w:p>
    <w:p>
      <w:pPr>
        <w:snapToGrid w:val="0"/>
        <w:spacing w:line="360" w:lineRule="auto"/>
        <w:ind w:firstLine="480" w:firstLineChars="200"/>
        <w:rPr>
          <w:rFonts w:ascii="宋体" w:hAnsi="宋体" w:cs="宋体"/>
          <w:bCs/>
          <w:sz w:val="24"/>
          <w:szCs w:val="24"/>
          <w:u w:val="single"/>
        </w:rPr>
      </w:pPr>
      <w:r>
        <w:rPr>
          <w:rFonts w:hint="eastAsia" w:ascii="宋体" w:hAnsi="宋体" w:cs="宋体"/>
          <w:sz w:val="24"/>
          <w:szCs w:val="24"/>
          <w:u w:val="single"/>
        </w:rPr>
        <w:t>2021</w:t>
      </w:r>
      <w:r>
        <w:rPr>
          <w:rFonts w:hint="eastAsia" w:ascii="宋体" w:hAnsi="宋体" w:cs="宋体"/>
          <w:bCs/>
          <w:sz w:val="24"/>
          <w:szCs w:val="24"/>
          <w:u w:val="single"/>
        </w:rPr>
        <w:t>年</w:t>
      </w:r>
      <w:r>
        <w:rPr>
          <w:rFonts w:hint="eastAsia" w:ascii="宋体" w:hAnsi="宋体" w:cs="宋体"/>
          <w:bCs/>
          <w:sz w:val="24"/>
          <w:szCs w:val="24"/>
          <w:u w:val="single"/>
          <w:lang w:val="en-US" w:eastAsia="zh-CN"/>
        </w:rPr>
        <w:t>2</w:t>
      </w:r>
      <w:r>
        <w:rPr>
          <w:rFonts w:hint="eastAsia" w:ascii="宋体" w:hAnsi="宋体" w:cs="宋体"/>
          <w:bCs/>
          <w:sz w:val="24"/>
          <w:szCs w:val="24"/>
          <w:u w:val="single"/>
        </w:rPr>
        <w:t>月</w:t>
      </w:r>
      <w:r>
        <w:rPr>
          <w:rFonts w:hint="eastAsia" w:ascii="宋体" w:hAnsi="宋体" w:cs="宋体"/>
          <w:bCs/>
          <w:sz w:val="24"/>
          <w:szCs w:val="24"/>
          <w:u w:val="single"/>
          <w:lang w:val="en-US" w:eastAsia="zh-CN"/>
        </w:rPr>
        <w:t>1</w:t>
      </w:r>
      <w:r>
        <w:rPr>
          <w:rFonts w:hint="eastAsia" w:ascii="宋体" w:hAnsi="宋体" w:cs="宋体"/>
          <w:bCs/>
          <w:sz w:val="24"/>
          <w:szCs w:val="24"/>
          <w:u w:val="single"/>
        </w:rPr>
        <w:t>日10点00分</w:t>
      </w:r>
      <w:r>
        <w:rPr>
          <w:rFonts w:hint="eastAsia" w:ascii="宋体" w:hAnsi="宋体" w:cs="宋体"/>
          <w:bCs/>
          <w:sz w:val="24"/>
          <w:szCs w:val="24"/>
        </w:rPr>
        <w:t>（北京时间）</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地点：供应商应当在提交投标文件截止时间前完成电子投标文件的传输递交，提交投标文件截止时间后传输递交的投标文件，将被拒收。</w:t>
      </w:r>
    </w:p>
    <w:p>
      <w:pPr>
        <w:snapToGrid w:val="0"/>
        <w:spacing w:line="360" w:lineRule="auto"/>
        <w:ind w:firstLine="480" w:firstLineChars="200"/>
        <w:rPr>
          <w:rFonts w:ascii="宋体" w:hAnsi="宋体" w:cs="宋体"/>
          <w:bCs/>
          <w:sz w:val="24"/>
          <w:szCs w:val="24"/>
          <w:u w:val="single"/>
        </w:rPr>
      </w:pPr>
      <w:r>
        <w:rPr>
          <w:rFonts w:hint="eastAsia" w:ascii="宋体" w:hAnsi="宋体" w:cs="宋体"/>
          <w:sz w:val="24"/>
          <w:szCs w:val="24"/>
        </w:rPr>
        <w:t>供应商应当在提交投标文件截止时间前将以介质存储的数据电文形式的备份投标文件密封送交到杭州市下城区环城北路141号永通信息广场西10楼1002室，收件人：刘宋斌、联系电话：0571-88821402，逾期送达或未密封将被拒收。</w:t>
      </w:r>
    </w:p>
    <w:p>
      <w:pPr>
        <w:pStyle w:val="4"/>
        <w:snapToGrid w:val="0"/>
        <w:rPr>
          <w:rFonts w:ascii="宋体" w:hAnsi="宋体" w:eastAsia="宋体" w:cs="宋体"/>
          <w:bCs/>
          <w:szCs w:val="24"/>
        </w:rPr>
      </w:pPr>
      <w:bookmarkStart w:id="20" w:name="_Toc28359007"/>
      <w:bookmarkStart w:id="21" w:name="_Toc35393794"/>
      <w:bookmarkStart w:id="22" w:name="_Toc28359084"/>
      <w:bookmarkStart w:id="23" w:name="_Toc35393625"/>
      <w:r>
        <w:rPr>
          <w:rFonts w:hint="eastAsia" w:ascii="宋体" w:hAnsi="宋体" w:eastAsia="宋体" w:cs="宋体"/>
          <w:bCs/>
          <w:szCs w:val="24"/>
        </w:rPr>
        <w:t>五、公告期限</w:t>
      </w:r>
      <w:bookmarkEnd w:id="20"/>
      <w:bookmarkEnd w:id="21"/>
      <w:bookmarkEnd w:id="22"/>
      <w:bookmarkEnd w:id="23"/>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pStyle w:val="4"/>
        <w:snapToGrid w:val="0"/>
        <w:rPr>
          <w:rFonts w:ascii="宋体" w:hAnsi="宋体" w:eastAsia="宋体" w:cs="宋体"/>
          <w:bCs/>
          <w:szCs w:val="24"/>
        </w:rPr>
      </w:pPr>
      <w:bookmarkStart w:id="24" w:name="_Toc35393795"/>
      <w:bookmarkStart w:id="25" w:name="_Toc35393626"/>
      <w:r>
        <w:rPr>
          <w:rFonts w:hint="eastAsia" w:ascii="宋体" w:hAnsi="宋体" w:eastAsia="宋体" w:cs="宋体"/>
          <w:bCs/>
          <w:szCs w:val="24"/>
        </w:rPr>
        <w:t>六、其他补充事宜</w:t>
      </w:r>
      <w:bookmarkEnd w:id="24"/>
      <w:bookmarkEnd w:id="25"/>
    </w:p>
    <w:p>
      <w:pPr>
        <w:widowControl/>
        <w:adjustRightInd w:val="0"/>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widowControl/>
        <w:adjustRightInd w:val="0"/>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2、投标人应在开标前完成CA数字证书办理。（办理流程详见http://zfcg.czt.zj.gov.cn/bidClientTemplate/2019-05-27/12945.html）。</w:t>
      </w:r>
    </w:p>
    <w:p>
      <w:pPr>
        <w:widowControl/>
        <w:adjustRightInd w:val="0"/>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投标人通过政采云平台电子投标工具制作投标文件，电子投标工具请供应商自行前往浙江政府采购网下载并安装，（下载网址：http://zfcg.czt.zj.gov.cn/bidClientTemplate/2019-09-24/12975.html），电子投标具体流程详见政采云服务中心-帮助文档-项目采购委托采购-操作流程（https://service.zcygov.cn/#/knowledges/9W1BtGwBFdiHxlNduoxZ/KeoB1G0BkjoVoiMybA8V）。</w:t>
      </w:r>
    </w:p>
    <w:p>
      <w:pPr>
        <w:widowControl/>
        <w:adjustRightInd w:val="0"/>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4、采购文件获取截止时间之后潜在供应商仍然可以获取采购文件，但该供应商如对采购文件有疑问应按采购文件规定的时间前提出，逾期提出的，采购组织机构可以不予受理、答复。</w:t>
      </w:r>
    </w:p>
    <w:p>
      <w:pPr>
        <w:widowControl/>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cs="Arial" w:asciiTheme="minorEastAsia" w:hAnsiTheme="minorEastAsia" w:eastAsiaTheme="minorEastAsia"/>
          <w:sz w:val="24"/>
          <w:szCs w:val="24"/>
        </w:rPr>
        <w:t>5、</w:t>
      </w:r>
      <w:r>
        <w:rPr>
          <w:rFonts w:hint="eastAsia" w:asciiTheme="minorEastAsia" w:hAnsiTheme="minorEastAsia" w:eastAsiaTheme="minorEastAsia"/>
          <w:sz w:val="24"/>
          <w:szCs w:val="24"/>
        </w:rPr>
        <w:t>供应商认为采购文件、采购过程和中标、成交结果使自己的权益受到损害的，可以在知道或者应知其权益受到损害之日起七个工作日内以书面形式向采购人、采购代理机构提出质疑。</w:t>
      </w:r>
    </w:p>
    <w:p>
      <w:pPr>
        <w:widowControl/>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（1）对可以质疑的采购文件提出质疑的，为收到采购文件之日或者采购文件公告期限届满之日；</w:t>
      </w:r>
    </w:p>
    <w:p>
      <w:pPr>
        <w:widowControl/>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（2）对采购过程提出质疑的，为各采购程序环节结束之日；</w:t>
      </w:r>
    </w:p>
    <w:p>
      <w:pPr>
        <w:widowControl/>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（3）对中标或者成交结果提出质疑的，为中标或者成交结果公告期限届满之日。</w:t>
      </w:r>
    </w:p>
    <w:p>
      <w:pPr>
        <w:widowControl/>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采购人、采购代理机构应当在3个工作日内对供应上依法提出询问作出答复。</w:t>
      </w:r>
    </w:p>
    <w:p>
      <w:pPr>
        <w:widowControl/>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供应商提出的询问或者质疑超出采购人对采购代理机构委托代理范围的，采购代理机构应当告知供应商向采购人提出。</w:t>
      </w:r>
    </w:p>
    <w:p>
      <w:pPr>
        <w:widowControl/>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政府采购评审专家应当配合采购人或采购代理机构答复供应商询问和质疑。</w:t>
      </w:r>
    </w:p>
    <w:p>
      <w:pPr>
        <w:widowControl/>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供应商对采购机构的质疑答复不满意或者采购机构未在规定时间内作出答复的，可以在答复期满后十五个工作日内向同级政府采购监督管理部门投诉。</w:t>
      </w:r>
    </w:p>
    <w:p>
      <w:pPr>
        <w:widowControl/>
        <w:adjustRightInd w:val="0"/>
        <w:snapToGrid w:val="0"/>
        <w:spacing w:line="360" w:lineRule="auto"/>
        <w:ind w:firstLine="480" w:firstLineChars="200"/>
        <w:jc w:val="left"/>
        <w:rPr>
          <w:rFonts w:cs="楷体" w:asciiTheme="minorEastAsia" w:hAnsiTheme="minorEastAsia" w:eastAsiaTheme="minorEastAsia"/>
          <w:snapToGrid w:val="0"/>
          <w:kern w:val="0"/>
          <w:sz w:val="24"/>
          <w:szCs w:val="24"/>
        </w:rPr>
      </w:pPr>
      <w:r>
        <w:rPr>
          <w:rFonts w:hint="eastAsia" w:cs="仿宋_GB2312" w:asciiTheme="minorEastAsia" w:hAnsiTheme="minorEastAsia" w:eastAsiaTheme="minorEastAsia"/>
          <w:sz w:val="24"/>
          <w:szCs w:val="24"/>
        </w:rPr>
        <w:t>6、质疑受理地点：</w:t>
      </w:r>
      <w:r>
        <w:rPr>
          <w:rFonts w:hint="eastAsia" w:cs="楷体" w:asciiTheme="minorEastAsia" w:hAnsiTheme="minorEastAsia" w:eastAsiaTheme="minorEastAsia"/>
          <w:b/>
          <w:snapToGrid w:val="0"/>
          <w:kern w:val="0"/>
          <w:sz w:val="24"/>
          <w:szCs w:val="24"/>
        </w:rPr>
        <w:t xml:space="preserve">浙江中诺招标代理有限公司 </w:t>
      </w:r>
      <w:r>
        <w:rPr>
          <w:rFonts w:hint="eastAsia" w:cs="楷体" w:asciiTheme="minorEastAsia" w:hAnsiTheme="minorEastAsia" w:eastAsiaTheme="minorEastAsia"/>
          <w:snapToGrid w:val="0"/>
          <w:kern w:val="0"/>
          <w:sz w:val="24"/>
          <w:szCs w:val="24"/>
        </w:rPr>
        <w:t>地址：杭州市下城区环城北路141号永通信息广场西写字楼10楼 韦妍睿 电话：0571-88821402-802</w:t>
      </w:r>
    </w:p>
    <w:p>
      <w:pPr>
        <w:widowControl/>
        <w:adjustRightInd w:val="0"/>
        <w:snapToGrid w:val="0"/>
        <w:spacing w:line="360" w:lineRule="auto"/>
        <w:ind w:firstLine="480" w:firstLineChars="200"/>
        <w:jc w:val="left"/>
        <w:rPr>
          <w:rFonts w:cs="楷体" w:asciiTheme="minorEastAsia" w:hAnsiTheme="minorEastAsia" w:eastAsiaTheme="minorEastAsia"/>
          <w:snapToGrid w:val="0"/>
          <w:kern w:val="0"/>
          <w:sz w:val="24"/>
          <w:szCs w:val="24"/>
        </w:rPr>
      </w:pPr>
      <w:r>
        <w:rPr>
          <w:rFonts w:hint="eastAsia" w:cs="楷体" w:asciiTheme="minorEastAsia" w:hAnsiTheme="minorEastAsia" w:eastAsiaTheme="minorEastAsia"/>
          <w:snapToGrid w:val="0"/>
          <w:kern w:val="0"/>
          <w:sz w:val="24"/>
          <w:szCs w:val="24"/>
        </w:rPr>
        <w:t>7、本项目落实的政府采购政策：（1）政府采购促进中小企业发展、（2）政府采购支持监狱企业发展、（3）促进残疾人就业政府采购政策</w:t>
      </w:r>
    </w:p>
    <w:p>
      <w:pPr>
        <w:pStyle w:val="4"/>
        <w:snapToGrid w:val="0"/>
        <w:rPr>
          <w:rFonts w:ascii="宋体" w:hAnsi="宋体" w:eastAsia="宋体" w:cs="宋体"/>
          <w:bCs/>
          <w:szCs w:val="24"/>
        </w:rPr>
      </w:pPr>
      <w:bookmarkStart w:id="26" w:name="_Toc28359008"/>
      <w:bookmarkStart w:id="27" w:name="_Toc35393627"/>
      <w:bookmarkStart w:id="28" w:name="_Toc28359085"/>
      <w:bookmarkStart w:id="29" w:name="_Toc35393796"/>
      <w:r>
        <w:rPr>
          <w:rFonts w:hint="eastAsia" w:ascii="宋体" w:hAnsi="宋体" w:eastAsia="宋体" w:cs="宋体"/>
          <w:bCs/>
          <w:szCs w:val="24"/>
        </w:rPr>
        <w:t>七、对本次招标提出询问，请按以下方式联系。</w:t>
      </w:r>
      <w:bookmarkEnd w:id="26"/>
      <w:bookmarkEnd w:id="27"/>
      <w:bookmarkEnd w:id="28"/>
      <w:bookmarkEnd w:id="29"/>
    </w:p>
    <w:p>
      <w:pPr>
        <w:tabs>
          <w:tab w:val="left" w:pos="7627"/>
        </w:tabs>
        <w:autoSpaceDE w:val="0"/>
        <w:autoSpaceDN w:val="0"/>
        <w:snapToGrid w:val="0"/>
        <w:spacing w:line="360" w:lineRule="auto"/>
        <w:ind w:firstLine="482" w:firstLineChars="200"/>
        <w:jc w:val="left"/>
        <w:textAlignment w:val="bottom"/>
        <w:rPr>
          <w:rFonts w:asciiTheme="minorEastAsia" w:hAnsiTheme="minorEastAsia" w:eastAsiaTheme="minorEastAsia"/>
          <w:sz w:val="24"/>
          <w:szCs w:val="24"/>
        </w:rPr>
      </w:pPr>
      <w:r>
        <w:rPr>
          <w:rFonts w:hint="eastAsia" w:cs="楷体" w:asciiTheme="minorEastAsia" w:hAnsiTheme="minorEastAsia" w:eastAsiaTheme="minorEastAsia"/>
          <w:b/>
          <w:snapToGrid w:val="0"/>
          <w:kern w:val="0"/>
          <w:sz w:val="24"/>
          <w:szCs w:val="24"/>
        </w:rPr>
        <w:t>1、采购单位：</w:t>
      </w:r>
      <w:r>
        <w:rPr>
          <w:rFonts w:hint="eastAsia" w:asciiTheme="minorEastAsia" w:hAnsiTheme="minorEastAsia" w:eastAsiaTheme="minorEastAsia"/>
          <w:b/>
          <w:bCs/>
          <w:sz w:val="24"/>
          <w:szCs w:val="24"/>
        </w:rPr>
        <w:t>杭州市市场监督管理局</w:t>
      </w:r>
    </w:p>
    <w:p>
      <w:pPr>
        <w:tabs>
          <w:tab w:val="left" w:pos="7627"/>
        </w:tabs>
        <w:autoSpaceDE w:val="0"/>
        <w:autoSpaceDN w:val="0"/>
        <w:snapToGrid w:val="0"/>
        <w:spacing w:line="360" w:lineRule="auto"/>
        <w:ind w:firstLine="480" w:firstLineChars="200"/>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地址：凤起东路109号</w:t>
      </w:r>
    </w:p>
    <w:p>
      <w:pPr>
        <w:tabs>
          <w:tab w:val="left" w:pos="7627"/>
        </w:tabs>
        <w:autoSpaceDE w:val="0"/>
        <w:autoSpaceDN w:val="0"/>
        <w:snapToGrid w:val="0"/>
        <w:spacing w:line="360" w:lineRule="auto"/>
        <w:ind w:firstLine="480" w:firstLineChars="200"/>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r>
        <w:rPr>
          <w:rFonts w:hint="eastAsia" w:ascii="宋体" w:hAnsi="宋体" w:cs="宋体"/>
          <w:sz w:val="24"/>
          <w:szCs w:val="24"/>
        </w:rPr>
        <w:t>魏力</w:t>
      </w:r>
    </w:p>
    <w:p>
      <w:pPr>
        <w:tabs>
          <w:tab w:val="left" w:pos="7627"/>
        </w:tabs>
        <w:autoSpaceDE w:val="0"/>
        <w:autoSpaceDN w:val="0"/>
        <w:snapToGrid w:val="0"/>
        <w:spacing w:line="360" w:lineRule="auto"/>
        <w:ind w:firstLine="480" w:firstLineChars="200"/>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r>
        <w:rPr>
          <w:rFonts w:hint="eastAsia" w:ascii="宋体" w:hAnsi="宋体" w:cs="宋体"/>
          <w:sz w:val="24"/>
          <w:szCs w:val="24"/>
        </w:rPr>
        <w:t>0571-86438435</w:t>
      </w:r>
    </w:p>
    <w:p>
      <w:pPr>
        <w:tabs>
          <w:tab w:val="left" w:pos="720"/>
        </w:tabs>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质疑接收人：李建雄</w:t>
      </w:r>
    </w:p>
    <w:p>
      <w:pPr>
        <w:tabs>
          <w:tab w:val="left" w:pos="720"/>
        </w:tabs>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联系电话：</w:t>
      </w:r>
      <w:r>
        <w:rPr>
          <w:rFonts w:hint="eastAsia" w:ascii="宋体" w:hAnsi="宋体" w:cs="宋体"/>
          <w:sz w:val="24"/>
          <w:szCs w:val="24"/>
        </w:rPr>
        <w:t>0571-</w:t>
      </w:r>
      <w:r>
        <w:rPr>
          <w:rFonts w:hint="eastAsia" w:cs="仿宋_GB2312" w:asciiTheme="minorEastAsia" w:hAnsiTheme="minorEastAsia" w:eastAsiaTheme="minorEastAsia"/>
          <w:sz w:val="24"/>
          <w:szCs w:val="24"/>
        </w:rPr>
        <w:t>86948426</w:t>
      </w:r>
    </w:p>
    <w:p>
      <w:pPr>
        <w:widowControl/>
        <w:adjustRightInd w:val="0"/>
        <w:snapToGrid w:val="0"/>
        <w:spacing w:line="360" w:lineRule="auto"/>
        <w:ind w:firstLine="482" w:firstLineChars="200"/>
        <w:jc w:val="left"/>
        <w:rPr>
          <w:rFonts w:cs="楷体" w:asciiTheme="minorEastAsia" w:hAnsiTheme="minorEastAsia" w:eastAsiaTheme="minorEastAsia"/>
          <w:b/>
          <w:snapToGrid w:val="0"/>
          <w:kern w:val="0"/>
          <w:sz w:val="24"/>
          <w:szCs w:val="24"/>
        </w:rPr>
      </w:pPr>
      <w:r>
        <w:rPr>
          <w:rFonts w:hint="eastAsia" w:cs="楷体" w:asciiTheme="minorEastAsia" w:hAnsiTheme="minorEastAsia" w:eastAsiaTheme="minorEastAsia"/>
          <w:b/>
          <w:snapToGrid w:val="0"/>
          <w:kern w:val="0"/>
          <w:sz w:val="24"/>
          <w:szCs w:val="24"/>
        </w:rPr>
        <w:t>2、采购代理机构：浙江中诺招标代理有限公司</w:t>
      </w:r>
    </w:p>
    <w:p>
      <w:pPr>
        <w:widowControl/>
        <w:adjustRightInd w:val="0"/>
        <w:snapToGrid w:val="0"/>
        <w:spacing w:line="360" w:lineRule="auto"/>
        <w:ind w:firstLine="480" w:firstLineChars="200"/>
        <w:jc w:val="left"/>
        <w:rPr>
          <w:rFonts w:cs="楷体" w:asciiTheme="minorEastAsia" w:hAnsiTheme="minorEastAsia" w:eastAsiaTheme="minorEastAsia"/>
          <w:snapToGrid w:val="0"/>
          <w:kern w:val="0"/>
          <w:sz w:val="24"/>
          <w:szCs w:val="24"/>
        </w:rPr>
      </w:pPr>
      <w:r>
        <w:rPr>
          <w:rFonts w:hint="eastAsia" w:cs="楷体" w:asciiTheme="minorEastAsia" w:hAnsiTheme="minorEastAsia" w:eastAsiaTheme="minorEastAsia"/>
          <w:snapToGrid w:val="0"/>
          <w:kern w:val="0"/>
          <w:sz w:val="24"/>
          <w:szCs w:val="24"/>
        </w:rPr>
        <w:t>地址：</w:t>
      </w:r>
      <w:r>
        <w:rPr>
          <w:rFonts w:hint="eastAsia" w:asciiTheme="minorEastAsia" w:hAnsiTheme="minorEastAsia" w:eastAsiaTheme="minorEastAsia"/>
          <w:sz w:val="24"/>
          <w:szCs w:val="24"/>
        </w:rPr>
        <w:t>杭州市下城区环城北路141号永通信息广场西写字楼10楼</w:t>
      </w:r>
    </w:p>
    <w:p>
      <w:pPr>
        <w:tabs>
          <w:tab w:val="left" w:pos="720"/>
        </w:tabs>
        <w:snapToGrid w:val="0"/>
        <w:spacing w:line="360" w:lineRule="auto"/>
        <w:ind w:firstLine="480" w:firstLineChars="200"/>
        <w:rPr>
          <w:rFonts w:asciiTheme="minorEastAsia" w:hAnsiTheme="minorEastAsia" w:eastAsiaTheme="minorEastAsia"/>
          <w:sz w:val="24"/>
          <w:szCs w:val="24"/>
        </w:rPr>
      </w:pPr>
      <w:r>
        <w:rPr>
          <w:rFonts w:hint="eastAsia" w:cs="仿宋_GB2312" w:asciiTheme="minorEastAsia" w:hAnsiTheme="minorEastAsia" w:eastAsiaTheme="minorEastAsia"/>
          <w:sz w:val="24"/>
          <w:szCs w:val="24"/>
          <w:lang w:val="zh-CN"/>
        </w:rPr>
        <w:t>联系人：</w:t>
      </w:r>
      <w:r>
        <w:rPr>
          <w:rFonts w:hint="eastAsia" w:cs="楷体" w:asciiTheme="minorEastAsia" w:hAnsiTheme="minorEastAsia" w:eastAsiaTheme="minorEastAsia"/>
          <w:snapToGrid w:val="0"/>
          <w:kern w:val="0"/>
          <w:sz w:val="24"/>
          <w:szCs w:val="24"/>
        </w:rPr>
        <w:t>刘宋斌</w:t>
      </w:r>
    </w:p>
    <w:p>
      <w:pPr>
        <w:widowControl/>
        <w:adjustRightInd w:val="0"/>
        <w:snapToGrid w:val="0"/>
        <w:spacing w:line="360" w:lineRule="auto"/>
        <w:ind w:firstLine="480" w:firstLineChars="200"/>
        <w:jc w:val="left"/>
        <w:rPr>
          <w:rFonts w:cs="楷体" w:asciiTheme="minorEastAsia" w:hAnsiTheme="minorEastAsia" w:eastAsiaTheme="minorEastAsia"/>
          <w:snapToGrid w:val="0"/>
          <w:kern w:val="0"/>
          <w:sz w:val="24"/>
          <w:szCs w:val="24"/>
        </w:rPr>
      </w:pPr>
      <w:r>
        <w:rPr>
          <w:rFonts w:hint="eastAsia" w:cs="楷体" w:asciiTheme="minorEastAsia" w:hAnsiTheme="minorEastAsia" w:eastAsiaTheme="minorEastAsia"/>
          <w:snapToGrid w:val="0"/>
          <w:kern w:val="0"/>
          <w:sz w:val="24"/>
          <w:szCs w:val="24"/>
        </w:rPr>
        <w:t>联系电话：0571-88821402</w:t>
      </w:r>
    </w:p>
    <w:p>
      <w:pPr>
        <w:tabs>
          <w:tab w:val="left" w:pos="720"/>
        </w:tabs>
        <w:snapToGrid w:val="0"/>
        <w:spacing w:line="360" w:lineRule="auto"/>
        <w:ind w:firstLine="480" w:firstLineChars="200"/>
        <w:rPr>
          <w:rFonts w:asciiTheme="minorEastAsia" w:hAnsiTheme="minorEastAsia" w:eastAsiaTheme="minorEastAsia"/>
          <w:sz w:val="24"/>
          <w:szCs w:val="24"/>
        </w:rPr>
      </w:pPr>
      <w:r>
        <w:rPr>
          <w:rFonts w:hint="eastAsia" w:cs="仿宋_GB2312" w:asciiTheme="minorEastAsia" w:hAnsiTheme="minorEastAsia" w:eastAsiaTheme="minorEastAsia"/>
          <w:sz w:val="24"/>
          <w:szCs w:val="24"/>
          <w:lang w:val="zh-CN"/>
        </w:rPr>
        <w:t>传真</w:t>
      </w:r>
      <w:r>
        <w:rPr>
          <w:rFonts w:hint="eastAsia" w:cs="仿宋_GB2312" w:asciiTheme="minorEastAsia" w:hAnsiTheme="minorEastAsia" w:eastAsiaTheme="minorEastAsia"/>
          <w:sz w:val="24"/>
          <w:szCs w:val="24"/>
        </w:rPr>
        <w:t>：</w:t>
      </w:r>
      <w:r>
        <w:rPr>
          <w:rFonts w:hint="eastAsia" w:asciiTheme="minorEastAsia" w:hAnsiTheme="minorEastAsia" w:eastAsiaTheme="minorEastAsia"/>
          <w:sz w:val="24"/>
          <w:szCs w:val="24"/>
        </w:rPr>
        <w:t>0571-88821134-820</w:t>
      </w:r>
    </w:p>
    <w:p>
      <w:pPr>
        <w:tabs>
          <w:tab w:val="left" w:pos="720"/>
        </w:tabs>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Email：info@zngpa.cn</w:t>
      </w:r>
    </w:p>
    <w:p>
      <w:pPr>
        <w:widowControl/>
        <w:shd w:val="clear" w:color="auto" w:fill="FFFFFF"/>
        <w:snapToGrid w:val="0"/>
        <w:spacing w:line="360" w:lineRule="auto"/>
        <w:ind w:firstLine="482" w:firstLineChars="200"/>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3、同级政府采购监督管理部门：杭州市财政局政府采购监管处</w:t>
      </w:r>
    </w:p>
    <w:p>
      <w:pPr>
        <w:widowControl/>
        <w:shd w:val="clear" w:color="auto" w:fill="FFFFFF"/>
        <w:snapToGrid w:val="0"/>
        <w:spacing w:line="360" w:lineRule="auto"/>
        <w:ind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地址：杭州市中河中路152号杭州市财税大楼</w:t>
      </w:r>
    </w:p>
    <w:p>
      <w:pPr>
        <w:widowControl/>
        <w:shd w:val="clear" w:color="auto" w:fill="FFFFFF"/>
        <w:snapToGrid w:val="0"/>
        <w:spacing w:line="360" w:lineRule="auto"/>
        <w:ind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联系人：吕先生</w:t>
      </w:r>
    </w:p>
    <w:p>
      <w:pPr>
        <w:widowControl/>
        <w:shd w:val="clear" w:color="auto" w:fill="FFFFFF"/>
        <w:snapToGrid w:val="0"/>
        <w:spacing w:line="360" w:lineRule="auto"/>
        <w:ind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监督投诉电话：0571-87715261</w:t>
      </w:r>
    </w:p>
    <w:p>
      <w:pPr>
        <w:widowControl/>
        <w:shd w:val="clear" w:color="auto" w:fill="FFFFFF"/>
        <w:snapToGrid w:val="0"/>
        <w:spacing w:line="360" w:lineRule="auto"/>
        <w:ind w:firstLine="482"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
          <w:kern w:val="0"/>
          <w:sz w:val="24"/>
          <w:szCs w:val="24"/>
        </w:rPr>
        <w:t>4、政采云系统问题咨询：</w:t>
      </w:r>
      <w:r>
        <w:rPr>
          <w:rFonts w:hint="eastAsia" w:cs="宋体" w:asciiTheme="minorEastAsia" w:hAnsiTheme="minorEastAsia" w:eastAsiaTheme="minorEastAsia"/>
          <w:bCs/>
          <w:kern w:val="0"/>
          <w:sz w:val="24"/>
          <w:szCs w:val="24"/>
        </w:rPr>
        <w:t>4008817190</w:t>
      </w:r>
    </w:p>
    <w:p>
      <w:pPr>
        <w:widowControl/>
        <w:shd w:val="clear" w:color="auto" w:fill="FFFFFF"/>
        <w:snapToGrid w:val="0"/>
        <w:spacing w:line="360" w:lineRule="auto"/>
        <w:ind w:firstLine="480" w:firstLineChars="200"/>
        <w:jc w:val="left"/>
        <w:rPr>
          <w:rFonts w:cs="宋体" w:asciiTheme="minorEastAsia" w:hAnsiTheme="minorEastAsia" w:eastAsiaTheme="minorEastAsia"/>
          <w:kern w:val="0"/>
          <w:sz w:val="24"/>
          <w:szCs w:val="24"/>
        </w:rPr>
      </w:pPr>
    </w:p>
    <w:p>
      <w:pPr>
        <w:widowControl/>
        <w:shd w:val="clear" w:color="auto" w:fill="FFFFFF"/>
        <w:snapToGrid w:val="0"/>
        <w:spacing w:line="360" w:lineRule="auto"/>
        <w:ind w:firstLine="480" w:firstLineChars="200"/>
        <w:jc w:val="left"/>
        <w:rPr>
          <w:rFonts w:cs="宋体" w:asciiTheme="minorEastAsia" w:hAnsiTheme="minorEastAsia" w:eastAsiaTheme="minorEastAsia"/>
          <w:kern w:val="0"/>
          <w:sz w:val="24"/>
          <w:szCs w:val="24"/>
        </w:rPr>
        <w:sectPr>
          <w:headerReference r:id="rId4" w:type="first"/>
          <w:footerReference r:id="rId7" w:type="first"/>
          <w:headerReference r:id="rId3" w:type="default"/>
          <w:footerReference r:id="rId5" w:type="default"/>
          <w:footerReference r:id="rId6" w:type="even"/>
          <w:pgSz w:w="11850" w:h="16783"/>
          <w:pgMar w:top="1247" w:right="1418" w:bottom="18" w:left="1418" w:header="851" w:footer="992" w:gutter="0"/>
          <w:cols w:space="720" w:num="1"/>
          <w:titlePg/>
          <w:docGrid w:linePitch="312" w:charSpace="0"/>
        </w:sectPr>
      </w:pPr>
    </w:p>
    <w:p>
      <w:pPr>
        <w:autoSpaceDE w:val="0"/>
        <w:autoSpaceDN w:val="0"/>
        <w:adjustRightInd w:val="0"/>
        <w:snapToGrid w:val="0"/>
        <w:spacing w:line="360" w:lineRule="auto"/>
        <w:jc w:val="right"/>
        <w:rPr>
          <w:rFonts w:asciiTheme="minorEastAsia" w:hAnsiTheme="minorEastAsia" w:eastAsiaTheme="minorEastAsia"/>
          <w:sz w:val="24"/>
          <w:szCs w:val="24"/>
          <w:lang w:val="zh-CN"/>
        </w:rPr>
      </w:pPr>
    </w:p>
    <w:p>
      <w:pPr>
        <w:adjustRightInd w:val="0"/>
        <w:snapToGrid w:val="0"/>
        <w:spacing w:line="360" w:lineRule="auto"/>
        <w:jc w:val="center"/>
        <w:outlineLvl w:val="0"/>
        <w:rPr>
          <w:rFonts w:asciiTheme="minorEastAsia" w:hAnsiTheme="minorEastAsia" w:eastAsiaTheme="minorEastAsia"/>
          <w:b/>
          <w:sz w:val="28"/>
          <w:szCs w:val="28"/>
        </w:rPr>
      </w:pPr>
      <w:bookmarkStart w:id="30" w:name="_Hlt74649545"/>
      <w:bookmarkEnd w:id="30"/>
      <w:bookmarkStart w:id="31" w:name="_Hlt74707423"/>
      <w:bookmarkEnd w:id="31"/>
      <w:bookmarkStart w:id="32" w:name="_Hlt74729822"/>
      <w:bookmarkEnd w:id="32"/>
      <w:bookmarkStart w:id="33" w:name="_Hlt74728647"/>
      <w:bookmarkEnd w:id="33"/>
      <w:bookmarkStart w:id="34" w:name="_Toc91899870"/>
      <w:bookmarkStart w:id="35" w:name="_Toc19324"/>
      <w:bookmarkStart w:id="36" w:name="_Toc91899871"/>
      <w:r>
        <w:rPr>
          <w:rFonts w:hint="eastAsia" w:asciiTheme="minorEastAsia" w:hAnsiTheme="minorEastAsia" w:eastAsiaTheme="minorEastAsia"/>
          <w:b/>
          <w:sz w:val="28"/>
          <w:szCs w:val="28"/>
        </w:rPr>
        <w:t>第二部分 编制和提交采购响应文件须知</w:t>
      </w:r>
      <w:bookmarkEnd w:id="34"/>
      <w:bookmarkEnd w:id="35"/>
    </w:p>
    <w:p>
      <w:pPr>
        <w:pStyle w:val="4"/>
        <w:jc w:val="center"/>
        <w:rPr>
          <w:rFonts w:asciiTheme="minorEastAsia" w:hAnsiTheme="minorEastAsia" w:eastAsiaTheme="minorEastAsia"/>
          <w:szCs w:val="24"/>
        </w:rPr>
      </w:pPr>
      <w:bookmarkStart w:id="37" w:name="_Toc29490"/>
      <w:r>
        <w:rPr>
          <w:rFonts w:hint="eastAsia" w:asciiTheme="minorEastAsia" w:hAnsiTheme="minorEastAsia" w:eastAsiaTheme="minorEastAsia"/>
          <w:szCs w:val="24"/>
        </w:rPr>
        <w:t>前 附 表</w:t>
      </w:r>
      <w:bookmarkEnd w:id="37"/>
    </w:p>
    <w:tbl>
      <w:tblPr>
        <w:tblStyle w:val="39"/>
        <w:tblW w:w="94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1155"/>
        <w:gridCol w:w="76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55" w:type="dxa"/>
            <w:tcBorders>
              <w:top w:val="single" w:color="000000" w:sz="8"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条款</w:t>
            </w:r>
          </w:p>
        </w:tc>
        <w:tc>
          <w:tcPr>
            <w:tcW w:w="8763" w:type="dxa"/>
            <w:gridSpan w:val="2"/>
            <w:tcBorders>
              <w:top w:val="single" w:color="000000" w:sz="8" w:space="0"/>
              <w:left w:val="single" w:color="000000" w:sz="2" w:space="0"/>
              <w:bottom w:val="single" w:color="000000" w:sz="2" w:space="0"/>
              <w:right w:val="single" w:color="000000" w:sz="8" w:space="0"/>
            </w:tcBorders>
            <w:vAlign w:val="center"/>
          </w:tcPr>
          <w:p>
            <w:pPr>
              <w:adjustRightInd w:val="0"/>
              <w:snapToGrid w:val="0"/>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763" w:type="dxa"/>
            <w:gridSpan w:val="2"/>
            <w:tcBorders>
              <w:top w:val="single" w:color="000000" w:sz="2" w:space="0"/>
              <w:left w:val="single" w:color="000000" w:sz="2" w:space="0"/>
              <w:bottom w:val="single" w:color="000000" w:sz="2" w:space="0"/>
              <w:right w:val="single" w:color="000000" w:sz="8" w:space="0"/>
            </w:tcBorders>
          </w:tcPr>
          <w:p>
            <w:pPr>
              <w:adjustRightInd w:val="0"/>
              <w:snapToGrid w:val="0"/>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项目说明</w:t>
            </w:r>
          </w:p>
          <w:p>
            <w:pPr>
              <w:adjustRightInd w:val="0"/>
              <w:snapToGrid w:val="0"/>
              <w:spacing w:line="360" w:lineRule="auto"/>
              <w:ind w:firstLine="354" w:firstLineChars="147"/>
              <w:rPr>
                <w:rFonts w:asciiTheme="minorEastAsia" w:hAnsiTheme="minorEastAsia" w:eastAsiaTheme="minorEastAsia"/>
                <w:sz w:val="24"/>
                <w:szCs w:val="24"/>
              </w:rPr>
            </w:pPr>
            <w:r>
              <w:rPr>
                <w:rFonts w:hint="eastAsia" w:asciiTheme="minorEastAsia" w:hAnsiTheme="minorEastAsia" w:eastAsiaTheme="minorEastAsia"/>
                <w:b/>
                <w:sz w:val="24"/>
                <w:szCs w:val="24"/>
              </w:rPr>
              <w:t>一、项目名称：</w:t>
            </w:r>
            <w:bookmarkStart w:id="38" w:name="_Hlt75139851"/>
            <w:bookmarkEnd w:id="38"/>
            <w:r>
              <w:rPr>
                <w:rFonts w:hint="eastAsia" w:asciiTheme="minorEastAsia" w:hAnsiTheme="minorEastAsia" w:eastAsiaTheme="minorEastAsia"/>
                <w:spacing w:val="-5"/>
                <w:kern w:val="20"/>
                <w:sz w:val="24"/>
                <w:szCs w:val="24"/>
              </w:rPr>
              <w:t>杭州市市场监督管理局2021年上半年食品生产环节监督抽检项目</w:t>
            </w:r>
          </w:p>
          <w:p>
            <w:pPr>
              <w:adjustRightInd w:val="0"/>
              <w:snapToGrid w:val="0"/>
              <w:spacing w:line="360" w:lineRule="auto"/>
              <w:ind w:firstLine="359" w:firstLineChars="149"/>
              <w:rPr>
                <w:rFonts w:asciiTheme="minorEastAsia" w:hAnsiTheme="minorEastAsia" w:eastAsiaTheme="minorEastAsia"/>
                <w:b/>
                <w:sz w:val="24"/>
                <w:szCs w:val="24"/>
              </w:rPr>
            </w:pPr>
            <w:r>
              <w:rPr>
                <w:rFonts w:hint="eastAsia" w:asciiTheme="minorEastAsia" w:hAnsiTheme="minorEastAsia" w:eastAsiaTheme="minorEastAsia"/>
                <w:b/>
                <w:sz w:val="24"/>
                <w:szCs w:val="24"/>
              </w:rPr>
              <w:t>二、项目的实施范围：</w:t>
            </w:r>
            <w:r>
              <w:rPr>
                <w:rFonts w:hint="eastAsia" w:asciiTheme="minorEastAsia" w:hAnsiTheme="minorEastAsia" w:eastAsiaTheme="minorEastAsia"/>
                <w:sz w:val="24"/>
                <w:szCs w:val="24"/>
              </w:rPr>
              <w:t>2021年上半年食品生产环节监督抽检项目</w:t>
            </w:r>
            <w:r>
              <w:rPr>
                <w:rFonts w:hint="eastAsia" w:asciiTheme="minorEastAsia" w:hAnsiTheme="minorEastAsia" w:eastAsiaTheme="minorEastAsia"/>
                <w:spacing w:val="-5"/>
                <w:kern w:val="20"/>
                <w:sz w:val="24"/>
                <w:szCs w:val="24"/>
              </w:rPr>
              <w:t>，</w:t>
            </w:r>
            <w:r>
              <w:rPr>
                <w:rFonts w:hint="eastAsia" w:cs="Arial" w:asciiTheme="minorEastAsia" w:hAnsiTheme="minorEastAsia" w:eastAsiaTheme="minorEastAsia"/>
                <w:sz w:val="24"/>
                <w:szCs w:val="24"/>
              </w:rPr>
              <w:t>见招标文件第三部分“项目技术规范和服务要求”。</w:t>
            </w:r>
          </w:p>
          <w:p>
            <w:pPr>
              <w:spacing w:line="360" w:lineRule="auto"/>
              <w:ind w:firstLine="354" w:firstLineChars="147"/>
              <w:rPr>
                <w:rFonts w:asciiTheme="minorEastAsia" w:hAnsiTheme="minorEastAsia" w:eastAsiaTheme="minorEastAsia"/>
                <w:sz w:val="24"/>
                <w:szCs w:val="24"/>
              </w:rPr>
            </w:pPr>
            <w:r>
              <w:rPr>
                <w:rFonts w:hint="eastAsia" w:asciiTheme="minorEastAsia" w:hAnsiTheme="minorEastAsia" w:eastAsiaTheme="minorEastAsia"/>
                <w:b/>
                <w:sz w:val="24"/>
                <w:szCs w:val="24"/>
              </w:rPr>
              <w:t>三、服务要求：按照要求保质保量按时完成检测任务，并以书面形式及时向采购人报送检测结果，</w:t>
            </w:r>
            <w:r>
              <w:rPr>
                <w:rFonts w:hint="eastAsia" w:asciiTheme="minorEastAsia" w:hAnsiTheme="minorEastAsia" w:eastAsiaTheme="minorEastAsia"/>
                <w:sz w:val="24"/>
                <w:szCs w:val="24"/>
              </w:rPr>
              <w:t>具体详见第三部分——项目技术规范和服务要求。</w:t>
            </w:r>
          </w:p>
          <w:p>
            <w:pPr>
              <w:adjustRightInd w:val="0"/>
              <w:snapToGrid w:val="0"/>
              <w:spacing w:line="360" w:lineRule="auto"/>
              <w:ind w:firstLine="352" w:firstLineChars="146"/>
              <w:rPr>
                <w:rFonts w:asciiTheme="minorEastAsia" w:hAnsiTheme="minorEastAsia" w:eastAsiaTheme="minorEastAsia"/>
                <w:bCs/>
                <w:snapToGrid w:val="0"/>
                <w:kern w:val="0"/>
                <w:sz w:val="24"/>
                <w:szCs w:val="24"/>
              </w:rPr>
            </w:pPr>
            <w:r>
              <w:rPr>
                <w:rFonts w:hint="eastAsia" w:asciiTheme="minorEastAsia" w:hAnsiTheme="minorEastAsia" w:eastAsiaTheme="minorEastAsia"/>
                <w:b/>
                <w:sz w:val="24"/>
                <w:szCs w:val="24"/>
              </w:rPr>
              <w:t>四</w:t>
            </w:r>
            <w:r>
              <w:rPr>
                <w:rFonts w:hint="eastAsia" w:asciiTheme="minorEastAsia" w:hAnsiTheme="minorEastAsia" w:eastAsiaTheme="minorEastAsia"/>
                <w:b/>
                <w:sz w:val="24"/>
                <w:szCs w:val="24"/>
                <w:lang w:val="zh-CN"/>
              </w:rPr>
              <w:t>、</w:t>
            </w:r>
            <w:r>
              <w:rPr>
                <w:rFonts w:hint="eastAsia" w:asciiTheme="minorEastAsia" w:hAnsiTheme="minorEastAsia" w:eastAsiaTheme="minorEastAsia"/>
                <w:b/>
                <w:snapToGrid w:val="0"/>
                <w:kern w:val="0"/>
                <w:sz w:val="24"/>
                <w:szCs w:val="24"/>
              </w:rPr>
              <w:t>抽查检验完成时间要求：</w:t>
            </w:r>
            <w:r>
              <w:rPr>
                <w:rFonts w:hint="eastAsia" w:asciiTheme="minorEastAsia" w:hAnsiTheme="minorEastAsia" w:eastAsiaTheme="minorEastAsia"/>
                <w:sz w:val="24"/>
                <w:szCs w:val="24"/>
              </w:rPr>
              <w:t>详见第三部分——项目技术规范和服务要求。</w:t>
            </w:r>
          </w:p>
          <w:p>
            <w:pPr>
              <w:adjustRightInd w:val="0"/>
              <w:snapToGrid w:val="0"/>
              <w:spacing w:line="360" w:lineRule="auto"/>
              <w:ind w:firstLine="354" w:firstLineChars="147"/>
              <w:rPr>
                <w:rFonts w:asciiTheme="minorEastAsia" w:hAnsiTheme="minorEastAsia" w:eastAsiaTheme="minorEastAsia"/>
                <w:sz w:val="24"/>
                <w:szCs w:val="24"/>
              </w:rPr>
            </w:pPr>
            <w:r>
              <w:rPr>
                <w:rFonts w:hint="eastAsia" w:asciiTheme="minorEastAsia" w:hAnsiTheme="minorEastAsia" w:eastAsiaTheme="minorEastAsia"/>
                <w:b/>
                <w:sz w:val="24"/>
                <w:szCs w:val="24"/>
                <w:lang w:val="zh-CN"/>
              </w:rPr>
              <w:t>五、预算金额：标项一：人民币73万元；标项二：人民币73万元；标项三：人民币73万元；标项四：人民币72万元；标项五：人民币72万元；标项六：人民币73万元；标项七：人民币73万元。投标报价超预算金额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15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合同名称</w:t>
            </w:r>
          </w:p>
        </w:tc>
        <w:tc>
          <w:tcPr>
            <w:tcW w:w="7608" w:type="dxa"/>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pacing w:val="-5"/>
                <w:kern w:val="20"/>
                <w:sz w:val="24"/>
                <w:szCs w:val="24"/>
              </w:rPr>
              <w:t>杭州市市场监督管理局XXX委托</w:t>
            </w:r>
            <w:r>
              <w:rPr>
                <w:rFonts w:hint="eastAsia" w:asciiTheme="minorEastAsia" w:hAnsiTheme="minorEastAsia" w:eastAsiaTheme="minorEastAsia"/>
                <w:sz w:val="24"/>
                <w:szCs w:val="24"/>
              </w:rPr>
              <w:t>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lang w:val="zh-CN"/>
              </w:rPr>
              <w:t>投标</w:t>
            </w:r>
            <w:r>
              <w:rPr>
                <w:rFonts w:hint="eastAsia" w:asciiTheme="minorEastAsia" w:hAnsiTheme="minorEastAsia" w:eastAsiaTheme="minorEastAsia"/>
                <w:b/>
                <w:sz w:val="24"/>
                <w:szCs w:val="24"/>
              </w:rPr>
              <w:t>有效期：</w:t>
            </w:r>
            <w:r>
              <w:rPr>
                <w:rFonts w:hint="eastAsia" w:asciiTheme="minorEastAsia" w:hAnsiTheme="minorEastAsia" w:eastAsiaTheme="minorEastAsia"/>
                <w:sz w:val="24"/>
                <w:szCs w:val="24"/>
              </w:rPr>
              <w:t>自投标截止日起60天。如采购代理机构认为必要，可延长至总计最长不超过90天。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tabs>
                <w:tab w:val="left" w:pos="0"/>
              </w:tabs>
              <w:autoSpaceDE w:val="0"/>
              <w:autoSpaceDN w:val="0"/>
              <w:adjustRightInd w:val="0"/>
              <w:snapToGrid w:val="0"/>
              <w:spacing w:line="360" w:lineRule="auto"/>
              <w:jc w:val="left"/>
              <w:rPr>
                <w:rFonts w:cs="宋体" w:asciiTheme="minorEastAsia" w:hAnsiTheme="minorEastAsia" w:eastAsiaTheme="minorEastAsia"/>
                <w:sz w:val="24"/>
                <w:szCs w:val="24"/>
              </w:rPr>
            </w:pPr>
            <w:r>
              <w:rPr>
                <w:rFonts w:hint="eastAsia" w:asciiTheme="minorEastAsia" w:hAnsiTheme="minorEastAsia" w:eastAsiaTheme="minorEastAsia"/>
                <w:b/>
                <w:sz w:val="24"/>
                <w:szCs w:val="24"/>
              </w:rPr>
              <w:t>投标保证金数额：</w:t>
            </w:r>
            <w:r>
              <w:rPr>
                <w:rFonts w:hint="eastAsia" w:cs="楷体" w:asciiTheme="minorEastAsia" w:hAnsiTheme="minorEastAsia" w:eastAsiaTheme="minorEastAsia"/>
                <w:snapToGrid w:val="0"/>
                <w:kern w:val="0"/>
                <w:sz w:val="24"/>
                <w:szCs w:val="24"/>
              </w:rPr>
              <w:t>本项目不设投标保证金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pStyle w:val="21"/>
              <w:adjustRightInd w:val="0"/>
              <w:snapToGrid w:val="0"/>
              <w:spacing w:line="360" w:lineRule="auto"/>
              <w:rPr>
                <w:rFonts w:hAnsi="宋体" w:cs="宋体"/>
                <w:sz w:val="24"/>
              </w:rPr>
            </w:pPr>
            <w:r>
              <w:rPr>
                <w:rFonts w:hint="eastAsia" w:asciiTheme="minorEastAsia" w:hAnsiTheme="minorEastAsia" w:eastAsiaTheme="minorEastAsia"/>
                <w:b/>
                <w:sz w:val="24"/>
                <w:szCs w:val="24"/>
              </w:rPr>
              <w:t>投标文件的组成、份数、效力：</w:t>
            </w:r>
            <w:r>
              <w:rPr>
                <w:rFonts w:hint="eastAsia" w:hAnsi="宋体" w:cs="宋体"/>
                <w:sz w:val="24"/>
              </w:rPr>
              <w:t>本项目实行电子投标。</w:t>
            </w:r>
          </w:p>
          <w:p>
            <w:pPr>
              <w:pStyle w:val="21"/>
              <w:adjustRightInd w:val="0"/>
              <w:snapToGrid w:val="0"/>
              <w:spacing w:line="360" w:lineRule="auto"/>
              <w:rPr>
                <w:rFonts w:hAnsi="宋体" w:cs="宋体"/>
                <w:sz w:val="24"/>
              </w:rPr>
            </w:pPr>
            <w:r>
              <w:rPr>
                <w:rFonts w:hint="eastAsia" w:hAnsi="宋体" w:cs="宋体"/>
                <w:sz w:val="24"/>
              </w:rPr>
              <w:t>供应商应准备电子投标文件、以介质存储的数据电文形式的备份投标文件两类：</w:t>
            </w:r>
          </w:p>
          <w:p>
            <w:pPr>
              <w:pStyle w:val="21"/>
              <w:adjustRightInd w:val="0"/>
              <w:snapToGrid w:val="0"/>
              <w:spacing w:line="360" w:lineRule="auto"/>
              <w:rPr>
                <w:rFonts w:hAnsi="宋体" w:cs="宋体"/>
                <w:sz w:val="24"/>
              </w:rPr>
            </w:pPr>
            <w:r>
              <w:rPr>
                <w:rFonts w:hint="eastAsia" w:hAnsi="宋体" w:cs="宋体"/>
                <w:sz w:val="24"/>
              </w:rPr>
              <w:t>（1）电子投标文件，按政采云平台项目采购-电子招投标操作指南及本招标文件要求递交。</w:t>
            </w:r>
          </w:p>
          <w:p>
            <w:pPr>
              <w:pStyle w:val="21"/>
              <w:adjustRightInd w:val="0"/>
              <w:snapToGrid w:val="0"/>
              <w:spacing w:line="360" w:lineRule="auto"/>
              <w:rPr>
                <w:rFonts w:hAnsi="宋体" w:cs="宋体"/>
                <w:sz w:val="24"/>
              </w:rPr>
            </w:pPr>
            <w:r>
              <w:rPr>
                <w:rFonts w:hint="eastAsia" w:hAnsi="宋体" w:cs="宋体"/>
                <w:sz w:val="24"/>
              </w:rPr>
              <w:t>（2）以介质存储的数据电文形式的备份投标文件，按政采云平台项目采购-电子招投标操作指南中上传的电子投标文件格式，以不可二次编辑、追加刻录的DVD光盘形式提供。数量为1份。</w:t>
            </w:r>
          </w:p>
          <w:p>
            <w:pPr>
              <w:adjustRightInd w:val="0"/>
              <w:snapToGrid w:val="0"/>
              <w:spacing w:line="360" w:lineRule="auto"/>
              <w:rPr>
                <w:rFonts w:ascii="宋体" w:hAnsi="宋体" w:cs="宋体"/>
                <w:sz w:val="24"/>
              </w:rPr>
            </w:pPr>
            <w:r>
              <w:rPr>
                <w:rFonts w:hint="eastAsia" w:ascii="宋体" w:hAnsi="宋体" w:cs="宋体"/>
                <w:sz w:val="24"/>
              </w:rPr>
              <w:t>（3）投标文件启用顺序和效力。投标文件的启用，按先后顺位分别为电子投标文件、以介质存储的数据电文形式的备份投标文件。电子投标文件已按时解密的，备份投标文件自动失效。在备份投标文件启用时，电子投标文件自动失效。</w:t>
            </w:r>
          </w:p>
          <w:p>
            <w:pPr>
              <w:adjustRightInd w:val="0"/>
              <w:snapToGrid w:val="0"/>
              <w:spacing w:line="360" w:lineRule="auto"/>
              <w:rPr>
                <w:rFonts w:asciiTheme="minorEastAsia" w:hAnsiTheme="minorEastAsia" w:eastAsiaTheme="minorEastAsia"/>
                <w:sz w:val="24"/>
                <w:szCs w:val="24"/>
              </w:rPr>
            </w:pPr>
            <w:r>
              <w:rPr>
                <w:rFonts w:hint="eastAsia" w:ascii="宋体" w:hAnsi="宋体" w:cs="宋体"/>
                <w:b/>
                <w:sz w:val="24"/>
              </w:rPr>
              <w:t>▲未传输递交电子投标文件的，投标无效。▲未按规定提供相应的备份投标文件，造成项目开评标活动无法进行的，投标无效。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投标截止时间：</w:t>
            </w:r>
            <w:r>
              <w:rPr>
                <w:rFonts w:hint="eastAsia" w:asciiTheme="minorEastAsia" w:hAnsiTheme="minorEastAsia" w:eastAsiaTheme="minorEastAsia"/>
                <w:sz w:val="24"/>
                <w:szCs w:val="24"/>
              </w:rPr>
              <w:t>2021年</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日上午10时00分整。</w:t>
            </w:r>
          </w:p>
          <w:p>
            <w:pPr>
              <w:adjustRightInd w:val="0"/>
              <w:snapToGrid w:val="0"/>
              <w:spacing w:line="360" w:lineRule="auto"/>
              <w:rPr>
                <w:rFonts w:asciiTheme="minorEastAsia" w:hAnsiTheme="minorEastAsia"/>
                <w:sz w:val="24"/>
                <w:szCs w:val="24"/>
              </w:rPr>
            </w:pPr>
            <w:r>
              <w:rPr>
                <w:rFonts w:hint="eastAsia" w:ascii="宋体" w:hAnsi="宋体" w:cs="宋体"/>
                <w:b/>
                <w:sz w:val="24"/>
              </w:rPr>
              <w:t>▲投标截止时间后，符合专业条件的供应商或者对招标文件作实质响应的供应商不足3家的标项应予废标。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Theme="minorEastAsia" w:hAnsiTheme="minorEastAsia" w:eastAsiaTheme="minorEastAsia"/>
                <w:bCs/>
                <w:sz w:val="24"/>
                <w:szCs w:val="24"/>
              </w:rPr>
            </w:pPr>
            <w:r>
              <w:rPr>
                <w:rFonts w:hint="eastAsia" w:asciiTheme="minorEastAsia" w:hAnsiTheme="minorEastAsia" w:eastAsiaTheme="minorEastAsia"/>
                <w:b/>
                <w:sz w:val="24"/>
                <w:szCs w:val="24"/>
              </w:rPr>
              <w:t>投标文件递交方式：</w:t>
            </w:r>
            <w:r>
              <w:rPr>
                <w:rFonts w:hint="eastAsia" w:asciiTheme="minorEastAsia" w:hAnsiTheme="minorEastAsia" w:eastAsiaTheme="minorEastAsia"/>
                <w:bCs/>
                <w:sz w:val="24"/>
                <w:szCs w:val="24"/>
              </w:rPr>
              <w:t>投标人应当在投标截止时间前在政采云平台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bCs/>
                <w:sz w:val="24"/>
                <w:szCs w:val="24"/>
              </w:rPr>
              <w:t>投标人可以在投标截止时间前将以介质存储的数据电文形式的备份投标文件密封送交到</w:t>
            </w:r>
            <w:r>
              <w:rPr>
                <w:rFonts w:hint="eastAsia" w:asciiTheme="minorEastAsia" w:hAnsiTheme="minorEastAsia" w:eastAsiaTheme="minorEastAsia"/>
                <w:sz w:val="24"/>
                <w:szCs w:val="24"/>
              </w:rPr>
              <w:t>杭州市下城区环城北路141号永通信息广场西写字楼10楼</w:t>
            </w:r>
            <w:r>
              <w:rPr>
                <w:rFonts w:hint="eastAsia" w:asciiTheme="minorEastAsia" w:hAnsiTheme="minorEastAsia" w:eastAsiaTheme="minorEastAsia"/>
                <w:bCs/>
                <w:sz w:val="24"/>
                <w:szCs w:val="24"/>
              </w:rPr>
              <w:t>，逾期送达或未密封将被拒收。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pStyle w:val="13"/>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b/>
                <w:color w:val="auto"/>
                <w:kern w:val="10"/>
                <w:sz w:val="24"/>
                <w:szCs w:val="24"/>
              </w:rPr>
              <w:t>开标时间</w:t>
            </w:r>
            <w:r>
              <w:rPr>
                <w:rFonts w:hint="eastAsia" w:asciiTheme="minorEastAsia" w:hAnsiTheme="minorEastAsia" w:eastAsiaTheme="minorEastAsia"/>
                <w:b/>
                <w:color w:val="auto"/>
                <w:sz w:val="24"/>
                <w:szCs w:val="24"/>
              </w:rPr>
              <w:t>：</w:t>
            </w:r>
            <w:r>
              <w:rPr>
                <w:rFonts w:hint="eastAsia" w:asciiTheme="minorEastAsia" w:hAnsiTheme="minorEastAsia" w:eastAsiaTheme="minorEastAsia"/>
                <w:color w:val="auto"/>
                <w:sz w:val="24"/>
                <w:szCs w:val="24"/>
              </w:rPr>
              <w:t>2021年</w:t>
            </w:r>
            <w:r>
              <w:rPr>
                <w:rFonts w:hint="eastAsia" w:asciiTheme="minorEastAsia" w:hAnsiTheme="minorEastAsia" w:eastAsiaTheme="minorEastAsia"/>
                <w:color w:val="auto"/>
                <w:sz w:val="24"/>
                <w:szCs w:val="24"/>
                <w:lang w:val="en-US" w:eastAsia="zh-CN"/>
              </w:rPr>
              <w:t>2</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日上午10时00分整。</w:t>
            </w:r>
          </w:p>
          <w:p>
            <w:pPr>
              <w:pStyle w:val="13"/>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开标地点：</w:t>
            </w:r>
            <w:r>
              <w:rPr>
                <w:rFonts w:hint="eastAsia" w:asciiTheme="minorEastAsia" w:hAnsiTheme="minorEastAsia" w:eastAsiaTheme="minorEastAsia"/>
                <w:color w:val="auto"/>
                <w:sz w:val="24"/>
                <w:szCs w:val="24"/>
              </w:rPr>
              <w:t>杭州市下城区环城北路141号永通信息广场西写字楼10楼会议室。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tabs>
                <w:tab w:val="left" w:pos="378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pStyle w:val="13"/>
              <w:spacing w:line="360" w:lineRule="auto"/>
              <w:ind w:firstLine="0"/>
              <w:rPr>
                <w:rFonts w:asciiTheme="minorEastAsia" w:hAnsiTheme="minorEastAsia" w:eastAsiaTheme="minorEastAsia"/>
                <w:b/>
                <w:color w:val="auto"/>
                <w:sz w:val="24"/>
              </w:rPr>
            </w:pPr>
            <w:r>
              <w:rPr>
                <w:rFonts w:hint="eastAsia" w:asciiTheme="minorEastAsia" w:hAnsiTheme="minorEastAsia" w:eastAsiaTheme="minorEastAsia"/>
                <w:b/>
                <w:color w:val="auto"/>
                <w:kern w:val="10"/>
                <w:sz w:val="24"/>
              </w:rPr>
              <w:t>质疑：</w:t>
            </w:r>
            <w:r>
              <w:rPr>
                <w:rFonts w:hint="eastAsia" w:asciiTheme="minorEastAsia" w:hAnsiTheme="minorEastAsia" w:eastAsiaTheme="minorEastAsia"/>
                <w:color w:val="auto"/>
                <w:kern w:val="0"/>
                <w:sz w:val="24"/>
                <w:szCs w:val="24"/>
              </w:rPr>
              <w:t>根据《政府采购法》第五十二条的规定，投标人认为招标文件、采购过程和中标、成交结果使自己的权益受到损害的，可以在知道或者应知其权益受到损害之日起七个工作日内，以书面形式向采购人、采购代理机构提出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tabs>
                <w:tab w:val="left" w:pos="378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pStyle w:val="13"/>
              <w:spacing w:line="360" w:lineRule="auto"/>
              <w:ind w:firstLine="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w:t>
            </w:r>
            <w:r>
              <w:rPr>
                <w:rFonts w:hint="eastAsia" w:asciiTheme="minorEastAsia" w:hAnsiTheme="minorEastAsia" w:eastAsiaTheme="minorEastAsia"/>
                <w:color w:val="auto"/>
                <w:kern w:val="0"/>
                <w:sz w:val="24"/>
                <w:szCs w:val="24"/>
              </w:rPr>
              <w:t>根据《政府采购法》第五十五条的规定，质疑投标人对采购人、采购代理机构的答复不满意或者采购人、采购代理机构未在规定的时间内做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tabs>
                <w:tab w:val="left" w:pos="378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pStyle w:val="13"/>
              <w:spacing w:line="360" w:lineRule="auto"/>
              <w:ind w:firstLine="0"/>
              <w:rPr>
                <w:rFonts w:asciiTheme="minorEastAsia" w:hAnsiTheme="minorEastAsia" w:eastAsiaTheme="minorEastAsia"/>
                <w:b/>
                <w:color w:val="auto"/>
                <w:sz w:val="24"/>
              </w:rPr>
            </w:pPr>
            <w:r>
              <w:rPr>
                <w:rFonts w:hint="eastAsia" w:asciiTheme="minorEastAsia" w:hAnsiTheme="minorEastAsia" w:eastAsiaTheme="minorEastAsia"/>
                <w:b/>
                <w:color w:val="auto"/>
                <w:sz w:val="24"/>
              </w:rPr>
              <w:t>特别说明：</w:t>
            </w:r>
          </w:p>
          <w:p>
            <w:pPr>
              <w:pStyle w:val="13"/>
              <w:spacing w:line="360" w:lineRule="auto"/>
              <w:ind w:firstLine="0"/>
              <w:rPr>
                <w:rFonts w:asciiTheme="minorEastAsia" w:hAnsiTheme="minorEastAsia" w:eastAsiaTheme="minorEastAsia"/>
                <w:color w:val="auto"/>
                <w:sz w:val="24"/>
              </w:rPr>
            </w:pPr>
            <w:r>
              <w:rPr>
                <w:rFonts w:hint="eastAsia" w:asciiTheme="minorEastAsia" w:hAnsiTheme="minorEastAsia" w:eastAsiaTheme="minorEastAsia"/>
                <w:color w:val="auto"/>
                <w:sz w:val="24"/>
              </w:rPr>
              <w:t>（1）投标人应无条件的、认真仔细的、不厌其烦地阅读本招标文件及其澄清答疑、修改答复的补充文件，严格按照招标文件及补充文件的规定和要求编制投标文件。在编制投标文件过程中，应严格遵循实事求是、诚信投标的原则，针对招标文件中第三部分采购需求、第四部分合同条款等各项内容进行确认，如有偏离，应如实填写响应偏离表。投标人中标后，在合同实施过程中如有负偏离，内容与其投标要约（包括询标澄清内容）不一致，投标人将向采购人按每项负偏离支付合同总价5%的违约金，当达到两项及以上时，不仅将向采购人支付合同总价10%的违约金，同时采购人还保留以下权利：①要求中标人按投标文件提供货物或服务的权利；②终止合同的权利；③追究中标人该行为导致交货期延误的直接或间接损失的权利；④向招标监管机构报告不诚信投标的权利；⑤前述①+④同时并行的权利。</w:t>
            </w:r>
          </w:p>
          <w:p>
            <w:pPr>
              <w:pStyle w:val="13"/>
              <w:spacing w:line="360" w:lineRule="auto"/>
              <w:ind w:firstLine="0"/>
              <w:rPr>
                <w:rFonts w:asciiTheme="minorEastAsia" w:hAnsiTheme="minorEastAsia" w:eastAsiaTheme="minorEastAsia"/>
                <w:color w:val="auto"/>
                <w:sz w:val="24"/>
              </w:rPr>
            </w:pPr>
            <w:r>
              <w:rPr>
                <w:rFonts w:hint="eastAsia" w:asciiTheme="minorEastAsia" w:hAnsiTheme="minorEastAsia" w:eastAsiaTheme="minorEastAsia"/>
                <w:color w:val="auto"/>
                <w:sz w:val="24"/>
              </w:rPr>
              <w:t>（2）如果发现本招标文件中存在含糊不清、相互矛盾、多种含义以及歧视性不公正条款或违法违规等内容时，请投标人在获取招标文件后，答疑截止时间前按要求书面提出，逾期视同自动放弃疑问提出的权利或采购人不做答复。</w:t>
            </w:r>
          </w:p>
          <w:p>
            <w:pPr>
              <w:pStyle w:val="13"/>
              <w:spacing w:line="360" w:lineRule="auto"/>
              <w:ind w:firstLine="0"/>
              <w:rPr>
                <w:rFonts w:asciiTheme="minorEastAsia" w:hAnsiTheme="minorEastAsia" w:eastAsiaTheme="minorEastAsia"/>
                <w:color w:val="auto"/>
                <w:sz w:val="24"/>
              </w:rPr>
            </w:pPr>
            <w:r>
              <w:rPr>
                <w:rFonts w:hint="eastAsia" w:asciiTheme="minorEastAsia" w:hAnsiTheme="minorEastAsia" w:eastAsiaTheme="minorEastAsia"/>
                <w:color w:val="auto"/>
                <w:sz w:val="24"/>
              </w:rPr>
              <w:t>（3）该项目中标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pStyle w:val="13"/>
              <w:spacing w:line="360" w:lineRule="auto"/>
              <w:ind w:firstLine="0"/>
              <w:rPr>
                <w:rFonts w:asciiTheme="minorEastAsia" w:hAnsiTheme="minorEastAsia" w:eastAsiaTheme="minorEastAsia"/>
                <w:color w:val="auto"/>
                <w:sz w:val="24"/>
              </w:rPr>
            </w:pPr>
            <w:r>
              <w:rPr>
                <w:rFonts w:hint="eastAsia" w:asciiTheme="minorEastAsia" w:hAnsiTheme="minorEastAsia" w:eastAsiaTheme="minorEastAsia"/>
                <w:color w:val="auto"/>
                <w:sz w:val="24"/>
              </w:rPr>
              <w:t>（4）质疑、投诉人未按前列序号第9、10条规定进行质疑、投诉（申诉）、举报等，均属于扰乱政府采购市场不良行为，直至公示。</w:t>
            </w:r>
          </w:p>
          <w:p>
            <w:pPr>
              <w:pStyle w:val="13"/>
              <w:spacing w:line="360" w:lineRule="auto"/>
              <w:ind w:firstLine="0"/>
              <w:rPr>
                <w:rFonts w:hAnsi="宋体"/>
                <w:b/>
                <w:color w:val="auto"/>
                <w:sz w:val="24"/>
              </w:rPr>
            </w:pPr>
            <w:r>
              <w:rPr>
                <w:rFonts w:hint="eastAsia" w:hAnsi="宋体"/>
                <w:b/>
                <w:color w:val="auto"/>
                <w:sz w:val="24"/>
              </w:rPr>
              <w:t>（5）本项目共7个标项，投标供应商根据自己的技术和商务优势可对全部或部分标项进行投标,且必须以标项为单位分别编写投标文件，分别装订，分别包装。但不得只对标项中部分采购内容进行投标。</w:t>
            </w:r>
          </w:p>
          <w:p>
            <w:pPr>
              <w:pStyle w:val="13"/>
              <w:spacing w:line="360" w:lineRule="auto"/>
              <w:ind w:firstLine="0"/>
              <w:rPr>
                <w:rFonts w:hAnsi="宋体"/>
                <w:b/>
                <w:color w:val="auto"/>
                <w:sz w:val="24"/>
              </w:rPr>
            </w:pPr>
            <w:r>
              <w:rPr>
                <w:rFonts w:hint="eastAsia" w:hAnsi="宋体" w:cs="宋体"/>
                <w:b/>
                <w:color w:val="auto"/>
                <w:sz w:val="24"/>
              </w:rPr>
              <w:t>（6）为保证检测服务工作形成良性竞争机制，供应商能按时保质保量完成各检测任务，本项目特对中标标项数量做如下规定：投标供应商在参加本项目投标时最多只能中标1个标项，如投标供应商综合得分排名一个以上标项第一位的，应由供应商代表当场确定特定标项作为其中标标项，同时自动放弃其他标项的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tabs>
                <w:tab w:val="left" w:pos="378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pStyle w:val="13"/>
              <w:spacing w:line="360" w:lineRule="auto"/>
              <w:ind w:firstLine="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中小企业信用融资：</w:t>
            </w:r>
          </w:p>
          <w:p>
            <w:pPr>
              <w:pStyle w:val="13"/>
              <w:spacing w:line="360" w:lineRule="auto"/>
              <w:ind w:firstLine="0"/>
              <w:rPr>
                <w:rFonts w:asciiTheme="minorEastAsia" w:hAnsiTheme="minorEastAsia" w:eastAsiaTheme="minorEastAsia"/>
                <w:b/>
                <w:color w:val="auto"/>
                <w:sz w:val="24"/>
                <w:szCs w:val="24"/>
              </w:rPr>
            </w:pPr>
            <w:r>
              <w:rPr>
                <w:rFonts w:hint="eastAsia" w:hAnsi="宋体"/>
                <w:color w:val="auto"/>
                <w:sz w:val="24"/>
                <w:szCs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55" w:type="dxa"/>
            <w:tcBorders>
              <w:top w:val="single" w:color="000000" w:sz="2" w:space="0"/>
              <w:left w:val="single" w:color="000000" w:sz="8" w:space="0"/>
              <w:bottom w:val="single" w:color="000000" w:sz="2" w:space="0"/>
              <w:right w:val="single" w:color="000000" w:sz="2" w:space="0"/>
            </w:tcBorders>
            <w:vAlign w:val="center"/>
          </w:tcPr>
          <w:p>
            <w:pPr>
              <w:tabs>
                <w:tab w:val="left" w:pos="3780"/>
              </w:tabs>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8763" w:type="dxa"/>
            <w:gridSpan w:val="2"/>
            <w:tcBorders>
              <w:top w:val="single" w:color="000000" w:sz="2" w:space="0"/>
              <w:left w:val="single" w:color="000000" w:sz="2" w:space="0"/>
              <w:bottom w:val="single" w:color="000000" w:sz="2" w:space="0"/>
              <w:right w:val="single" w:color="000000" w:sz="8" w:space="0"/>
            </w:tcBorders>
            <w:vAlign w:val="center"/>
          </w:tcPr>
          <w:p>
            <w:pPr>
              <w:pStyle w:val="13"/>
              <w:spacing w:line="360" w:lineRule="auto"/>
              <w:ind w:firstLine="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企业信用查询：</w:t>
            </w:r>
          </w:p>
          <w:p>
            <w:pPr>
              <w:pStyle w:val="13"/>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为落实《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投标截止时间当日通过“信用中国”网站（www.creditchina.gov.cn）、中国政府采购网（www.ccgp.gov.cn）等渠道查询本项目投标供应商信用记录。被列入失信被执行人、重大税收违法案件当事人名单、政府采购严重违法失信行为记录名单及其他不符合《中华人民共和国政府采购法》第二十二条规定条件的供应商将被拒绝参与本次政府采购活动。两个以上的自然人、法人或者其他组织组成一个联合体，以一个供应商的身份共同参加政府采购活动的，若联合体成员存在不良信用记录的，视同联合体存在不良信用记录。</w:t>
            </w:r>
          </w:p>
        </w:tc>
      </w:tr>
    </w:tbl>
    <w:p>
      <w:pPr>
        <w:tabs>
          <w:tab w:val="left" w:pos="720"/>
        </w:tabs>
        <w:snapToGrid w:val="0"/>
        <w:spacing w:line="360" w:lineRule="auto"/>
        <w:rPr>
          <w:rFonts w:cs="仿宋_GB2312" w:asciiTheme="minorEastAsia" w:hAnsiTheme="minorEastAsia" w:eastAsiaTheme="minorEastAsia"/>
          <w:sz w:val="24"/>
          <w:szCs w:val="24"/>
          <w:lang w:val="zh-CN"/>
        </w:rPr>
      </w:pPr>
    </w:p>
    <w:p>
      <w:pPr>
        <w:pStyle w:val="4"/>
        <w:jc w:val="center"/>
        <w:rPr>
          <w:rFonts w:asciiTheme="minorEastAsia" w:hAnsiTheme="minorEastAsia" w:eastAsiaTheme="minorEastAsia"/>
          <w:szCs w:val="24"/>
        </w:rPr>
      </w:pPr>
      <w:r>
        <w:rPr>
          <w:rFonts w:hint="eastAsia" w:cs="仿宋_GB2312" w:asciiTheme="minorEastAsia" w:hAnsiTheme="minorEastAsia" w:eastAsiaTheme="minorEastAsia"/>
          <w:b w:val="0"/>
          <w:szCs w:val="24"/>
          <w:lang w:val="en-US"/>
        </w:rPr>
        <w:br w:type="page"/>
      </w:r>
      <w:bookmarkStart w:id="39" w:name="_Toc18238"/>
      <w:r>
        <w:rPr>
          <w:rFonts w:hint="eastAsia" w:asciiTheme="minorEastAsia" w:hAnsiTheme="minorEastAsia" w:eastAsiaTheme="minorEastAsia"/>
          <w:szCs w:val="24"/>
        </w:rPr>
        <w:t>一、总 则</w:t>
      </w:r>
      <w:bookmarkEnd w:id="36"/>
      <w:bookmarkEnd w:id="39"/>
    </w:p>
    <w:p>
      <w:pPr>
        <w:pStyle w:val="21"/>
        <w:adjustRightInd w:val="0"/>
        <w:snapToGrid w:val="0"/>
        <w:spacing w:line="360" w:lineRule="auto"/>
        <w:rPr>
          <w:rFonts w:asciiTheme="minorEastAsia" w:hAnsiTheme="minorEastAsia" w:eastAsiaTheme="minorEastAsia"/>
          <w:b/>
          <w:sz w:val="24"/>
          <w:szCs w:val="24"/>
        </w:rPr>
      </w:pPr>
      <w:bookmarkStart w:id="40" w:name="_Hlt74714665"/>
      <w:bookmarkEnd w:id="40"/>
      <w:bookmarkStart w:id="41" w:name="_Hlt74730295"/>
      <w:bookmarkEnd w:id="41"/>
      <w:bookmarkStart w:id="42" w:name="_Toc91899872"/>
      <w:bookmarkStart w:id="43" w:name="_Hlt74730112"/>
      <w:bookmarkStart w:id="44" w:name="_Hlt74730208"/>
      <w:r>
        <w:rPr>
          <w:rFonts w:hint="eastAsia" w:asciiTheme="minorEastAsia" w:hAnsiTheme="minorEastAsia" w:eastAsiaTheme="minorEastAsia"/>
          <w:b/>
          <w:sz w:val="24"/>
          <w:szCs w:val="24"/>
        </w:rPr>
        <w:t>1</w:t>
      </w:r>
      <w:r>
        <w:rPr>
          <w:rFonts w:hint="eastAsia" w:asciiTheme="minorEastAsia" w:hAnsiTheme="minorEastAsia" w:eastAsiaTheme="minorEastAsia"/>
          <w:b/>
          <w:kern w:val="0"/>
          <w:sz w:val="24"/>
          <w:szCs w:val="24"/>
          <w:lang w:val="zh-CN"/>
        </w:rPr>
        <w:t xml:space="preserve">. </w:t>
      </w:r>
      <w:r>
        <w:rPr>
          <w:rFonts w:hint="eastAsia" w:asciiTheme="minorEastAsia" w:hAnsiTheme="minorEastAsia" w:eastAsiaTheme="minorEastAsia"/>
          <w:b/>
          <w:sz w:val="24"/>
          <w:szCs w:val="24"/>
        </w:rPr>
        <w:t>项目说明</w:t>
      </w:r>
      <w:bookmarkEnd w:id="42"/>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1.1项目说明见投标须知前附表(以下称“前附表”)第1项所述。</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1.2杭州市市场监督管理局为本项目的采购人(合同中的甲方)，浙江中诺招标代理有限公司为采购代理机构，</w:t>
      </w:r>
      <w:r>
        <w:rPr>
          <w:rFonts w:hint="eastAsia" w:asciiTheme="minorEastAsia" w:hAnsiTheme="minorEastAsia" w:eastAsiaTheme="minorEastAsia"/>
          <w:sz w:val="24"/>
          <w:szCs w:val="24"/>
          <w:lang w:eastAsia="zh-CN"/>
        </w:rPr>
        <w:t>杭州市财政局</w:t>
      </w:r>
      <w:r>
        <w:rPr>
          <w:rFonts w:hint="eastAsia" w:asciiTheme="minorEastAsia" w:hAnsiTheme="minorEastAsia" w:eastAsiaTheme="minorEastAsia"/>
          <w:sz w:val="24"/>
          <w:szCs w:val="24"/>
        </w:rPr>
        <w:t>为政府采购监督管理部门，自愿参加本次项目投标的</w:t>
      </w:r>
      <w:r>
        <w:rPr>
          <w:rFonts w:hint="eastAsia" w:cs="宋体" w:asciiTheme="minorEastAsia" w:hAnsiTheme="minorEastAsia" w:eastAsiaTheme="minorEastAsia"/>
          <w:sz w:val="24"/>
          <w:szCs w:val="24"/>
        </w:rPr>
        <w:t>法人、其他组织</w:t>
      </w:r>
      <w:r>
        <w:rPr>
          <w:rFonts w:hint="eastAsia" w:asciiTheme="minorEastAsia" w:hAnsiTheme="minorEastAsia" w:eastAsiaTheme="minorEastAsia"/>
          <w:sz w:val="24"/>
          <w:szCs w:val="24"/>
        </w:rPr>
        <w:t>为投标人，经评审产生并经批准</w:t>
      </w:r>
      <w:bookmarkStart w:id="98" w:name="_GoBack"/>
      <w:bookmarkEnd w:id="98"/>
      <w:r>
        <w:rPr>
          <w:rFonts w:hint="eastAsia" w:asciiTheme="minorEastAsia" w:hAnsiTheme="minorEastAsia" w:eastAsiaTheme="minorEastAsia"/>
          <w:sz w:val="24"/>
          <w:szCs w:val="24"/>
        </w:rPr>
        <w:t>的投标人为中标人，签订合同后的中标人为供应商(合同中的乙方)。</w:t>
      </w:r>
    </w:p>
    <w:p>
      <w:pPr>
        <w:adjustRightInd w:val="0"/>
        <w:snapToGrid w:val="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sz w:val="24"/>
          <w:szCs w:val="24"/>
        </w:rPr>
        <w:t>1.3潜在投标人领取招标文件后，必须按照国家《保密法》以及保密工作的相关规定，对招标文件内容应</w:t>
      </w:r>
      <w:r>
        <w:rPr>
          <w:rFonts w:hint="eastAsia" w:asciiTheme="minorEastAsia" w:hAnsiTheme="minorEastAsia" w:eastAsiaTheme="minorEastAsia"/>
          <w:kern w:val="0"/>
          <w:sz w:val="24"/>
          <w:szCs w:val="24"/>
        </w:rPr>
        <w:t>承担保密义务，</w:t>
      </w:r>
      <w:r>
        <w:rPr>
          <w:rFonts w:hint="eastAsia" w:asciiTheme="minorEastAsia" w:hAnsiTheme="minorEastAsia" w:eastAsiaTheme="minorEastAsia"/>
          <w:sz w:val="24"/>
          <w:szCs w:val="24"/>
        </w:rPr>
        <w:t>维护采购人的权益，</w:t>
      </w:r>
      <w:r>
        <w:rPr>
          <w:rFonts w:hint="eastAsia" w:asciiTheme="minorEastAsia" w:hAnsiTheme="minorEastAsia" w:eastAsiaTheme="minorEastAsia"/>
          <w:kern w:val="0"/>
          <w:sz w:val="24"/>
          <w:szCs w:val="24"/>
        </w:rPr>
        <w:t>发生</w:t>
      </w:r>
      <w:r>
        <w:rPr>
          <w:rFonts w:hint="eastAsia" w:asciiTheme="minorEastAsia" w:hAnsiTheme="minorEastAsia" w:eastAsiaTheme="minorEastAsia"/>
          <w:sz w:val="24"/>
          <w:szCs w:val="24"/>
        </w:rPr>
        <w:t>窃、泄密事件潜在投标人</w:t>
      </w:r>
      <w:r>
        <w:rPr>
          <w:rFonts w:hint="eastAsia" w:asciiTheme="minorEastAsia" w:hAnsiTheme="minorEastAsia" w:eastAsiaTheme="minorEastAsia"/>
          <w:kern w:val="0"/>
          <w:sz w:val="24"/>
          <w:szCs w:val="24"/>
        </w:rPr>
        <w:t>应承担相应的法律责任。</w:t>
      </w:r>
    </w:p>
    <w:p>
      <w:pPr>
        <w:tabs>
          <w:tab w:val="left" w:pos="378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1.4投标人一旦参与本次招标活动，即被视为接受了本招标文件的所有内容，如有任何异议，均已在答疑截止时间前提出。</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1.5投标人须对所投方案、技术、服务等拥有</w:t>
      </w:r>
      <w:r>
        <w:rPr>
          <w:rFonts w:hint="eastAsia" w:cs="Vrinda" w:asciiTheme="minorEastAsia" w:hAnsiTheme="minorEastAsia" w:eastAsiaTheme="minorEastAsia"/>
          <w:sz w:val="24"/>
          <w:szCs w:val="24"/>
        </w:rPr>
        <w:t>合法的占有和处置权，并对涉及项目的</w:t>
      </w:r>
      <w:r>
        <w:rPr>
          <w:rFonts w:hint="eastAsia" w:asciiTheme="minorEastAsia" w:hAnsiTheme="minorEastAsia" w:eastAsiaTheme="minorEastAsia"/>
          <w:sz w:val="24"/>
          <w:szCs w:val="24"/>
        </w:rPr>
        <w:t>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Theme="minorEastAsia" w:hAnsiTheme="minorEastAsia" w:eastAsiaTheme="minorEastAsia"/>
          <w:kern w:val="0"/>
          <w:sz w:val="24"/>
          <w:szCs w:val="24"/>
          <w:lang w:val="zh-CN"/>
        </w:rPr>
        <w:t>供应商</w:t>
      </w:r>
      <w:r>
        <w:rPr>
          <w:rFonts w:hint="eastAsia" w:asciiTheme="minorEastAsia" w:hAnsiTheme="minorEastAsia" w:eastAsiaTheme="minorEastAsia"/>
          <w:sz w:val="24"/>
          <w:szCs w:val="24"/>
        </w:rPr>
        <w:t>应承担相应后果，</w:t>
      </w:r>
      <w:r>
        <w:rPr>
          <w:rFonts w:hint="eastAsia" w:asciiTheme="minorEastAsia" w:hAnsiTheme="minorEastAsia" w:eastAsiaTheme="minorEastAsia"/>
          <w:kern w:val="0"/>
          <w:sz w:val="24"/>
          <w:szCs w:val="24"/>
          <w:lang w:val="zh-CN"/>
        </w:rPr>
        <w:t>并负责赔偿。</w:t>
      </w:r>
      <w:r>
        <w:rPr>
          <w:rFonts w:hint="eastAsia" w:asciiTheme="minorEastAsia" w:hAnsiTheme="minorEastAsia" w:eastAsiaTheme="minorEastAsia"/>
          <w:sz w:val="24"/>
          <w:szCs w:val="24"/>
        </w:rPr>
        <w:t>供应商为执行本项目合同而提供的技术资料等归采购人所有。</w:t>
      </w:r>
    </w:p>
    <w:p>
      <w:pPr>
        <w:pStyle w:val="21"/>
        <w:adjustRightInd w:val="0"/>
        <w:snapToGrid w:val="0"/>
        <w:spacing w:line="360" w:lineRule="auto"/>
        <w:rPr>
          <w:rFonts w:asciiTheme="minorEastAsia" w:hAnsiTheme="minorEastAsia" w:eastAsiaTheme="minorEastAsia"/>
          <w:b/>
          <w:sz w:val="24"/>
          <w:szCs w:val="24"/>
        </w:rPr>
      </w:pPr>
      <w:bookmarkStart w:id="45" w:name="_Toc91899873"/>
      <w:r>
        <w:rPr>
          <w:rFonts w:hint="eastAsia" w:asciiTheme="minorEastAsia" w:hAnsiTheme="minorEastAsia" w:eastAsiaTheme="minorEastAsia"/>
          <w:b/>
          <w:sz w:val="24"/>
          <w:szCs w:val="24"/>
        </w:rPr>
        <w:t>2</w:t>
      </w:r>
      <w:r>
        <w:rPr>
          <w:rFonts w:hint="eastAsia" w:asciiTheme="minorEastAsia" w:hAnsiTheme="minorEastAsia" w:eastAsiaTheme="minorEastAsia"/>
          <w:b/>
          <w:kern w:val="0"/>
          <w:sz w:val="24"/>
          <w:szCs w:val="24"/>
          <w:lang w:val="zh-CN"/>
        </w:rPr>
        <w:t xml:space="preserve">. </w:t>
      </w:r>
      <w:r>
        <w:rPr>
          <w:rFonts w:hint="eastAsia" w:asciiTheme="minorEastAsia" w:hAnsiTheme="minorEastAsia" w:eastAsiaTheme="minorEastAsia"/>
          <w:b/>
          <w:sz w:val="24"/>
          <w:szCs w:val="24"/>
        </w:rPr>
        <w:t>采购方式</w:t>
      </w:r>
      <w:bookmarkEnd w:id="45"/>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公开招标。</w:t>
      </w:r>
      <w:bookmarkEnd w:id="43"/>
      <w:bookmarkEnd w:id="44"/>
      <w:bookmarkStart w:id="46" w:name="_Hlt74388212"/>
      <w:bookmarkEnd w:id="46"/>
      <w:bookmarkStart w:id="47" w:name="_Hlt68516771"/>
      <w:bookmarkEnd w:id="47"/>
    </w:p>
    <w:p>
      <w:pPr>
        <w:adjustRightInd w:val="0"/>
        <w:snapToGrid w:val="0"/>
        <w:spacing w:line="360" w:lineRule="auto"/>
        <w:rPr>
          <w:rFonts w:asciiTheme="minorEastAsia" w:hAnsiTheme="minorEastAsia" w:eastAsiaTheme="minorEastAsia"/>
          <w:b/>
          <w:sz w:val="24"/>
          <w:szCs w:val="24"/>
        </w:rPr>
      </w:pPr>
      <w:bookmarkStart w:id="48" w:name="_Hlt74730301"/>
      <w:bookmarkStart w:id="49" w:name="_Toc91899876"/>
      <w:r>
        <w:rPr>
          <w:rFonts w:hint="eastAsia" w:asciiTheme="minorEastAsia" w:hAnsiTheme="minorEastAsia" w:eastAsiaTheme="minorEastAsia"/>
          <w:b/>
          <w:sz w:val="24"/>
          <w:szCs w:val="24"/>
        </w:rPr>
        <w:t>3</w:t>
      </w:r>
      <w:bookmarkEnd w:id="48"/>
      <w:bookmarkEnd w:id="49"/>
      <w:bookmarkStart w:id="50" w:name="_Hlt74730303"/>
      <w:bookmarkStart w:id="51" w:name="_Toc91899877"/>
      <w:r>
        <w:rPr>
          <w:rFonts w:hint="eastAsia" w:asciiTheme="minorEastAsia" w:hAnsiTheme="minorEastAsia" w:eastAsiaTheme="minorEastAsia"/>
          <w:b/>
          <w:kern w:val="0"/>
          <w:sz w:val="24"/>
          <w:szCs w:val="24"/>
          <w:lang w:val="zh-CN"/>
        </w:rPr>
        <w:t>. 定义</w:t>
      </w:r>
    </w:p>
    <w:p>
      <w:pPr>
        <w:adjustRightInd w:val="0"/>
        <w:snapToGri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b/>
          <w:kern w:val="0"/>
          <w:sz w:val="24"/>
          <w:szCs w:val="24"/>
          <w:lang w:val="zh-CN"/>
        </w:rPr>
        <w:t>3.1  合格的投标人应具备的资格要求，</w:t>
      </w:r>
      <w:r>
        <w:rPr>
          <w:rFonts w:hint="eastAsia" w:asciiTheme="minorEastAsia" w:hAnsiTheme="minorEastAsia" w:eastAsiaTheme="minorEastAsia"/>
          <w:kern w:val="0"/>
          <w:sz w:val="24"/>
          <w:szCs w:val="24"/>
          <w:lang w:val="zh-CN"/>
        </w:rPr>
        <w:t>见招标文件第一部分“招标公告”第3条。</w:t>
      </w:r>
    </w:p>
    <w:p>
      <w:pPr>
        <w:tabs>
          <w:tab w:val="left" w:pos="0"/>
        </w:tabs>
        <w:autoSpaceDE w:val="0"/>
        <w:autoSpaceDN w:val="0"/>
        <w:adjustRightIn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b/>
          <w:sz w:val="24"/>
          <w:szCs w:val="24"/>
        </w:rPr>
        <w:t>3.2   服务</w:t>
      </w:r>
    </w:p>
    <w:p>
      <w:pPr>
        <w:snapToGrid w:val="0"/>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系指合同规定中标人须承担杭州市市场监督管理局2021年上半年食品生产环节监督抽检项目及相关服务等义务。</w:t>
      </w:r>
    </w:p>
    <w:p>
      <w:pPr>
        <w:pStyle w:val="21"/>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4</w:t>
      </w:r>
      <w:r>
        <w:rPr>
          <w:rFonts w:hint="eastAsia" w:asciiTheme="minorEastAsia" w:hAnsiTheme="minorEastAsia" w:eastAsiaTheme="minorEastAsia"/>
          <w:b/>
          <w:kern w:val="0"/>
          <w:sz w:val="24"/>
          <w:szCs w:val="24"/>
          <w:lang w:val="zh-CN"/>
        </w:rPr>
        <w:t>.</w:t>
      </w:r>
      <w:bookmarkEnd w:id="50"/>
      <w:bookmarkEnd w:id="51"/>
      <w:r>
        <w:rPr>
          <w:rFonts w:hint="eastAsia" w:asciiTheme="minorEastAsia" w:hAnsiTheme="minorEastAsia" w:eastAsiaTheme="minorEastAsia"/>
          <w:b/>
          <w:sz w:val="24"/>
          <w:szCs w:val="24"/>
        </w:rPr>
        <w:t xml:space="preserve"> 招标代理费用</w:t>
      </w:r>
    </w:p>
    <w:p>
      <w:pPr>
        <w:adjustRightInd w:val="0"/>
        <w:snapToGrid w:val="0"/>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本项目的采购代理费由中标人支付。计费标准：</w:t>
      </w:r>
    </w:p>
    <w:p>
      <w:pPr>
        <w:adjustRightInd w:val="0"/>
        <w:snapToGrid w:val="0"/>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以标项中标金额为计费基准，按《计价格［2002］1980号》及《发改办价格［2003］857号》规定的收费标准下浮20%计取。</w:t>
      </w:r>
    </w:p>
    <w:p>
      <w:pPr>
        <w:adjustRightInd w:val="0"/>
        <w:snapToGrid w:val="0"/>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按差额定率累进制计算,具体标准为:</w:t>
      </w:r>
    </w:p>
    <w:p>
      <w:pPr>
        <w:adjustRightInd w:val="0"/>
        <w:snapToGrid w:val="0"/>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中标金额为100万元及以下：中标金额×1.2%；</w:t>
      </w:r>
    </w:p>
    <w:p>
      <w:pPr>
        <w:adjustRightInd w:val="0"/>
        <w:snapToGrid w:val="0"/>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中标金额为100～500万元：100万×1.2%+(中标金额-100万)×0.88%。</w:t>
      </w:r>
    </w:p>
    <w:p>
      <w:pPr>
        <w:adjustRightInd w:val="0"/>
        <w:snapToGrid w:val="0"/>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中标金额为500～1000万元：100万×1.2%+(500万-100万)×0.88%+(中标金额-500万)×0.64%。</w:t>
      </w:r>
    </w:p>
    <w:p>
      <w:pPr>
        <w:snapToGrid w:val="0"/>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napToGrid w:val="0"/>
          <w:kern w:val="0"/>
          <w:sz w:val="24"/>
          <w:szCs w:val="24"/>
        </w:rPr>
        <w:t>结算方式及时间为：在领取中标通知书时由中标人一次性向采购代理机构付清。</w:t>
      </w:r>
    </w:p>
    <w:p>
      <w:pPr>
        <w:adjustRightInd w:val="0"/>
        <w:snapToGrid w:val="0"/>
        <w:spacing w:line="360" w:lineRule="auto"/>
        <w:rPr>
          <w:rFonts w:asciiTheme="minorEastAsia" w:hAnsiTheme="minorEastAsia" w:eastAsiaTheme="minorEastAsia"/>
          <w:sz w:val="24"/>
          <w:szCs w:val="24"/>
        </w:rPr>
      </w:pPr>
      <w:bookmarkStart w:id="52" w:name="_Hlt74707468"/>
      <w:bookmarkEnd w:id="52"/>
      <w:bookmarkStart w:id="53" w:name="_Hlt68072990"/>
      <w:bookmarkEnd w:id="53"/>
      <w:bookmarkStart w:id="54" w:name="_Hlt68057669"/>
      <w:bookmarkEnd w:id="54"/>
      <w:bookmarkStart w:id="55" w:name="_Hlt75236290"/>
      <w:bookmarkEnd w:id="55"/>
      <w:bookmarkStart w:id="56" w:name="_Hlt74729768"/>
      <w:bookmarkEnd w:id="56"/>
      <w:bookmarkStart w:id="57" w:name="_Toc91899879"/>
    </w:p>
    <w:bookmarkEnd w:id="57"/>
    <w:p>
      <w:pPr>
        <w:pStyle w:val="4"/>
        <w:jc w:val="center"/>
        <w:rPr>
          <w:rFonts w:asciiTheme="minorEastAsia" w:hAnsiTheme="minorEastAsia" w:eastAsiaTheme="minorEastAsia"/>
          <w:szCs w:val="24"/>
        </w:rPr>
      </w:pPr>
      <w:bookmarkStart w:id="58" w:name="_Toc18624"/>
      <w:r>
        <w:rPr>
          <w:rFonts w:hint="eastAsia" w:asciiTheme="minorEastAsia" w:hAnsiTheme="minorEastAsia" w:eastAsiaTheme="minorEastAsia"/>
          <w:szCs w:val="24"/>
        </w:rPr>
        <w:t>二、招标文件</w:t>
      </w:r>
      <w:bookmarkEnd w:id="58"/>
    </w:p>
    <w:p>
      <w:pPr>
        <w:pStyle w:val="21"/>
        <w:adjustRightInd w:val="0"/>
        <w:snapToGrid w:val="0"/>
        <w:spacing w:line="360" w:lineRule="auto"/>
        <w:rPr>
          <w:rFonts w:asciiTheme="minorEastAsia" w:hAnsiTheme="minorEastAsia" w:eastAsiaTheme="minorEastAsia"/>
          <w:b/>
          <w:sz w:val="24"/>
          <w:szCs w:val="24"/>
        </w:rPr>
      </w:pPr>
      <w:bookmarkStart w:id="59" w:name="_Toc91899880"/>
      <w:bookmarkStart w:id="60" w:name="_Hlt74730307"/>
      <w:r>
        <w:rPr>
          <w:rFonts w:hint="eastAsia" w:asciiTheme="minorEastAsia" w:hAnsiTheme="minorEastAsia" w:eastAsiaTheme="minorEastAsia"/>
          <w:b/>
          <w:sz w:val="24"/>
          <w:szCs w:val="24"/>
        </w:rPr>
        <w:t>5</w:t>
      </w:r>
      <w:r>
        <w:rPr>
          <w:rFonts w:hint="eastAsia" w:asciiTheme="minorEastAsia" w:hAnsiTheme="minorEastAsia" w:eastAsiaTheme="minorEastAsia"/>
          <w:b/>
          <w:kern w:val="0"/>
          <w:sz w:val="24"/>
          <w:szCs w:val="24"/>
          <w:lang w:val="zh-CN"/>
        </w:rPr>
        <w:t xml:space="preserve">. </w:t>
      </w:r>
      <w:r>
        <w:rPr>
          <w:rFonts w:hint="eastAsia" w:asciiTheme="minorEastAsia" w:hAnsiTheme="minorEastAsia" w:eastAsiaTheme="minorEastAsia"/>
          <w:b/>
          <w:sz w:val="24"/>
          <w:szCs w:val="24"/>
        </w:rPr>
        <w:t>招标文件的构成</w:t>
      </w:r>
      <w:bookmarkEnd w:id="59"/>
    </w:p>
    <w:bookmarkEnd w:id="60"/>
    <w:p>
      <w:pPr>
        <w:pStyle w:val="21"/>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5.1  招标文件包括下列文件及附件</w:t>
      </w:r>
    </w:p>
    <w:p>
      <w:pPr>
        <w:pStyle w:val="21"/>
        <w:numPr>
          <w:ilvl w:val="0"/>
          <w:numId w:val="1"/>
        </w:numPr>
        <w:tabs>
          <w:tab w:val="clear" w:pos="840"/>
        </w:tabs>
        <w:adjustRightInd w:val="0"/>
        <w:snapToGrid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招标公告</w:t>
      </w:r>
    </w:p>
    <w:p>
      <w:pPr>
        <w:pStyle w:val="21"/>
        <w:numPr>
          <w:ilvl w:val="0"/>
          <w:numId w:val="1"/>
        </w:numPr>
        <w:tabs>
          <w:tab w:val="clear" w:pos="840"/>
        </w:tabs>
        <w:adjustRightInd w:val="0"/>
        <w:snapToGrid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编制和提交采购响应文件须知</w:t>
      </w:r>
    </w:p>
    <w:p>
      <w:pPr>
        <w:pStyle w:val="21"/>
        <w:numPr>
          <w:ilvl w:val="0"/>
          <w:numId w:val="1"/>
        </w:numPr>
        <w:tabs>
          <w:tab w:val="clear" w:pos="840"/>
        </w:tabs>
        <w:adjustRightInd w:val="0"/>
        <w:snapToGrid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项目技术规范和服务要求</w:t>
      </w:r>
    </w:p>
    <w:p>
      <w:pPr>
        <w:pStyle w:val="21"/>
        <w:numPr>
          <w:ilvl w:val="0"/>
          <w:numId w:val="1"/>
        </w:numPr>
        <w:tabs>
          <w:tab w:val="clear" w:pos="840"/>
        </w:tabs>
        <w:adjustRightInd w:val="0"/>
        <w:snapToGrid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采购合同的一般和特殊条款</w:t>
      </w:r>
    </w:p>
    <w:p>
      <w:pPr>
        <w:pStyle w:val="21"/>
        <w:numPr>
          <w:ilvl w:val="0"/>
          <w:numId w:val="1"/>
        </w:numPr>
        <w:tabs>
          <w:tab w:val="clear" w:pos="840"/>
        </w:tabs>
        <w:adjustRightInd w:val="0"/>
        <w:snapToGrid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应提交的有关格式范例</w:t>
      </w:r>
    </w:p>
    <w:p>
      <w:pPr>
        <w:pStyle w:val="21"/>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5.2  投标人应认真审阅招标文件中所有的内容，包括编制和提交采购响应文件须知、项目技术规范和服务要求、采购合同的一般和特殊条款、应提交的有关格式范例等。如果投标人编制的投标文件没有从实质上响应招标文件的要求，其投标文件将被采购代理机构拒绝。</w:t>
      </w:r>
    </w:p>
    <w:p>
      <w:pPr>
        <w:pStyle w:val="21"/>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hint="eastAsia" w:asciiTheme="minorEastAsia" w:hAnsiTheme="minorEastAsia" w:eastAsiaTheme="minorEastAsia"/>
          <w:b/>
          <w:kern w:val="0"/>
          <w:sz w:val="24"/>
          <w:szCs w:val="24"/>
          <w:lang w:val="zh-CN"/>
        </w:rPr>
        <w:t xml:space="preserve">. </w:t>
      </w:r>
      <w:r>
        <w:rPr>
          <w:rFonts w:hint="eastAsia" w:asciiTheme="minorEastAsia" w:hAnsiTheme="minorEastAsia" w:eastAsiaTheme="minorEastAsia"/>
          <w:b/>
          <w:sz w:val="24"/>
          <w:szCs w:val="24"/>
        </w:rPr>
        <w:t>招标文件的解释</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6.1已获取招标文件的潜在投标人，若有问题需要澄清，应于法定截止期限前，以书面形式送达采购代理机构（浙江中诺招标代理有限公司，地址：杭州市下城区环城北路141号永通信息广场西写字楼10楼)，采购单位与采购代理机构研究后，将以书面解答形式通知所有招标文件收受人。</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 xml:space="preserve">6.2  </w:t>
      </w:r>
      <w:r>
        <w:rPr>
          <w:rFonts w:hint="eastAsia" w:asciiTheme="minorEastAsia" w:hAnsiTheme="minorEastAsia" w:eastAsiaTheme="minorEastAsia"/>
          <w:kern w:val="0"/>
          <w:szCs w:val="24"/>
        </w:rPr>
        <w:t>招标文件</w:t>
      </w:r>
      <w:r>
        <w:rPr>
          <w:rFonts w:hint="eastAsia" w:asciiTheme="minorEastAsia" w:hAnsiTheme="minorEastAsia" w:eastAsiaTheme="minorEastAsia"/>
          <w:szCs w:val="24"/>
        </w:rPr>
        <w:t>领取</w:t>
      </w:r>
      <w:r>
        <w:rPr>
          <w:rFonts w:hint="eastAsia" w:asciiTheme="minorEastAsia" w:hAnsiTheme="minorEastAsia" w:eastAsiaTheme="minorEastAsia"/>
          <w:kern w:val="0"/>
          <w:szCs w:val="24"/>
        </w:rPr>
        <w:t>截止时间之后获取招标文件的潜在供应商，如对招标文件有异议，</w:t>
      </w:r>
      <w:r>
        <w:rPr>
          <w:rFonts w:hint="eastAsia" w:asciiTheme="minorEastAsia" w:hAnsiTheme="minorEastAsia" w:eastAsiaTheme="minorEastAsia"/>
          <w:szCs w:val="24"/>
        </w:rPr>
        <w:t>采购单位和</w:t>
      </w:r>
      <w:r>
        <w:rPr>
          <w:rFonts w:hint="eastAsia" w:asciiTheme="minorEastAsia" w:hAnsiTheme="minorEastAsia" w:eastAsiaTheme="minorEastAsia"/>
          <w:kern w:val="0"/>
          <w:szCs w:val="24"/>
        </w:rPr>
        <w:t>采购代理机构将不予受理和答复。</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6.3  不论采购代理机构向投标人发送的资料文件，还是投标人提出的问题，均采用书面形式，任何口头提问及答复一律无效。</w:t>
      </w:r>
    </w:p>
    <w:p>
      <w:pPr>
        <w:pStyle w:val="21"/>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hint="eastAsia" w:asciiTheme="minorEastAsia" w:hAnsiTheme="minorEastAsia" w:eastAsiaTheme="minorEastAsia"/>
          <w:b/>
          <w:kern w:val="0"/>
          <w:sz w:val="24"/>
          <w:szCs w:val="24"/>
          <w:lang w:val="zh-CN"/>
        </w:rPr>
        <w:t xml:space="preserve">. </w:t>
      </w:r>
      <w:r>
        <w:rPr>
          <w:rFonts w:hint="eastAsia" w:asciiTheme="minorEastAsia" w:hAnsiTheme="minorEastAsia" w:eastAsiaTheme="minorEastAsia"/>
          <w:b/>
          <w:sz w:val="24"/>
          <w:szCs w:val="24"/>
        </w:rPr>
        <w:t>招标文件的修改</w:t>
      </w:r>
    </w:p>
    <w:p>
      <w:pPr>
        <w:adjustRightInd w:val="0"/>
        <w:snapToGrid w:val="0"/>
        <w:spacing w:line="360" w:lineRule="auto"/>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7.1 在投标截止期前，由于各种原因，不论是自己主动提出还是答复投标人的澄清要求，采购人可能会</w:t>
      </w:r>
      <w:r>
        <w:rPr>
          <w:rFonts w:hint="eastAsia" w:asciiTheme="minorEastAsia" w:hAnsiTheme="minorEastAsia" w:eastAsiaTheme="minorEastAsia"/>
          <w:bCs/>
          <w:sz w:val="24"/>
        </w:rPr>
        <w:t>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p>
    <w:p>
      <w:pPr>
        <w:adjustRightInd w:val="0"/>
        <w:snapToGrid w:val="0"/>
        <w:spacing w:line="360" w:lineRule="auto"/>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7.2 招标文件的修改将以书面形式，包括邮寄、传真和电传，通知所有购买招标文件的投标人，并对其具有约束力并同时在</w:t>
      </w:r>
      <w:r>
        <w:rPr>
          <w:rFonts w:hint="eastAsia" w:asciiTheme="minorEastAsia" w:hAnsiTheme="minorEastAsia" w:eastAsiaTheme="minorEastAsia"/>
          <w:bCs/>
          <w:sz w:val="24"/>
        </w:rPr>
        <w:t>财政部门指定的政府采购信息发布媒体上发布更正公告</w:t>
      </w:r>
      <w:r>
        <w:rPr>
          <w:rFonts w:hint="eastAsia" w:asciiTheme="minorEastAsia" w:hAnsiTheme="minorEastAsia" w:eastAsiaTheme="minorEastAsia"/>
          <w:snapToGrid w:val="0"/>
          <w:kern w:val="0"/>
          <w:sz w:val="24"/>
        </w:rPr>
        <w:t>。投标人在收到上述通知后，应在24小时内向采购代理机构回函确认。</w:t>
      </w:r>
    </w:p>
    <w:p>
      <w:pPr>
        <w:adjustRightInd w:val="0"/>
        <w:snapToGrid w:val="0"/>
        <w:spacing w:line="360" w:lineRule="auto"/>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7.3 采购代理机构</w:t>
      </w:r>
      <w:r>
        <w:rPr>
          <w:rFonts w:hint="eastAsia" w:asciiTheme="minorEastAsia" w:hAnsiTheme="minorEastAsia" w:eastAsiaTheme="minorEastAsia"/>
          <w:bCs/>
          <w:sz w:val="24"/>
        </w:rPr>
        <w:t>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adjustRightInd w:val="0"/>
        <w:snapToGrid w:val="0"/>
        <w:spacing w:line="360" w:lineRule="auto"/>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7.4招标文件澄清、答复、修改、补充的内容为招标文件的组成部分。当招标文件与招标文件的答复、澄清、修改、补充通知就同一内容的表述不一致时，以最后发出的书面文件为准。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360" w:lineRule="auto"/>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7.5招标文件的澄清、答复、修改或补充都应该通过本代理机构以法定形式发布，除此以外的发布不属于招标文件的组成部分。</w:t>
      </w:r>
    </w:p>
    <w:p>
      <w:pPr>
        <w:adjustRightInd w:val="0"/>
        <w:snapToGrid w:val="0"/>
        <w:spacing w:line="360" w:lineRule="auto"/>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7.6在招标文件发售截止后，经采购人同意购买招标文件的投标人不得对招标文件及其补充文件提出答疑或质疑。</w:t>
      </w:r>
    </w:p>
    <w:p>
      <w:pPr>
        <w:pStyle w:val="73"/>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8</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投标报价</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8.1  标的物</w:t>
      </w:r>
    </w:p>
    <w:p>
      <w:pPr>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sz w:val="24"/>
          <w:szCs w:val="24"/>
        </w:rPr>
        <w:t>杭州市市场监督管理局2021年上半年食品生产环节监督抽检项目，</w:t>
      </w:r>
      <w:r>
        <w:rPr>
          <w:rFonts w:hint="eastAsia" w:asciiTheme="minorEastAsia" w:hAnsiTheme="minorEastAsia" w:eastAsiaTheme="minorEastAsia"/>
          <w:kern w:val="0"/>
          <w:sz w:val="24"/>
          <w:szCs w:val="24"/>
          <w:lang w:val="zh-CN"/>
        </w:rPr>
        <w:t>详见第三部分——</w:t>
      </w:r>
      <w:r>
        <w:rPr>
          <w:rFonts w:hint="eastAsia" w:asciiTheme="minorEastAsia" w:hAnsiTheme="minorEastAsia" w:eastAsiaTheme="minorEastAsia"/>
          <w:sz w:val="24"/>
          <w:szCs w:val="24"/>
        </w:rPr>
        <w:t>项目技术规范和服务要求。</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8.2  报价</w:t>
      </w:r>
    </w:p>
    <w:p>
      <w:pPr>
        <w:adjustRightInd w:val="0"/>
        <w:snapToGrid w:val="0"/>
        <w:spacing w:line="360" w:lineRule="auto"/>
        <w:ind w:firstLine="482"/>
        <w:rPr>
          <w:rFonts w:asciiTheme="minorEastAsia" w:hAnsiTheme="minorEastAsia" w:eastAsiaTheme="minorEastAsia"/>
          <w:sz w:val="24"/>
          <w:szCs w:val="24"/>
        </w:rPr>
      </w:pPr>
      <w:r>
        <w:rPr>
          <w:rFonts w:hint="eastAsia" w:asciiTheme="minorEastAsia" w:hAnsiTheme="minorEastAsia" w:eastAsiaTheme="minorEastAsia"/>
          <w:kern w:val="0"/>
          <w:sz w:val="24"/>
          <w:szCs w:val="24"/>
          <w:lang w:val="zh-CN"/>
        </w:rPr>
        <w:t>有关本项目所需的</w:t>
      </w:r>
      <w:r>
        <w:rPr>
          <w:rFonts w:hint="eastAsia" w:cs="仿宋_GB2312" w:asciiTheme="minorEastAsia" w:hAnsiTheme="minorEastAsia" w:eastAsiaTheme="minorEastAsia"/>
          <w:sz w:val="24"/>
          <w:szCs w:val="24"/>
        </w:rPr>
        <w:t>抽查检验费、买样费、交通费和税金等一切与本项目实施的费用均计入报价。</w:t>
      </w:r>
      <w:r>
        <w:rPr>
          <w:rFonts w:hint="eastAsia" w:cs="仿宋_GB2312" w:asciiTheme="minorEastAsia" w:hAnsiTheme="minorEastAsia" w:eastAsiaTheme="minorEastAsia"/>
          <w:b/>
          <w:sz w:val="24"/>
          <w:szCs w:val="24"/>
        </w:rPr>
        <w:t>本项目投标总报价仅用于评审，最终根据中标单位实际抽样、检测批次数量及检测项目以投标单价结算。</w:t>
      </w:r>
      <w:r>
        <w:rPr>
          <w:rFonts w:hint="eastAsia" w:asciiTheme="minorEastAsia" w:hAnsiTheme="minorEastAsia" w:eastAsiaTheme="minorEastAsia"/>
          <w:b/>
          <w:sz w:val="24"/>
          <w:szCs w:val="24"/>
        </w:rPr>
        <w:t>《投标(开标)一览表》是报价的唯一载体。</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8.3  其他费用处理</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招标文件未列明，而投标人认为必需的费用也需列入报价。</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8.4投标货币</w:t>
      </w:r>
    </w:p>
    <w:p>
      <w:pPr>
        <w:pStyle w:val="18"/>
        <w:autoSpaceDE/>
        <w:autoSpaceDN/>
        <w:snapToGrid w:val="0"/>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投标文件中价格全部采用人民币报价。报价应是唯一的，采购代理机构将不接受有选择的报价。</w:t>
      </w:r>
    </w:p>
    <w:p>
      <w:pPr>
        <w:pStyle w:val="18"/>
        <w:autoSpaceDE/>
        <w:autoSpaceDN/>
        <w:snapToGrid w:val="0"/>
        <w:ind w:firstLine="480" w:firstLineChars="200"/>
        <w:rPr>
          <w:rFonts w:asciiTheme="minorEastAsia" w:hAnsiTheme="minorEastAsia" w:eastAsiaTheme="minorEastAsia"/>
          <w:szCs w:val="24"/>
        </w:rPr>
      </w:pPr>
    </w:p>
    <w:p>
      <w:pPr>
        <w:pStyle w:val="4"/>
        <w:jc w:val="center"/>
        <w:rPr>
          <w:rFonts w:asciiTheme="minorEastAsia" w:hAnsiTheme="minorEastAsia" w:eastAsiaTheme="minorEastAsia"/>
          <w:szCs w:val="24"/>
        </w:rPr>
      </w:pPr>
      <w:bookmarkStart w:id="61" w:name="_Hlt75236011"/>
      <w:bookmarkEnd w:id="61"/>
      <w:bookmarkStart w:id="62" w:name="_Toc91899884"/>
      <w:bookmarkStart w:id="63" w:name="_Toc28089"/>
      <w:r>
        <w:rPr>
          <w:rFonts w:hint="eastAsia" w:asciiTheme="minorEastAsia" w:hAnsiTheme="minorEastAsia" w:eastAsiaTheme="minorEastAsia"/>
          <w:szCs w:val="24"/>
        </w:rPr>
        <w:t>三、投标文件的编制</w:t>
      </w:r>
      <w:bookmarkEnd w:id="62"/>
      <w:bookmarkEnd w:id="63"/>
    </w:p>
    <w:p>
      <w:pPr>
        <w:pStyle w:val="73"/>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9</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投标文件的语言</w:t>
      </w:r>
    </w:p>
    <w:p>
      <w:pPr>
        <w:adjustRightInd w:val="0"/>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rPr>
        <w:t>投标文件及投标人与采购有关的来往通知、函件和文件均应使用中文。</w:t>
      </w:r>
    </w:p>
    <w:p>
      <w:pPr>
        <w:pStyle w:val="73"/>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10</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投标文件的组成</w:t>
      </w:r>
    </w:p>
    <w:p>
      <w:pPr>
        <w:pStyle w:val="21"/>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kern w:val="0"/>
          <w:sz w:val="24"/>
          <w:szCs w:val="24"/>
        </w:rPr>
        <w:t>本项目投标文件应当包括以下主要内容：</w:t>
      </w:r>
      <w:r>
        <w:rPr>
          <w:rFonts w:hint="eastAsia" w:hAnsi="宋体" w:cs="宋体"/>
          <w:b/>
          <w:sz w:val="24"/>
        </w:rPr>
        <w:t>资格文件[</w:t>
      </w:r>
      <w:r>
        <w:rPr>
          <w:rFonts w:hint="eastAsia" w:hAnsi="宋体" w:cs="宋体"/>
          <w:kern w:val="0"/>
          <w:sz w:val="24"/>
        </w:rPr>
        <w:t>证明其符合《中华人民共和国政府采购法》规定的供应商基本条件和采购项目对供应商的特定条件</w:t>
      </w:r>
      <w:r>
        <w:rPr>
          <w:rFonts w:hint="eastAsia" w:hAnsi="宋体" w:cs="宋体"/>
          <w:sz w:val="24"/>
        </w:rPr>
        <w:t>（如果项目要求）</w:t>
      </w:r>
      <w:r>
        <w:rPr>
          <w:rFonts w:hint="eastAsia" w:hAnsi="宋体" w:cs="宋体"/>
          <w:kern w:val="0"/>
          <w:sz w:val="24"/>
        </w:rPr>
        <w:t>的有关资格证明文件</w:t>
      </w:r>
      <w:r>
        <w:rPr>
          <w:rFonts w:hint="eastAsia" w:hAnsi="宋体" w:cs="宋体"/>
          <w:bCs/>
          <w:kern w:val="0"/>
          <w:sz w:val="24"/>
        </w:rPr>
        <w:t>]</w:t>
      </w:r>
      <w:r>
        <w:rPr>
          <w:rFonts w:hint="eastAsia" w:hAnsi="宋体" w:cs="宋体"/>
          <w:b/>
          <w:kern w:val="0"/>
          <w:sz w:val="24"/>
        </w:rPr>
        <w:t>，</w:t>
      </w:r>
      <w:r>
        <w:rPr>
          <w:rFonts w:hint="eastAsia" w:asciiTheme="minorEastAsia" w:hAnsiTheme="minorEastAsia" w:eastAsiaTheme="minorEastAsia"/>
          <w:b/>
          <w:sz w:val="24"/>
          <w:szCs w:val="24"/>
        </w:rPr>
        <w:t>商务报价文件</w:t>
      </w:r>
      <w:r>
        <w:rPr>
          <w:rFonts w:hint="eastAsia" w:asciiTheme="minorEastAsia" w:hAnsiTheme="minorEastAsia" w:eastAsiaTheme="minorEastAsia"/>
          <w:sz w:val="24"/>
          <w:szCs w:val="24"/>
        </w:rPr>
        <w:t>[</w:t>
      </w:r>
      <w:r>
        <w:rPr>
          <w:rFonts w:hint="eastAsia" w:asciiTheme="minorEastAsia" w:hAnsiTheme="minorEastAsia" w:eastAsiaTheme="minorEastAsia"/>
          <w:kern w:val="0"/>
          <w:sz w:val="24"/>
          <w:szCs w:val="24"/>
        </w:rPr>
        <w:t>投标响应函和</w:t>
      </w:r>
      <w:r>
        <w:rPr>
          <w:rFonts w:hint="eastAsia" w:asciiTheme="minorEastAsia" w:hAnsiTheme="minorEastAsia" w:eastAsiaTheme="minorEastAsia"/>
          <w:sz w:val="24"/>
          <w:szCs w:val="24"/>
        </w:rPr>
        <w:t>投标（开标）一览表、</w:t>
      </w:r>
      <w:r>
        <w:rPr>
          <w:rFonts w:hint="eastAsia" w:asciiTheme="minorEastAsia" w:hAnsiTheme="minorEastAsia" w:eastAsiaTheme="minorEastAsia"/>
          <w:kern w:val="0"/>
          <w:sz w:val="24"/>
          <w:szCs w:val="24"/>
          <w:lang w:val="zh-CN"/>
        </w:rPr>
        <w:t>投标报价明细清单</w:t>
      </w:r>
      <w:r>
        <w:rPr>
          <w:rFonts w:hint="eastAsia" w:asciiTheme="minorEastAsia" w:hAnsiTheme="minorEastAsia" w:eastAsiaTheme="minorEastAsia"/>
          <w:sz w:val="24"/>
          <w:szCs w:val="24"/>
        </w:rPr>
        <w:t>]</w:t>
      </w:r>
      <w:r>
        <w:rPr>
          <w:rFonts w:hint="eastAsia" w:asciiTheme="minorEastAsia" w:hAnsiTheme="minorEastAsia" w:eastAsiaTheme="minorEastAsia"/>
          <w:kern w:val="0"/>
          <w:sz w:val="24"/>
          <w:szCs w:val="24"/>
        </w:rPr>
        <w:t>，</w:t>
      </w:r>
      <w:r>
        <w:rPr>
          <w:rFonts w:hint="eastAsia" w:asciiTheme="minorEastAsia" w:hAnsiTheme="minorEastAsia" w:eastAsiaTheme="minorEastAsia"/>
          <w:b/>
          <w:sz w:val="24"/>
          <w:szCs w:val="24"/>
        </w:rPr>
        <w:t>技术文件</w:t>
      </w:r>
      <w:r>
        <w:rPr>
          <w:rFonts w:hint="eastAsia" w:asciiTheme="minorEastAsia" w:hAnsiTheme="minorEastAsia" w:eastAsiaTheme="minorEastAsia"/>
          <w:sz w:val="24"/>
          <w:szCs w:val="24"/>
        </w:rPr>
        <w:t>（</w:t>
      </w:r>
      <w:r>
        <w:rPr>
          <w:rFonts w:hint="eastAsia" w:asciiTheme="minorEastAsia" w:hAnsiTheme="minorEastAsia" w:eastAsiaTheme="minorEastAsia"/>
          <w:kern w:val="0"/>
          <w:sz w:val="24"/>
          <w:szCs w:val="24"/>
        </w:rPr>
        <w:t>针对本项目的技术和服务响应方案，招标文件要求提供的其他资料），</w:t>
      </w:r>
      <w:r>
        <w:rPr>
          <w:rFonts w:hint="eastAsia" w:asciiTheme="minorEastAsia" w:hAnsiTheme="minorEastAsia" w:eastAsiaTheme="minorEastAsia"/>
          <w:b/>
          <w:sz w:val="24"/>
          <w:szCs w:val="24"/>
        </w:rPr>
        <w:t>商务文件</w:t>
      </w:r>
      <w:r>
        <w:rPr>
          <w:rFonts w:hint="eastAsia" w:asciiTheme="minorEastAsia" w:hAnsiTheme="minorEastAsia" w:eastAsiaTheme="minorEastAsia"/>
          <w:sz w:val="24"/>
          <w:szCs w:val="24"/>
        </w:rPr>
        <w:t>（</w:t>
      </w:r>
      <w:r>
        <w:rPr>
          <w:rFonts w:hint="eastAsia" w:asciiTheme="minorEastAsia" w:hAnsiTheme="minorEastAsia" w:eastAsiaTheme="minorEastAsia"/>
          <w:kern w:val="0"/>
          <w:sz w:val="24"/>
          <w:szCs w:val="24"/>
        </w:rPr>
        <w:t>证明其为合格供应商和所提供的为合格产品的有关资格证明文件，招标文件要求提供的其他资料）</w:t>
      </w:r>
      <w:r>
        <w:rPr>
          <w:rFonts w:hint="eastAsia" w:asciiTheme="minorEastAsia" w:hAnsiTheme="minorEastAsia" w:eastAsiaTheme="minorEastAsia"/>
          <w:sz w:val="24"/>
          <w:szCs w:val="24"/>
        </w:rPr>
        <w:t>组成。</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rPr>
        <w:t xml:space="preserve">10.1 </w:t>
      </w:r>
      <w:r>
        <w:rPr>
          <w:rFonts w:hint="eastAsia" w:asciiTheme="minorEastAsia" w:hAnsiTheme="minorEastAsia" w:eastAsiaTheme="minorEastAsia"/>
          <w:kern w:val="0"/>
          <w:sz w:val="24"/>
          <w:szCs w:val="24"/>
          <w:lang w:val="zh-CN"/>
        </w:rPr>
        <w:t>投标人的</w:t>
      </w:r>
      <w:r>
        <w:rPr>
          <w:rFonts w:hint="eastAsia" w:hAnsi="宋体" w:cs="宋体"/>
          <w:b/>
          <w:sz w:val="24"/>
        </w:rPr>
        <w:t>资格文件</w:t>
      </w:r>
      <w:r>
        <w:rPr>
          <w:rFonts w:hint="eastAsia" w:asciiTheme="minorEastAsia" w:hAnsiTheme="minorEastAsia" w:eastAsiaTheme="minorEastAsia"/>
          <w:kern w:val="0"/>
          <w:sz w:val="24"/>
          <w:szCs w:val="24"/>
          <w:lang w:val="zh-CN"/>
        </w:rPr>
        <w:t>至少应包括以下内容（均需加盖公章）</w:t>
      </w:r>
    </w:p>
    <w:p>
      <w:pPr>
        <w:pStyle w:val="21"/>
        <w:spacing w:line="360" w:lineRule="auto"/>
        <w:ind w:firstLine="480" w:firstLineChars="200"/>
        <w:rPr>
          <w:rFonts w:hAnsi="宋体" w:cs="宋体"/>
          <w:sz w:val="24"/>
        </w:rPr>
      </w:pPr>
      <w:r>
        <w:rPr>
          <w:rFonts w:hint="eastAsia" w:hAnsi="宋体" w:cs="宋体"/>
          <w:sz w:val="24"/>
        </w:rPr>
        <w:t>（1）营业执照(或事业法人登记证或其他工商等登记证明材料)复印件（投标人为自然人的，提供</w:t>
      </w:r>
      <w:r>
        <w:rPr>
          <w:rFonts w:hint="eastAsia" w:hAnsi="宋体" w:cs="宋体"/>
          <w:kern w:val="0"/>
          <w:sz w:val="24"/>
        </w:rPr>
        <w:t>自然人的身份证明</w:t>
      </w:r>
      <w:r>
        <w:rPr>
          <w:rFonts w:hint="eastAsia" w:hAnsi="宋体" w:cs="宋体"/>
          <w:sz w:val="24"/>
        </w:rPr>
        <w:t>）、税务登记证(</w:t>
      </w:r>
      <w:r>
        <w:rPr>
          <w:rFonts w:hint="eastAsia" w:hAnsi="宋体" w:cs="宋体"/>
          <w:kern w:val="0"/>
          <w:sz w:val="24"/>
        </w:rPr>
        <w:t>或其他依法缴纳税收的相关材料</w:t>
      </w:r>
      <w:r>
        <w:rPr>
          <w:rFonts w:hint="eastAsia" w:hAnsi="宋体" w:cs="宋体"/>
          <w:sz w:val="24"/>
        </w:rPr>
        <w:t>)复印件、社保登记证（</w:t>
      </w:r>
      <w:r>
        <w:rPr>
          <w:rFonts w:hint="eastAsia" w:hAnsi="宋体" w:cs="宋体"/>
          <w:kern w:val="0"/>
          <w:sz w:val="24"/>
        </w:rPr>
        <w:t>或其他依法缴纳社会保障资金的相关材料</w:t>
      </w:r>
      <w:r>
        <w:rPr>
          <w:rFonts w:hint="eastAsia" w:hAnsi="宋体" w:cs="宋体"/>
          <w:sz w:val="24"/>
        </w:rPr>
        <w:t>）复印件；实施“多证合一、一照一码”登记制度改革的，只需提供改革后取得的营业执照复印件；</w:t>
      </w:r>
    </w:p>
    <w:p>
      <w:pPr>
        <w:pStyle w:val="21"/>
        <w:spacing w:line="360" w:lineRule="auto"/>
        <w:ind w:firstLine="480" w:firstLineChars="200"/>
        <w:rPr>
          <w:rFonts w:hAnsi="宋体" w:cs="宋体"/>
          <w:sz w:val="24"/>
        </w:rPr>
      </w:pPr>
      <w:r>
        <w:rPr>
          <w:rFonts w:hint="eastAsia" w:hAnsi="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ascii="宋体" w:hAnsi="宋体" w:cs="宋体"/>
          <w:sz w:val="24"/>
        </w:rPr>
      </w:pPr>
      <w:r>
        <w:rPr>
          <w:rFonts w:hint="eastAsia" w:ascii="宋体" w:hAnsi="宋体" w:cs="宋体"/>
          <w:kern w:val="0"/>
          <w:sz w:val="24"/>
          <w:szCs w:val="24"/>
          <w:lang w:val="zh-CN"/>
        </w:rPr>
        <w:t>（2）</w:t>
      </w:r>
      <w:r>
        <w:rPr>
          <w:rFonts w:hint="eastAsia" w:ascii="宋体" w:hAnsi="宋体" w:cs="宋体"/>
          <w:sz w:val="24"/>
        </w:rPr>
        <w:t>上一年度资产负债表等财务报表资料文件 (或其他</w:t>
      </w:r>
      <w:r>
        <w:rPr>
          <w:rFonts w:hint="eastAsia" w:ascii="宋体" w:hAnsi="宋体" w:cs="宋体"/>
          <w:kern w:val="0"/>
          <w:sz w:val="24"/>
        </w:rPr>
        <w:t>财务状况报告，</w:t>
      </w:r>
      <w:r>
        <w:rPr>
          <w:rFonts w:hint="eastAsia" w:ascii="宋体" w:hAnsi="宋体" w:cs="宋体"/>
          <w:sz w:val="24"/>
        </w:rPr>
        <w:t>新成立的公司，必须提供情况说明)；</w:t>
      </w:r>
    </w:p>
    <w:p>
      <w:pPr>
        <w:pStyle w:val="21"/>
        <w:spacing w:line="360" w:lineRule="auto"/>
        <w:ind w:firstLine="480" w:firstLineChars="200"/>
        <w:rPr>
          <w:rFonts w:hAnsi="宋体" w:cs="宋体"/>
          <w:sz w:val="24"/>
        </w:rPr>
      </w:pPr>
      <w:r>
        <w:rPr>
          <w:rFonts w:hint="eastAsia" w:hAnsi="宋体" w:cs="宋体"/>
          <w:kern w:val="0"/>
          <w:sz w:val="24"/>
          <w:szCs w:val="24"/>
          <w:lang w:val="zh-CN"/>
        </w:rPr>
        <w:t>（3）</w:t>
      </w:r>
      <w:r>
        <w:rPr>
          <w:rFonts w:hint="eastAsia" w:hAnsi="宋体" w:cs="宋体"/>
          <w:sz w:val="24"/>
        </w:rPr>
        <w:t>具有履行合同所必需的设备和专业技术能力的承诺函；</w:t>
      </w:r>
    </w:p>
    <w:p>
      <w:pPr>
        <w:pStyle w:val="21"/>
        <w:spacing w:line="360" w:lineRule="auto"/>
        <w:ind w:firstLine="480" w:firstLineChars="200"/>
        <w:rPr>
          <w:rFonts w:hAnsi="宋体" w:cs="宋体" w:eastAsiaTheme="minorEastAsia"/>
          <w:sz w:val="24"/>
        </w:rPr>
      </w:pPr>
      <w:r>
        <w:rPr>
          <w:rFonts w:hint="eastAsia" w:hAnsi="宋体" w:cs="宋体"/>
          <w:sz w:val="24"/>
        </w:rPr>
        <w:t>（4）</w:t>
      </w:r>
      <w:r>
        <w:rPr>
          <w:rFonts w:hint="eastAsia" w:asciiTheme="minorEastAsia" w:hAnsiTheme="minorEastAsia" w:eastAsiaTheme="minorEastAsia"/>
          <w:sz w:val="24"/>
          <w:szCs w:val="24"/>
        </w:rPr>
        <w:t>有依法缴纳税收和社会保障资金的良好记录的证明材料；</w:t>
      </w:r>
    </w:p>
    <w:p>
      <w:pPr>
        <w:spacing w:line="360" w:lineRule="auto"/>
        <w:ind w:firstLine="480" w:firstLineChars="200"/>
        <w:rPr>
          <w:rFonts w:ascii="宋体" w:hAnsi="宋体" w:cs="宋体"/>
          <w:sz w:val="24"/>
        </w:rPr>
      </w:pPr>
      <w:r>
        <w:rPr>
          <w:rFonts w:hint="eastAsia" w:ascii="宋体" w:hAnsi="宋体" w:cs="宋体"/>
          <w:kern w:val="0"/>
          <w:sz w:val="24"/>
          <w:szCs w:val="24"/>
          <w:lang w:val="zh-CN"/>
        </w:rPr>
        <w:t>（</w:t>
      </w:r>
      <w:r>
        <w:rPr>
          <w:rFonts w:hint="eastAsia" w:ascii="宋体" w:hAnsi="宋体" w:cs="宋体"/>
          <w:kern w:val="0"/>
          <w:sz w:val="24"/>
          <w:szCs w:val="24"/>
        </w:rPr>
        <w:t>5</w:t>
      </w:r>
      <w:r>
        <w:rPr>
          <w:rFonts w:hint="eastAsia" w:ascii="宋体" w:hAnsi="宋体" w:cs="宋体"/>
          <w:kern w:val="0"/>
          <w:sz w:val="24"/>
          <w:szCs w:val="24"/>
          <w:lang w:val="zh-CN"/>
        </w:rPr>
        <w:t>）</w:t>
      </w:r>
      <w:r>
        <w:rPr>
          <w:rFonts w:hint="eastAsia" w:ascii="宋体" w:hAnsi="宋体" w:cs="宋体"/>
          <w:sz w:val="24"/>
        </w:rPr>
        <w:t>参加政府采购活动前三年内，在经营活动中没有重大违法记录的声明；</w:t>
      </w:r>
    </w:p>
    <w:p>
      <w:pPr>
        <w:spacing w:line="360" w:lineRule="auto"/>
        <w:ind w:firstLine="480" w:firstLineChars="200"/>
        <w:rPr>
          <w:rFonts w:ascii="宋体" w:hAnsi="宋体" w:cs="宋体"/>
          <w:sz w:val="24"/>
        </w:rPr>
      </w:pPr>
      <w:r>
        <w:rPr>
          <w:rFonts w:hint="eastAsia" w:ascii="宋体" w:hAnsi="宋体" w:cs="宋体"/>
          <w:kern w:val="0"/>
          <w:sz w:val="24"/>
          <w:szCs w:val="24"/>
          <w:lang w:val="zh-CN"/>
        </w:rPr>
        <w:t>（</w:t>
      </w:r>
      <w:r>
        <w:rPr>
          <w:rFonts w:hint="eastAsia" w:ascii="宋体" w:hAnsi="宋体" w:cs="宋体"/>
          <w:kern w:val="0"/>
          <w:sz w:val="24"/>
          <w:szCs w:val="24"/>
        </w:rPr>
        <w:t>6</w:t>
      </w:r>
      <w:r>
        <w:rPr>
          <w:rFonts w:hint="eastAsia" w:ascii="宋体" w:hAnsi="宋体" w:cs="宋体"/>
          <w:kern w:val="0"/>
          <w:sz w:val="24"/>
          <w:szCs w:val="24"/>
          <w:lang w:val="zh-CN"/>
        </w:rPr>
        <w:t>）</w:t>
      </w:r>
      <w:r>
        <w:rPr>
          <w:rFonts w:hint="eastAsia" w:ascii="宋体" w:hAnsi="宋体" w:cs="宋体"/>
          <w:sz w:val="24"/>
        </w:rPr>
        <w:t xml:space="preserve">具有良好商业信誉的特别声明； </w:t>
      </w:r>
    </w:p>
    <w:p>
      <w:pPr>
        <w:snapToGrid w:val="0"/>
        <w:spacing w:line="360" w:lineRule="auto"/>
        <w:ind w:firstLine="480" w:firstLineChars="200"/>
        <w:rPr>
          <w:rFonts w:ascii="宋体" w:hAnsi="宋体" w:cs="宋体"/>
          <w:sz w:val="24"/>
        </w:rPr>
      </w:pPr>
      <w:r>
        <w:rPr>
          <w:rFonts w:hint="eastAsia" w:ascii="宋体" w:hAnsi="宋体" w:cs="宋体"/>
          <w:kern w:val="0"/>
          <w:sz w:val="24"/>
          <w:szCs w:val="24"/>
          <w:lang w:val="zh-CN"/>
        </w:rPr>
        <w:t>（</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sz w:val="24"/>
        </w:rPr>
        <w:t>符合特定资格条件（如果项目要求）的有关证明材料（复印件）；</w:t>
      </w:r>
    </w:p>
    <w:p>
      <w:pPr>
        <w:pStyle w:val="21"/>
        <w:adjustRightInd w:val="0"/>
        <w:snapToGrid w:val="0"/>
        <w:spacing w:line="360" w:lineRule="auto"/>
        <w:ind w:firstLine="480" w:firstLineChars="200"/>
        <w:rPr>
          <w:rFonts w:hAnsi="宋体" w:cs="宋体"/>
          <w:sz w:val="24"/>
        </w:rPr>
      </w:pPr>
      <w:r>
        <w:rPr>
          <w:rFonts w:hint="eastAsia" w:hAnsi="宋体" w:cs="宋体"/>
          <w:sz w:val="24"/>
        </w:rPr>
        <w:t>附法定代表人授权书（如法定代表人直接参加投标并对相应文件签字的，只需提供其身份证复印件正反面；如以联合体形式参加政府采购活动的，按招标文件有关格式范例提供联合体投标授权书）。</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10.1 投标人的</w:t>
      </w:r>
      <w:r>
        <w:rPr>
          <w:rFonts w:hint="eastAsia" w:asciiTheme="minorEastAsia" w:hAnsiTheme="minorEastAsia" w:eastAsiaTheme="minorEastAsia"/>
          <w:b/>
          <w:kern w:val="0"/>
          <w:sz w:val="24"/>
          <w:szCs w:val="24"/>
          <w:lang w:val="zh-CN"/>
        </w:rPr>
        <w:t>商务报价文件</w:t>
      </w:r>
      <w:r>
        <w:rPr>
          <w:rFonts w:hint="eastAsia" w:asciiTheme="minorEastAsia" w:hAnsiTheme="minorEastAsia" w:eastAsiaTheme="minorEastAsia"/>
          <w:kern w:val="0"/>
          <w:sz w:val="24"/>
          <w:szCs w:val="24"/>
          <w:lang w:val="zh-CN"/>
        </w:rPr>
        <w:t>至少应包括以下内容（均需加盖公章）：</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（1）投标响应函；</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（2）投标(开标)一览表；</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（3）投标报价明细清单。</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10.2  投标人</w:t>
      </w:r>
      <w:r>
        <w:rPr>
          <w:rFonts w:hint="eastAsia" w:asciiTheme="minorEastAsia" w:hAnsiTheme="minorEastAsia" w:eastAsiaTheme="minorEastAsia"/>
          <w:b/>
          <w:kern w:val="0"/>
          <w:sz w:val="24"/>
          <w:szCs w:val="24"/>
          <w:lang w:val="zh-CN"/>
        </w:rPr>
        <w:t>技术文件</w:t>
      </w:r>
      <w:r>
        <w:rPr>
          <w:rFonts w:hint="eastAsia" w:asciiTheme="minorEastAsia" w:hAnsiTheme="minorEastAsia" w:eastAsiaTheme="minorEastAsia"/>
          <w:kern w:val="0"/>
          <w:sz w:val="24"/>
          <w:szCs w:val="24"/>
          <w:lang w:val="zh-CN"/>
        </w:rPr>
        <w:t>应至少包括：针对本项目的技术和服务响应方案，招标文件要求提供的其他资料等（均需加盖公章）。</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（1）单位基本情况；</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（2）详细阐述抽检工作实施方案，包括时间进度安排、抽检方法、抽检标准、人员安排；</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（3）技术响应表</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（4）拥有设备资源情况（须提供相关证明）；</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（5）对本项目服务工作的质量标准、质量保证；</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（6）服务计划和承诺；</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 xml:space="preserve">（7）投标人认为需要提供的其他技术文件或说明。 </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10.3  投标人的</w:t>
      </w:r>
      <w:r>
        <w:rPr>
          <w:rFonts w:hint="eastAsia" w:asciiTheme="minorEastAsia" w:hAnsiTheme="minorEastAsia" w:eastAsiaTheme="minorEastAsia"/>
          <w:b/>
          <w:kern w:val="0"/>
          <w:sz w:val="24"/>
          <w:szCs w:val="24"/>
          <w:lang w:val="zh-CN"/>
        </w:rPr>
        <w:t>商务文件</w:t>
      </w:r>
      <w:r>
        <w:rPr>
          <w:rFonts w:hint="eastAsia" w:asciiTheme="minorEastAsia" w:hAnsiTheme="minorEastAsia" w:eastAsiaTheme="minorEastAsia"/>
          <w:kern w:val="0"/>
          <w:sz w:val="24"/>
          <w:szCs w:val="24"/>
          <w:lang w:val="zh-CN"/>
        </w:rPr>
        <w:t>至少应包括：证明其为合格供应商的有关资格证明文件，招标文件要求提供的其他资料等（均需加盖公章）。</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（1）法人授权委托书，法定代表人及授权委托人的身份证（复印件）；</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（2）投标保证金（银行缴款凭证复印件）；</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（3）声明书；</w:t>
      </w:r>
    </w:p>
    <w:p>
      <w:pPr>
        <w:pStyle w:val="21"/>
        <w:spacing w:line="360" w:lineRule="auto"/>
        <w:ind w:firstLine="480" w:firstLineChars="200"/>
        <w:rPr>
          <w:rFonts w:hAnsi="宋体" w:cs="宋体"/>
          <w:sz w:val="24"/>
        </w:rPr>
      </w:pPr>
      <w:r>
        <w:rPr>
          <w:rFonts w:hint="eastAsia" w:asciiTheme="minorEastAsia" w:hAnsiTheme="minorEastAsia" w:eastAsiaTheme="minorEastAsia"/>
          <w:kern w:val="0"/>
          <w:sz w:val="24"/>
          <w:szCs w:val="24"/>
          <w:lang w:val="zh-CN"/>
        </w:rPr>
        <w:t>（4）</w:t>
      </w:r>
      <w:r>
        <w:rPr>
          <w:rFonts w:hint="eastAsia" w:hAnsi="宋体" w:cs="宋体"/>
          <w:sz w:val="24"/>
        </w:rPr>
        <w:t>营业执照(或事业法人登记证或其他工商等登记证明材料)复印件（投标人为自然人的，提供</w:t>
      </w:r>
      <w:r>
        <w:rPr>
          <w:rFonts w:hint="eastAsia" w:hAnsi="宋体" w:cs="宋体"/>
          <w:kern w:val="0"/>
          <w:sz w:val="24"/>
        </w:rPr>
        <w:t>自然人的身份证明</w:t>
      </w:r>
      <w:r>
        <w:rPr>
          <w:rFonts w:hint="eastAsia" w:hAnsi="宋体" w:cs="宋体"/>
          <w:sz w:val="24"/>
        </w:rPr>
        <w:t>）、税务登记证(</w:t>
      </w:r>
      <w:r>
        <w:rPr>
          <w:rFonts w:hint="eastAsia" w:hAnsi="宋体" w:cs="宋体"/>
          <w:kern w:val="0"/>
          <w:sz w:val="24"/>
        </w:rPr>
        <w:t>或其他依法缴纳税收的相关材料</w:t>
      </w:r>
      <w:r>
        <w:rPr>
          <w:rFonts w:hint="eastAsia" w:hAnsi="宋体" w:cs="宋体"/>
          <w:sz w:val="24"/>
        </w:rPr>
        <w:t>)复印件、社保登记证（</w:t>
      </w:r>
      <w:r>
        <w:rPr>
          <w:rFonts w:hint="eastAsia" w:hAnsi="宋体" w:cs="宋体"/>
          <w:kern w:val="0"/>
          <w:sz w:val="24"/>
        </w:rPr>
        <w:t>或其他依法缴纳社会保障资金的相关材料</w:t>
      </w:r>
      <w:r>
        <w:rPr>
          <w:rFonts w:hint="eastAsia" w:hAnsi="宋体" w:cs="宋体"/>
          <w:sz w:val="24"/>
        </w:rPr>
        <w:t>）复印件；实施“多证合一、一照一码”登记制度改革的，只需提供改革后取得的营业执照复印件；</w:t>
      </w:r>
    </w:p>
    <w:p>
      <w:pPr>
        <w:pStyle w:val="21"/>
        <w:spacing w:line="360" w:lineRule="auto"/>
        <w:ind w:firstLine="480" w:firstLineChars="200"/>
        <w:rPr>
          <w:rFonts w:hAnsi="宋体" w:cs="宋体"/>
          <w:sz w:val="24"/>
        </w:rPr>
      </w:pPr>
      <w:r>
        <w:rPr>
          <w:rFonts w:hint="eastAsia" w:hAnsi="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（5）项目所需的资质文件（经国家认证认可监督管理部门或者省质量技术监督部门计量认证合格证明文件、相应类别的国家相关行政主管部门颁发的所抽查检验对象的专项抽查检验资质文件等）；</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6）业绩证明，近三年以来投标人承担类似项目情况，（成功案例需提供合同复印件或采购单位出具的验收报告并加盖公章，（以签订时间为准，采购代理机构在项目评审直至合同签订、履约期间，有权要求投标人出具投标文件中的主要业绩证明原件：如合同或用户验收报告等，予以确认其的真实性和有效性，如出现与事实不符等情况，将根据有关规定以“提供虚假材料谋取中标”予以处罚），是否有良好的工作业绩和履约记录等情况；如投标人提供的合同复印件等实施项目证明材料与投标主体无关或违规转包分包的，评标委员会将进行扣分直至认定投标无效；</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(7)廉政承诺书；</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(8)关于对招标文件中有关条款的拒绝声明(如果有)；</w:t>
      </w:r>
    </w:p>
    <w:p>
      <w:pPr>
        <w:pStyle w:val="21"/>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(9)投标人认为需要的其他商务文件或说明。</w:t>
      </w:r>
    </w:p>
    <w:p>
      <w:pPr>
        <w:pStyle w:val="21"/>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lang w:val="zh-CN"/>
        </w:rPr>
        <w:t>11.投标人的</w:t>
      </w:r>
      <w:r>
        <w:rPr>
          <w:rFonts w:hint="eastAsia" w:asciiTheme="minorEastAsia" w:hAnsiTheme="minorEastAsia" w:eastAsiaTheme="minorEastAsia"/>
          <w:b/>
          <w:sz w:val="24"/>
          <w:szCs w:val="24"/>
        </w:rPr>
        <w:t>投标文件必须按照招标文件要求制作，</w:t>
      </w:r>
      <w:r>
        <w:rPr>
          <w:rFonts w:hint="eastAsia" w:asciiTheme="minorEastAsia" w:hAnsiTheme="minorEastAsia" w:eastAsiaTheme="minorEastAsia"/>
          <w:bCs/>
          <w:sz w:val="24"/>
          <w:szCs w:val="24"/>
        </w:rPr>
        <w:t>同时可以制作以介质存储的数据电文形式的备份投标文件。</w:t>
      </w:r>
      <w:r>
        <w:rPr>
          <w:rFonts w:hint="eastAsia" w:asciiTheme="minorEastAsia" w:hAnsiTheme="minorEastAsia" w:eastAsiaTheme="minorEastAsia"/>
          <w:b/>
          <w:sz w:val="24"/>
          <w:szCs w:val="24"/>
        </w:rPr>
        <w:t>投标人的备份投标文件必须由政采云客户端生成，内容与电子投标文件完全一致。</w:t>
      </w:r>
    </w:p>
    <w:p>
      <w:pPr>
        <w:pStyle w:val="73"/>
        <w:adjustRightInd w:val="0"/>
        <w:snapToGrid w:val="0"/>
        <w:spacing w:before="0"/>
        <w:ind w:firstLine="0" w:firstLineChars="0"/>
        <w:rPr>
          <w:rFonts w:asciiTheme="minorEastAsia" w:hAnsiTheme="minorEastAsia" w:eastAsiaTheme="minorEastAsia"/>
          <w:b/>
          <w:szCs w:val="24"/>
        </w:rPr>
      </w:pPr>
      <w:bookmarkStart w:id="64" w:name="_Toc91899887"/>
      <w:r>
        <w:rPr>
          <w:rFonts w:hint="eastAsia" w:asciiTheme="minorEastAsia" w:hAnsiTheme="minorEastAsia" w:eastAsiaTheme="minorEastAsia"/>
          <w:b/>
          <w:szCs w:val="24"/>
        </w:rPr>
        <w:t>12</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投标有效期</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12.1  投标文件合格投递后，自投标截止日期起，至前附表第3项所列的日期内有效。</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12.2  在原定投标有效期之前，如果出现特殊情况，采购代理机构可以以书面形式通知投标人延长投标有效期。</w:t>
      </w:r>
    </w:p>
    <w:p>
      <w:pPr>
        <w:pStyle w:val="73"/>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13</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投标保证</w:t>
      </w:r>
    </w:p>
    <w:p>
      <w:pPr>
        <w:pStyle w:val="7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13.1 投标人应提供前附表中的投标保证金，作为投标文件的一个组成部分。</w:t>
      </w:r>
    </w:p>
    <w:p>
      <w:pPr>
        <w:pStyle w:val="7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13.2投标保证金应按照前附表中的要求缴纳至浙江中诺招标代理有限公司指定账户，同时将银行缴款凭证复印件作为投标文件组成部分（具体详见前附表说明）</w:t>
      </w:r>
      <w:r>
        <w:rPr>
          <w:rFonts w:hint="eastAsia" w:cs="Arial" w:asciiTheme="minorEastAsia" w:hAnsiTheme="minorEastAsia" w:eastAsiaTheme="minorEastAsia"/>
          <w:szCs w:val="24"/>
        </w:rPr>
        <w:t>。</w:t>
      </w:r>
    </w:p>
    <w:p>
      <w:pPr>
        <w:pStyle w:val="7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13.3 采购代理机构将拒绝未能按规定时间和数额提交投标保证金的投标人。</w:t>
      </w:r>
    </w:p>
    <w:p>
      <w:pPr>
        <w:pStyle w:val="7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13.4中标人按要求与采购人签订合同并备案后，全额无息退还其投标保证金。</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13.5未中标人的投标保证金将在发布中标公告之日起五个工作日后无异议，全额无息退还。</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13.6  如投标人有下列情况，将被没收投标保证金或被处以采购预算金额2%的处罚，以两方中金额较高者执行：</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13.6.1  投标人在投标截止时间后撤销投标文件的；</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13.6.2  投标人未按规定签订合同或转让中标的；</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13.6.3  投标人在投标期间存在提供虚假材料、相互串通投标等违法违规行为的。</w:t>
      </w:r>
    </w:p>
    <w:p>
      <w:pPr>
        <w:pStyle w:val="73"/>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14</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投标文件的编制和签署</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 xml:space="preserve">14.1  </w:t>
      </w:r>
      <w:r>
        <w:rPr>
          <w:rFonts w:hint="eastAsia" w:asciiTheme="minorEastAsia" w:hAnsiTheme="minorEastAsia" w:eastAsiaTheme="minorEastAsia"/>
        </w:rPr>
        <w:t>投标文件分为资格文件、商务报价文件、技术文件、商务文件四部分，</w:t>
      </w:r>
      <w:r>
        <w:rPr>
          <w:rFonts w:hint="eastAsia" w:asciiTheme="minorEastAsia" w:hAnsiTheme="minorEastAsia" w:eastAsiaTheme="minorEastAsia"/>
          <w:b/>
        </w:rPr>
        <w:t>并将四部分分别制作。不同标项的投标文件应分开制作。</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14.2  全套投标文件应无涂改和行间插字，除非这些删改是根据采购代理机构要求进行，或者是投标人造成的必须修改的错误。所修改处应由法定代表人或授权委托人签字予以确认。</w:t>
      </w:r>
    </w:p>
    <w:bookmarkEnd w:id="64"/>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14.3  电子投标文件中所须加盖公章部分均采用CA签章，并根据“政采云供应商项目采购-电子招投标操作指南”及本招标文件规定的格式和顺序编制电子投标文件并进行关联定位。</w:t>
      </w:r>
    </w:p>
    <w:p>
      <w:pPr>
        <w:pStyle w:val="4"/>
        <w:jc w:val="center"/>
        <w:rPr>
          <w:rFonts w:asciiTheme="minorEastAsia" w:hAnsiTheme="minorEastAsia" w:eastAsiaTheme="minorEastAsia"/>
          <w:szCs w:val="24"/>
        </w:rPr>
      </w:pPr>
      <w:bookmarkStart w:id="65" w:name="_Hlt68403820"/>
      <w:bookmarkEnd w:id="65"/>
      <w:bookmarkStart w:id="66" w:name="_Hlt68073093"/>
      <w:bookmarkEnd w:id="66"/>
      <w:bookmarkStart w:id="67" w:name="_Hlt68072998"/>
      <w:bookmarkEnd w:id="67"/>
      <w:bookmarkStart w:id="68" w:name="_Toc86216991"/>
      <w:bookmarkStart w:id="69" w:name="_Toc23297"/>
      <w:bookmarkStart w:id="70" w:name="_Toc91899892"/>
      <w:r>
        <w:rPr>
          <w:rFonts w:hint="eastAsia" w:asciiTheme="minorEastAsia" w:hAnsiTheme="minorEastAsia" w:eastAsiaTheme="minorEastAsia"/>
          <w:szCs w:val="24"/>
        </w:rPr>
        <w:t>四、投标文件的递交</w:t>
      </w:r>
      <w:bookmarkEnd w:id="68"/>
      <w:bookmarkEnd w:id="69"/>
    </w:p>
    <w:p>
      <w:pPr>
        <w:pStyle w:val="73"/>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15</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投标文件的密封与标志</w:t>
      </w:r>
    </w:p>
    <w:p>
      <w:pPr>
        <w:pStyle w:val="73"/>
        <w:adjustRightInd w:val="0"/>
        <w:snapToGrid w:val="0"/>
        <w:spacing w:before="0"/>
        <w:ind w:firstLine="480"/>
        <w:rPr>
          <w:rFonts w:asciiTheme="minorEastAsia" w:hAnsiTheme="minorEastAsia" w:eastAsiaTheme="minorEastAsia"/>
        </w:rPr>
      </w:pPr>
      <w:r>
        <w:rPr>
          <w:rFonts w:hint="eastAsia" w:asciiTheme="minorEastAsia" w:hAnsiTheme="minorEastAsia" w:eastAsiaTheme="minorEastAsia"/>
          <w:szCs w:val="24"/>
        </w:rPr>
        <w:t>15.1  电子投标文件的提交应按</w:t>
      </w:r>
      <w:r>
        <w:rPr>
          <w:rFonts w:hint="eastAsia" w:cs="Arial" w:asciiTheme="minorEastAsia" w:hAnsiTheme="minorEastAsia" w:eastAsiaTheme="minorEastAsia"/>
          <w:szCs w:val="24"/>
        </w:rPr>
        <w:t>政采云平台要求</w:t>
      </w:r>
      <w:r>
        <w:rPr>
          <w:rFonts w:hint="eastAsia" w:asciiTheme="minorEastAsia" w:hAnsiTheme="minorEastAsia" w:eastAsiaTheme="minorEastAsia"/>
          <w:szCs w:val="24"/>
        </w:rPr>
        <w:t>完成，无须密封与标志。备份投标文件须</w:t>
      </w:r>
      <w:r>
        <w:rPr>
          <w:rFonts w:hint="eastAsia" w:asciiTheme="minorEastAsia" w:hAnsiTheme="minorEastAsia" w:eastAsiaTheme="minorEastAsia"/>
          <w:b/>
          <w:bCs/>
          <w:szCs w:val="24"/>
        </w:rPr>
        <w:t>以标项为单位</w:t>
      </w:r>
      <w:r>
        <w:rPr>
          <w:rFonts w:hint="eastAsia" w:asciiTheme="minorEastAsia" w:hAnsiTheme="minorEastAsia" w:eastAsiaTheme="minorEastAsia"/>
          <w:b/>
          <w:szCs w:val="24"/>
        </w:rPr>
        <w:t>整体密封包装后提交。</w:t>
      </w:r>
      <w:r>
        <w:rPr>
          <w:rFonts w:hint="eastAsia" w:asciiTheme="minorEastAsia" w:hAnsiTheme="minorEastAsia" w:eastAsiaTheme="minorEastAsia"/>
          <w:szCs w:val="24"/>
        </w:rPr>
        <w:t>未按要求密封包装的备份投标文件，将被当场拒绝。</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15.2  包装封面物的正面应写明项目名称、投标人全称与地址、邮政编码，封口处要密封并加盖投标人公章(或授权委托人签章)。不论投标人中标与否，投标文件均不退回。</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15.3  备份投标文件递交至前附表第7项所述的单位和地址。</w:t>
      </w:r>
    </w:p>
    <w:p>
      <w:pPr>
        <w:pStyle w:val="73"/>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16</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投标截止期</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16.1  投标人应按前附表规定的时间、地点、方式将投标文件递交给采购代理机构，采购代理机构将拒绝接受逾期送达的投标文件。</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16.2  采购代理机构可以按本须知第8条规定以补充通知的方式，酌情延长递交投标文件的截止日期。在上述情况下，采购代理机构与投标人以前在投标截止期方面的全部权利、责任和义务，将适用于延长至新的投标截止期。</w:t>
      </w:r>
    </w:p>
    <w:p>
      <w:pPr>
        <w:pStyle w:val="73"/>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17</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投标文件的修改</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17.1  投标人递交投标文件以后，在规定的投标截止时间之前，可以书面形式对投标文件进行补充、修改，修改文件须在政采云平台完成，在投标截止时间以后，不能修改、补充投标文件。</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17.</w:t>
      </w:r>
      <w:bookmarkEnd w:id="70"/>
      <w:r>
        <w:rPr>
          <w:rFonts w:hint="eastAsia" w:asciiTheme="minorEastAsia" w:hAnsiTheme="minorEastAsia" w:eastAsiaTheme="minorEastAsia"/>
          <w:szCs w:val="24"/>
        </w:rPr>
        <w:t>2  在投标截止日期与招标文件中规定的有效期终止日之间的这段时间内，投标人不能撤回投标文件。</w:t>
      </w:r>
    </w:p>
    <w:p>
      <w:pPr>
        <w:pStyle w:val="4"/>
        <w:jc w:val="center"/>
        <w:rPr>
          <w:rFonts w:asciiTheme="minorEastAsia" w:hAnsiTheme="minorEastAsia" w:eastAsiaTheme="minorEastAsia"/>
          <w:szCs w:val="24"/>
        </w:rPr>
      </w:pPr>
      <w:bookmarkStart w:id="71" w:name="_Toc91899897"/>
      <w:bookmarkStart w:id="72" w:name="_Toc13436"/>
      <w:r>
        <w:rPr>
          <w:rFonts w:hint="eastAsia" w:asciiTheme="minorEastAsia" w:hAnsiTheme="minorEastAsia" w:eastAsiaTheme="minorEastAsia"/>
          <w:szCs w:val="24"/>
        </w:rPr>
        <w:t>五、开 标</w:t>
      </w:r>
      <w:bookmarkEnd w:id="71"/>
      <w:bookmarkEnd w:id="72"/>
    </w:p>
    <w:p>
      <w:pPr>
        <w:pStyle w:val="73"/>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18</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开标</w:t>
      </w:r>
    </w:p>
    <w:p>
      <w:pPr>
        <w:pStyle w:val="76"/>
        <w:spacing w:before="0" w:line="360" w:lineRule="auto"/>
        <w:ind w:left="0" w:firstLine="480" w:firstLineChars="200"/>
        <w:contextualSpacing/>
        <w:rPr>
          <w:rFonts w:cs="Arial" w:asciiTheme="minorEastAsia" w:hAnsiTheme="minorEastAsia" w:eastAsiaTheme="minorEastAsia"/>
          <w:sz w:val="24"/>
        </w:rPr>
      </w:pPr>
      <w:r>
        <w:rPr>
          <w:rFonts w:hint="eastAsia" w:cs="Arial" w:asciiTheme="minorEastAsia" w:hAnsiTheme="minorEastAsia" w:eastAsiaTheme="minorEastAsia"/>
          <w:sz w:val="24"/>
        </w:rPr>
        <w:t>18.1 采购代理机构将按照采购公告规定的时间、地点组织开标，开标采取先解密/开启资格、商务和技术文件，商务技术评审后开启报价文件的顺序进行。具体按以下程序进行。</w:t>
      </w:r>
    </w:p>
    <w:p>
      <w:pPr>
        <w:adjustRightInd w:val="0"/>
        <w:snapToGrid w:val="0"/>
        <w:spacing w:line="360" w:lineRule="auto"/>
        <w:ind w:firstLine="480" w:firstLineChars="200"/>
        <w:rPr>
          <w:rFonts w:asciiTheme="minorEastAsia" w:hAnsiTheme="minorEastAsia" w:eastAsiaTheme="minorEastAsia"/>
          <w:b/>
          <w:bCs/>
          <w:sz w:val="24"/>
        </w:rPr>
      </w:pPr>
      <w:r>
        <w:rPr>
          <w:rFonts w:hint="eastAsia" w:cs="Arial" w:asciiTheme="minorEastAsia" w:hAnsiTheme="minorEastAsia" w:eastAsiaTheme="minorEastAsia"/>
          <w:sz w:val="24"/>
        </w:rPr>
        <w:t>18.1.1 采购代理机构接收投标文件并登记，各投标人法定代表人或其授权代表对投标文件的递交记录情况进行确认。</w:t>
      </w:r>
      <w:r>
        <w:rPr>
          <w:rFonts w:hint="eastAsia" w:cs="Arial" w:asciiTheme="minorEastAsia" w:hAnsiTheme="minorEastAsia" w:eastAsiaTheme="minorEastAsia"/>
          <w:b/>
          <w:bCs/>
          <w:sz w:val="24"/>
        </w:rPr>
        <w:t>不符合</w:t>
      </w:r>
      <w:r>
        <w:rPr>
          <w:rFonts w:hint="eastAsia" w:asciiTheme="minorEastAsia" w:hAnsiTheme="minorEastAsia" w:eastAsiaTheme="minorEastAsia"/>
          <w:b/>
          <w:bCs/>
          <w:sz w:val="24"/>
        </w:rPr>
        <w:t>招标文件编制、密封、递交要求的投标文件将被拒绝。</w:t>
      </w:r>
    </w:p>
    <w:p>
      <w:pPr>
        <w:pStyle w:val="76"/>
        <w:spacing w:before="0" w:line="360" w:lineRule="auto"/>
        <w:ind w:left="0" w:firstLine="480" w:firstLineChars="200"/>
        <w:contextualSpacing/>
        <w:rPr>
          <w:rFonts w:cs="Arial" w:asciiTheme="minorEastAsia" w:hAnsiTheme="minorEastAsia" w:eastAsiaTheme="minorEastAsia"/>
          <w:kern w:val="2"/>
          <w:sz w:val="24"/>
          <w:szCs w:val="22"/>
        </w:rPr>
      </w:pPr>
      <w:r>
        <w:rPr>
          <w:rFonts w:hint="eastAsia" w:cs="Arial" w:asciiTheme="minorEastAsia" w:hAnsiTheme="minorEastAsia" w:eastAsiaTheme="minorEastAsia"/>
          <w:sz w:val="24"/>
        </w:rPr>
        <w:t xml:space="preserve">18.1.2 </w:t>
      </w:r>
      <w:r>
        <w:rPr>
          <w:rFonts w:hint="eastAsia" w:cs="Arial" w:asciiTheme="minorEastAsia" w:hAnsiTheme="minorEastAsia" w:eastAsiaTheme="minorEastAsia"/>
          <w:kern w:val="2"/>
          <w:sz w:val="24"/>
          <w:szCs w:val="22"/>
        </w:rPr>
        <w:t>投标截止时间后，投标人登录政采云平台，用“项目采购-开标评标”功能对电子投标文件进行在线解密。在线解密电子投标文件时间为开标时间起半个小时内。</w:t>
      </w:r>
    </w:p>
    <w:p>
      <w:pPr>
        <w:pStyle w:val="76"/>
        <w:spacing w:before="0" w:line="360" w:lineRule="auto"/>
        <w:ind w:left="0" w:firstLine="480" w:firstLineChars="200"/>
        <w:contextualSpacing/>
        <w:rPr>
          <w:rFonts w:cs="Arial" w:asciiTheme="minorEastAsia" w:hAnsiTheme="minorEastAsia" w:eastAsiaTheme="minorEastAsia"/>
          <w:kern w:val="2"/>
          <w:sz w:val="24"/>
          <w:szCs w:val="22"/>
        </w:rPr>
      </w:pPr>
      <w:r>
        <w:rPr>
          <w:rFonts w:hint="eastAsia" w:cs="Arial" w:asciiTheme="minorEastAsia" w:hAnsiTheme="minorEastAsia" w:eastAsiaTheme="minorEastAsia"/>
          <w:kern w:val="2"/>
          <w:sz w:val="24"/>
          <w:szCs w:val="22"/>
        </w:rPr>
        <w:t>若投标人在规定时间内无法解密或解密失败，采购代理机构将开启投标人递交的以介质存储的数据电文形式的备份投标文件，上传至政采云平台项目采购模块，以完成开标，电子投标文件自动失效。</w:t>
      </w:r>
    </w:p>
    <w:p>
      <w:pPr>
        <w:adjustRightInd w:val="0"/>
        <w:snapToGrid w:val="0"/>
        <w:spacing w:line="360" w:lineRule="auto"/>
        <w:ind w:firstLine="480" w:firstLineChars="200"/>
        <w:rPr>
          <w:rFonts w:cs="Arial" w:asciiTheme="minorEastAsia" w:hAnsiTheme="minorEastAsia" w:eastAsiaTheme="minorEastAsia"/>
          <w:b/>
          <w:bCs/>
          <w:sz w:val="24"/>
        </w:rPr>
      </w:pPr>
      <w:r>
        <w:rPr>
          <w:rFonts w:hint="eastAsia" w:cs="Arial" w:asciiTheme="minorEastAsia" w:hAnsiTheme="minorEastAsia" w:eastAsiaTheme="minorEastAsia"/>
          <w:sz w:val="24"/>
        </w:rPr>
        <w:t>18.1.3开标时，将准时要求投标人开始在线解密已提交的电子投标文件，其中的报价文件暂不开标，并将解密后的商务和技术文件由采购代理机构推送至评审环节，各投标人法定代表人或其授权代表等候开标报价文件。</w:t>
      </w:r>
    </w:p>
    <w:p>
      <w:pPr>
        <w:adjustRightInd w:val="0"/>
        <w:snapToGrid w:val="0"/>
        <w:spacing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18.1.6商务和技术评审结束后，采购代理机构宣布商务和技术评审无效投标人名单及理由，无效投标人可收回未拆封的文件并签字确认；公布经商务和技术评审符合采购需求的投标人名单及其商务和技术得分之和。</w:t>
      </w:r>
    </w:p>
    <w:p>
      <w:pPr>
        <w:adjustRightInd w:val="0"/>
        <w:snapToGrid w:val="0"/>
        <w:spacing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18.1.7采购代理机构通知</w:t>
      </w:r>
      <w:r>
        <w:rPr>
          <w:rFonts w:hint="eastAsia" w:cs="Arial" w:asciiTheme="minorEastAsia" w:hAnsiTheme="minorEastAsia" w:eastAsiaTheme="minorEastAsia"/>
          <w:sz w:val="24"/>
        </w:rPr>
        <w:t>解密/</w:t>
      </w:r>
      <w:r>
        <w:rPr>
          <w:rFonts w:hint="eastAsia" w:cs="Arial" w:asciiTheme="minorEastAsia" w:hAnsiTheme="minorEastAsia" w:eastAsiaTheme="minorEastAsia"/>
          <w:kern w:val="0"/>
          <w:sz w:val="24"/>
        </w:rPr>
        <w:t>拆封投标人报价文件，公布</w:t>
      </w:r>
      <w:r>
        <w:rPr>
          <w:rFonts w:hint="eastAsia" w:cs="Arial" w:asciiTheme="minorEastAsia" w:hAnsiTheme="minorEastAsia" w:eastAsiaTheme="minorEastAsia"/>
          <w:sz w:val="24"/>
        </w:rPr>
        <w:t>《投标（开标）一览表》</w:t>
      </w:r>
      <w:r>
        <w:rPr>
          <w:rFonts w:hint="eastAsia" w:cs="Arial" w:asciiTheme="minorEastAsia" w:hAnsiTheme="minorEastAsia" w:eastAsiaTheme="minorEastAsia"/>
          <w:kern w:val="0"/>
          <w:sz w:val="24"/>
        </w:rPr>
        <w:t>有关内容，同时当场制作开标记录表，由</w:t>
      </w:r>
      <w:r>
        <w:rPr>
          <w:rFonts w:hint="eastAsia" w:cs="Arial" w:asciiTheme="minorEastAsia" w:hAnsiTheme="minorEastAsia" w:eastAsiaTheme="minorEastAsia"/>
          <w:sz w:val="24"/>
        </w:rPr>
        <w:t>各投标人法定代表人或其授权代表</w:t>
      </w:r>
      <w:r>
        <w:rPr>
          <w:rFonts w:hint="eastAsia" w:cs="Arial" w:asciiTheme="minorEastAsia" w:hAnsiTheme="minorEastAsia" w:eastAsiaTheme="minorEastAsia"/>
          <w:kern w:val="0"/>
          <w:sz w:val="24"/>
        </w:rPr>
        <w:t>在开标记录表上确认（不予确认的应说明理由，否则视为无异议）。唱标结束后，采购代理机构将报价文件及开标记录表推送至评审地点，由</w:t>
      </w:r>
      <w:r>
        <w:rPr>
          <w:rFonts w:hint="eastAsia" w:cs="Arial" w:asciiTheme="minorEastAsia" w:hAnsiTheme="minorEastAsia" w:eastAsiaTheme="minorEastAsia"/>
          <w:sz w:val="24"/>
        </w:rPr>
        <w:t>评标委员会</w:t>
      </w:r>
      <w:r>
        <w:rPr>
          <w:rFonts w:hint="eastAsia" w:cs="Arial" w:asciiTheme="minorEastAsia" w:hAnsiTheme="minorEastAsia" w:eastAsiaTheme="minorEastAsia"/>
          <w:kern w:val="0"/>
          <w:sz w:val="24"/>
        </w:rPr>
        <w:t>对报价的合理性、准确性、有效性等进行审查核实。</w:t>
      </w:r>
    </w:p>
    <w:p>
      <w:pPr>
        <w:adjustRightInd w:val="0"/>
        <w:snapToGrid w:val="0"/>
        <w:spacing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kern w:val="0"/>
          <w:sz w:val="24"/>
        </w:rPr>
        <w:t>18.1.8评审结束后，采购代理机构公布中标候选</w:t>
      </w:r>
      <w:r>
        <w:rPr>
          <w:rFonts w:hint="eastAsia" w:cs="Arial" w:asciiTheme="minorEastAsia" w:hAnsiTheme="minorEastAsia" w:eastAsiaTheme="minorEastAsia"/>
          <w:sz w:val="24"/>
        </w:rPr>
        <w:t>人</w:t>
      </w:r>
      <w:r>
        <w:rPr>
          <w:rFonts w:hint="eastAsia" w:cs="Arial" w:asciiTheme="minorEastAsia" w:hAnsiTheme="minorEastAsia" w:eastAsiaTheme="minorEastAsia"/>
          <w:kern w:val="0"/>
          <w:sz w:val="24"/>
        </w:rPr>
        <w:t>名单，及采购人最终确定中标</w:t>
      </w:r>
      <w:r>
        <w:rPr>
          <w:rFonts w:hint="eastAsia" w:cs="Arial" w:asciiTheme="minorEastAsia" w:hAnsiTheme="minorEastAsia" w:eastAsiaTheme="minorEastAsia"/>
          <w:sz w:val="24"/>
        </w:rPr>
        <w:t>人</w:t>
      </w:r>
      <w:r>
        <w:rPr>
          <w:rFonts w:hint="eastAsia" w:cs="Arial" w:asciiTheme="minorEastAsia" w:hAnsiTheme="minorEastAsia" w:eastAsiaTheme="minorEastAsia"/>
          <w:kern w:val="0"/>
          <w:sz w:val="24"/>
        </w:rPr>
        <w:t>名单的时间和公告方式等</w:t>
      </w:r>
      <w:r>
        <w:rPr>
          <w:rFonts w:hint="eastAsia" w:asciiTheme="minorEastAsia" w:hAnsiTheme="minorEastAsia" w:eastAsiaTheme="minorEastAsia"/>
          <w:sz w:val="24"/>
        </w:rPr>
        <w:t>。</w:t>
      </w:r>
    </w:p>
    <w:p>
      <w:pPr>
        <w:pStyle w:val="73"/>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19</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投标文件鉴定</w:t>
      </w:r>
    </w:p>
    <w:p>
      <w:pPr>
        <w:pStyle w:val="7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19.1开标时，采购代理机构将对投标文件进行初步审查，检查投标书内容是否完整、编排是否有序、文件签署是否规范以及投标人资格是否符合要求等。如投标文件被确认为无效，采购代理机构将及时通知该投标人。</w:t>
      </w:r>
    </w:p>
    <w:p>
      <w:pPr>
        <w:pStyle w:val="7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19.2在评标前，采购代理机构将根据投标人资格文件组织对每份投标文件是否实质上响应了招标文件的要求并对投标人的资格进行审核。实质上响应是指投标文件与招标文件要求的全部条款、投标人资格和条件相符，无显著差异或保留。评标委员会只根据投标文件本身的内容来判定投标文件的响应性，而不寻求外部的证据。</w:t>
      </w:r>
    </w:p>
    <w:p>
      <w:pPr>
        <w:pStyle w:val="7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19.3对于投标文件中不构成实质性偏差的、细微的不正规、不一致或不规范，采购代理机构及评标委员会可以接受，但这种接受不能影响评标时投标人之间的相对排序。</w:t>
      </w:r>
    </w:p>
    <w:p>
      <w:pPr>
        <w:pStyle w:val="7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19.4如果投标文件实质上不响应招标文件的要求，采购代理机构及评标委员会将予以拒绝，并且不允许通过修正或撤销不符合要求的差异或保留，使之成为具有响应性的投标。</w:t>
      </w:r>
    </w:p>
    <w:p>
      <w:pPr>
        <w:adjustRightInd w:val="0"/>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rPr>
        <w:t>19.5 经开标后递交至评标委员会的投标文件，仍需接受相关符合性的检查，并有可能在评标过程中被判断为无效</w:t>
      </w:r>
      <w:r>
        <w:rPr>
          <w:rFonts w:hint="eastAsia" w:asciiTheme="minorEastAsia" w:hAnsiTheme="minorEastAsia" w:eastAsiaTheme="minorEastAsia"/>
          <w:sz w:val="24"/>
          <w:szCs w:val="24"/>
          <w:lang w:val="zh-CN"/>
        </w:rPr>
        <w:t>。</w:t>
      </w:r>
    </w:p>
    <w:p>
      <w:pPr>
        <w:pStyle w:val="4"/>
        <w:jc w:val="center"/>
        <w:rPr>
          <w:rFonts w:asciiTheme="minorEastAsia" w:hAnsiTheme="minorEastAsia" w:eastAsiaTheme="minorEastAsia"/>
          <w:szCs w:val="24"/>
        </w:rPr>
      </w:pPr>
      <w:bookmarkStart w:id="73" w:name="_Hlt75236101"/>
      <w:bookmarkEnd w:id="73"/>
      <w:bookmarkStart w:id="74" w:name="_Toc25158"/>
      <w:bookmarkStart w:id="75" w:name="_Toc91899902"/>
      <w:r>
        <w:rPr>
          <w:rFonts w:hint="eastAsia" w:asciiTheme="minorEastAsia" w:hAnsiTheme="minorEastAsia" w:eastAsiaTheme="minorEastAsia"/>
          <w:szCs w:val="24"/>
        </w:rPr>
        <w:t>六、评 标</w:t>
      </w:r>
      <w:bookmarkEnd w:id="74"/>
      <w:bookmarkEnd w:id="75"/>
    </w:p>
    <w:p>
      <w:pPr>
        <w:pStyle w:val="21"/>
        <w:adjustRightInd w:val="0"/>
        <w:snapToGrid w:val="0"/>
        <w:spacing w:line="360" w:lineRule="auto"/>
        <w:rPr>
          <w:rFonts w:asciiTheme="minorEastAsia" w:hAnsiTheme="minorEastAsia" w:eastAsiaTheme="minorEastAsia"/>
          <w:b/>
          <w:sz w:val="24"/>
          <w:szCs w:val="24"/>
        </w:rPr>
      </w:pPr>
      <w:bookmarkStart w:id="76" w:name="_Toc91899903"/>
      <w:r>
        <w:rPr>
          <w:rFonts w:hint="eastAsia" w:asciiTheme="minorEastAsia" w:hAnsiTheme="minorEastAsia" w:eastAsiaTheme="minorEastAsia"/>
          <w:b/>
          <w:sz w:val="24"/>
          <w:szCs w:val="24"/>
        </w:rPr>
        <w:t>20</w:t>
      </w:r>
      <w:r>
        <w:rPr>
          <w:rFonts w:hint="eastAsia" w:asciiTheme="minorEastAsia" w:hAnsiTheme="minorEastAsia" w:eastAsiaTheme="minorEastAsia"/>
          <w:b/>
          <w:kern w:val="0"/>
          <w:sz w:val="24"/>
          <w:szCs w:val="24"/>
          <w:lang w:val="zh-CN"/>
        </w:rPr>
        <w:t xml:space="preserve">. </w:t>
      </w:r>
      <w:r>
        <w:rPr>
          <w:rFonts w:hint="eastAsia" w:asciiTheme="minorEastAsia" w:hAnsiTheme="minorEastAsia" w:eastAsiaTheme="minorEastAsia"/>
          <w:b/>
          <w:sz w:val="24"/>
          <w:szCs w:val="24"/>
        </w:rPr>
        <w:t>评标组织</w:t>
      </w:r>
    </w:p>
    <w:p>
      <w:pPr>
        <w:pStyle w:val="21"/>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采购代理机构依法组建由5人（含）以上奇数的人员组成的评标委员会，负责对投标文件进行审查、质询、评审和比较等。评标委员会</w:t>
      </w:r>
      <w:r>
        <w:rPr>
          <w:rFonts w:hint="eastAsia" w:asciiTheme="minorEastAsia" w:hAnsiTheme="minorEastAsia" w:eastAsiaTheme="minorEastAsia"/>
          <w:sz w:val="24"/>
          <w:szCs w:val="24"/>
          <w:lang w:val="zh-CN"/>
        </w:rPr>
        <w:t>由采购人代表和政府采购咨询专家</w:t>
      </w:r>
      <w:r>
        <w:rPr>
          <w:rFonts w:hint="eastAsia" w:cs="仿宋_GB2312" w:asciiTheme="minorEastAsia" w:hAnsiTheme="minorEastAsia" w:eastAsiaTheme="minorEastAsia"/>
          <w:sz w:val="24"/>
          <w:szCs w:val="24"/>
          <w:lang w:val="zh-CN"/>
        </w:rPr>
        <w:t>组成，其中政府采购咨询专家人数不少于成员总数的三分之二。</w:t>
      </w:r>
    </w:p>
    <w:p>
      <w:pPr>
        <w:pStyle w:val="21"/>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21</w:t>
      </w:r>
      <w:r>
        <w:rPr>
          <w:rFonts w:hint="eastAsia" w:asciiTheme="minorEastAsia" w:hAnsiTheme="minorEastAsia" w:eastAsiaTheme="minorEastAsia"/>
          <w:b/>
          <w:kern w:val="0"/>
          <w:sz w:val="24"/>
          <w:szCs w:val="24"/>
          <w:lang w:val="zh-CN"/>
        </w:rPr>
        <w:t xml:space="preserve">. </w:t>
      </w:r>
      <w:r>
        <w:rPr>
          <w:rFonts w:hint="eastAsia" w:asciiTheme="minorEastAsia" w:hAnsiTheme="minorEastAsia" w:eastAsiaTheme="minorEastAsia"/>
          <w:b/>
          <w:sz w:val="24"/>
          <w:szCs w:val="24"/>
        </w:rPr>
        <w:t>评标原则</w:t>
      </w:r>
    </w:p>
    <w:p>
      <w:pPr>
        <w:pStyle w:val="21"/>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21.1  竞争优选；</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21.2  </w:t>
      </w:r>
      <w:r>
        <w:rPr>
          <w:rFonts w:hint="eastAsia" w:asciiTheme="minorEastAsia" w:hAnsiTheme="minorEastAsia" w:eastAsiaTheme="minorEastAsia"/>
          <w:sz w:val="24"/>
          <w:szCs w:val="24"/>
          <w:lang w:val="zh-CN"/>
        </w:rPr>
        <w:t>坚持公开</w:t>
      </w:r>
      <w:r>
        <w:rPr>
          <w:rFonts w:hint="eastAsia" w:asciiTheme="minorEastAsia" w:hAnsiTheme="minorEastAsia" w:eastAsiaTheme="minorEastAsia"/>
          <w:sz w:val="24"/>
          <w:szCs w:val="24"/>
        </w:rPr>
        <w:t>、公平、公正、科学合理</w:t>
      </w:r>
      <w:r>
        <w:rPr>
          <w:rFonts w:hint="eastAsia" w:asciiTheme="minorEastAsia" w:hAnsiTheme="minorEastAsia" w:eastAsiaTheme="minorEastAsia"/>
          <w:sz w:val="24"/>
          <w:szCs w:val="24"/>
          <w:lang w:val="zh-CN"/>
        </w:rPr>
        <w:t>的原则；</w:t>
      </w:r>
    </w:p>
    <w:p>
      <w:pPr>
        <w:adjustRightInd w:val="0"/>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 xml:space="preserve">21.3  </w:t>
      </w:r>
      <w:r>
        <w:rPr>
          <w:rFonts w:hint="eastAsia" w:asciiTheme="minorEastAsia" w:hAnsiTheme="minorEastAsia" w:eastAsiaTheme="minorEastAsia"/>
          <w:sz w:val="24"/>
          <w:szCs w:val="24"/>
        </w:rPr>
        <w:t>价格合理，方案、产品先进可行；</w:t>
      </w:r>
    </w:p>
    <w:p>
      <w:pPr>
        <w:adjustRightInd w:val="0"/>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21.4  反对不正当竞争。</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22</w:t>
      </w:r>
      <w:r>
        <w:rPr>
          <w:rFonts w:hint="eastAsia" w:asciiTheme="minorEastAsia" w:hAnsiTheme="minorEastAsia" w:eastAsiaTheme="minorEastAsia"/>
          <w:b/>
          <w:kern w:val="0"/>
          <w:sz w:val="24"/>
          <w:szCs w:val="24"/>
          <w:lang w:val="zh-CN"/>
        </w:rPr>
        <w:t>.</w:t>
      </w:r>
      <w:r>
        <w:rPr>
          <w:rFonts w:hint="eastAsia" w:asciiTheme="minorEastAsia" w:hAnsiTheme="minorEastAsia" w:eastAsiaTheme="minorEastAsia"/>
          <w:b/>
          <w:sz w:val="24"/>
          <w:szCs w:val="24"/>
        </w:rPr>
        <w:t>投标文件审查</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22.1投标文件资格性审查：本项目采用资格后审。根据《政府采购货物和服务招标投标管理办法》（财政部令第87号）规定，本项目资格审查工作由采购代理机构现场组建资格审查小组进行审查。资格后审不合格的投标人，采购代理机构将告知其未通过的原因，其投标作无效标处理。</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22.2投标文件符合性审查：评标委员会依据招标文件的规定，从投标文件的有效性、完整性和对招标文件的响应程度进行审查，以确定是否对招标文件的实质性要求作出响应。</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22.3</w:t>
      </w:r>
      <w:r>
        <w:rPr>
          <w:rFonts w:hint="eastAsia" w:asciiTheme="minorEastAsia" w:hAnsiTheme="minorEastAsia" w:eastAsiaTheme="minorEastAsia"/>
          <w:b/>
          <w:sz w:val="24"/>
          <w:szCs w:val="24"/>
        </w:rPr>
        <w:t>修正原则</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评标委员会对投标文件的商务报价文件进行审核，对发现计算、书写等错误的，按以下原则进行修正：</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22.3.1大写金额与小写金额不一致的，以大写金额为准；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22.3.2总价金额与按单价汇总金额不一致的，以单价金额计算结果为准；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22.3.3单价金额小数点有明显错位的，应以总价为准，并修改单价；</w:t>
      </w:r>
    </w:p>
    <w:p>
      <w:pPr>
        <w:adjustRightInd w:val="0"/>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rPr>
        <w:t>22.3.4以修正后的总价作为投标报价。</w:t>
      </w:r>
    </w:p>
    <w:p>
      <w:pPr>
        <w:pStyle w:val="21"/>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23．评标办法</w:t>
      </w:r>
    </w:p>
    <w:p>
      <w:pPr>
        <w:pStyle w:val="62"/>
        <w:adjustRightInd w:val="0"/>
        <w:spacing w:afterLines="0" w:line="360" w:lineRule="auto"/>
        <w:ind w:firstLine="482"/>
        <w:rPr>
          <w:rFonts w:asciiTheme="minorEastAsia" w:hAnsiTheme="minorEastAsia" w:eastAsiaTheme="minorEastAsia"/>
          <w:szCs w:val="24"/>
        </w:rPr>
      </w:pPr>
      <w:r>
        <w:rPr>
          <w:rFonts w:hint="eastAsia" w:asciiTheme="minorEastAsia" w:hAnsiTheme="minorEastAsia" w:eastAsiaTheme="minorEastAsia"/>
          <w:b/>
          <w:szCs w:val="24"/>
        </w:rPr>
        <w:t>本项目采用综合评分法</w:t>
      </w:r>
      <w:r>
        <w:rPr>
          <w:rFonts w:hint="eastAsia" w:asciiTheme="minorEastAsia" w:hAnsiTheme="minorEastAsia" w:eastAsiaTheme="minorEastAsia"/>
          <w:szCs w:val="24"/>
        </w:rPr>
        <w:t>，评标委员会将对各投标人的投标报价、</w:t>
      </w:r>
      <w:r>
        <w:rPr>
          <w:rFonts w:hint="eastAsia" w:asciiTheme="minorEastAsia" w:hAnsiTheme="minorEastAsia" w:eastAsiaTheme="minorEastAsia"/>
          <w:bCs/>
          <w:szCs w:val="24"/>
        </w:rPr>
        <w:t>技术和服务方案</w:t>
      </w:r>
      <w:r>
        <w:rPr>
          <w:rFonts w:hint="eastAsia" w:asciiTheme="minorEastAsia" w:hAnsiTheme="minorEastAsia" w:eastAsiaTheme="minorEastAsia"/>
          <w:szCs w:val="24"/>
        </w:rPr>
        <w:t>、投标人的资质和业绩情况等方面进行综合评审，对实质上响应招标文件的投标人，由各评委独立记名打分。经统计，得出各投标人的最终评审分,按最终评审分由高到低顺序排列。得分相同的，按投标报价由低到高顺序排列。得分且投标报价相同的，按技术指标优劣顺序排列，并形成评标意见。</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各投标人的技术和服务方案、投标人的资质和业绩情况（评标委员会独立打分）得分为：各成员评分的算术平均值。各投标人的投标价格得分按投标价格评分</w:t>
      </w:r>
      <w:r>
        <w:rPr>
          <w:rFonts w:hint="eastAsia" w:cs="宋体" w:asciiTheme="minorEastAsia" w:hAnsiTheme="minorEastAsia" w:eastAsiaTheme="minorEastAsia"/>
          <w:b/>
          <w:kern w:val="0"/>
          <w:sz w:val="24"/>
        </w:rPr>
        <w:t>公式由招标代理机构计算，</w:t>
      </w:r>
      <w:r>
        <w:rPr>
          <w:rFonts w:hint="eastAsia" w:asciiTheme="minorEastAsia" w:hAnsiTheme="minorEastAsia" w:eastAsiaTheme="minorEastAsia"/>
          <w:b/>
          <w:sz w:val="24"/>
        </w:rPr>
        <w:t>评标委员会审核。</w:t>
      </w:r>
      <w:r>
        <w:rPr>
          <w:rFonts w:hint="eastAsia" w:asciiTheme="minorEastAsia" w:hAnsiTheme="minorEastAsia" w:eastAsiaTheme="minorEastAsia"/>
          <w:sz w:val="24"/>
        </w:rPr>
        <w:t>根据上述评标原则，分值安排如下：</w:t>
      </w:r>
    </w:p>
    <w:tbl>
      <w:tblPr>
        <w:tblStyle w:val="39"/>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5"/>
        <w:gridCol w:w="3571"/>
        <w:gridCol w:w="4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restart"/>
            <w:tcMar>
              <w:top w:w="15" w:type="dxa"/>
              <w:left w:w="15" w:type="dxa"/>
              <w:bottom w:w="0" w:type="dxa"/>
              <w:right w:w="15" w:type="dxa"/>
            </w:tcMar>
            <w:vAlign w:val="center"/>
          </w:tcPr>
          <w:p>
            <w:pPr>
              <w:snapToGrid w:val="0"/>
              <w:jc w:val="center"/>
              <w:rPr>
                <w:rFonts w:ascii="宋体" w:hAnsi="宋体"/>
                <w:b/>
                <w:szCs w:val="21"/>
              </w:rPr>
            </w:pPr>
            <w:r>
              <w:rPr>
                <w:rFonts w:hint="eastAsia" w:ascii="宋体" w:hAnsi="宋体"/>
                <w:b/>
                <w:szCs w:val="21"/>
              </w:rPr>
              <w:t>商务</w:t>
            </w:r>
          </w:p>
          <w:p>
            <w:pPr>
              <w:snapToGrid w:val="0"/>
              <w:jc w:val="center"/>
              <w:rPr>
                <w:rFonts w:ascii="宋体" w:hAnsi="宋体"/>
                <w:b/>
                <w:szCs w:val="21"/>
              </w:rPr>
            </w:pPr>
            <w:r>
              <w:rPr>
                <w:rFonts w:hint="eastAsia" w:ascii="宋体" w:hAnsi="宋体"/>
                <w:b/>
                <w:szCs w:val="21"/>
              </w:rPr>
              <w:t>资信</w:t>
            </w:r>
          </w:p>
          <w:p>
            <w:pPr>
              <w:snapToGrid w:val="0"/>
              <w:jc w:val="center"/>
              <w:rPr>
                <w:rFonts w:ascii="宋体" w:hAnsi="宋体"/>
                <w:b/>
                <w:szCs w:val="21"/>
              </w:rPr>
            </w:pPr>
            <w:r>
              <w:rPr>
                <w:rFonts w:hint="eastAsia" w:ascii="宋体" w:hAnsi="宋体"/>
                <w:b/>
                <w:szCs w:val="21"/>
              </w:rPr>
              <w:t>评分</w:t>
            </w:r>
          </w:p>
          <w:p>
            <w:pPr>
              <w:snapToGrid w:val="0"/>
              <w:jc w:val="center"/>
              <w:rPr>
                <w:rFonts w:ascii="宋体" w:hAnsi="宋体"/>
                <w:b/>
                <w:szCs w:val="21"/>
              </w:rPr>
            </w:pPr>
            <w:r>
              <w:rPr>
                <w:rFonts w:hint="eastAsia" w:ascii="宋体" w:hAnsi="宋体"/>
                <w:b/>
                <w:szCs w:val="21"/>
              </w:rPr>
              <w:t>10分</w:t>
            </w:r>
          </w:p>
        </w:tc>
        <w:tc>
          <w:tcPr>
            <w:tcW w:w="3571" w:type="dxa"/>
            <w:tcMar>
              <w:top w:w="15" w:type="dxa"/>
              <w:left w:w="15" w:type="dxa"/>
              <w:bottom w:w="0" w:type="dxa"/>
              <w:right w:w="15" w:type="dxa"/>
            </w:tcMar>
            <w:vAlign w:val="center"/>
          </w:tcPr>
          <w:p>
            <w:pPr>
              <w:snapToGrid w:val="0"/>
              <w:rPr>
                <w:rFonts w:ascii="宋体" w:hAnsi="宋体"/>
                <w:szCs w:val="21"/>
              </w:rPr>
            </w:pPr>
            <w:r>
              <w:rPr>
                <w:rFonts w:hint="eastAsia" w:ascii="宋体" w:hAnsi="宋体"/>
                <w:bCs/>
                <w:szCs w:val="21"/>
              </w:rPr>
              <w:t>投标人综合实力（0-2分）</w:t>
            </w:r>
          </w:p>
        </w:tc>
        <w:tc>
          <w:tcPr>
            <w:tcW w:w="4434" w:type="dxa"/>
            <w:vAlign w:val="center"/>
          </w:tcPr>
          <w:p>
            <w:pPr>
              <w:snapToGrid w:val="0"/>
              <w:rPr>
                <w:rFonts w:ascii="宋体" w:hAnsi="宋体"/>
                <w:szCs w:val="21"/>
              </w:rPr>
            </w:pPr>
            <w:r>
              <w:rPr>
                <w:rFonts w:hint="eastAsia" w:ascii="宋体" w:hAnsi="宋体"/>
                <w:bCs/>
                <w:szCs w:val="21"/>
              </w:rPr>
              <w:t>依据投标人实力、资质等情况进行评审。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tcMar>
              <w:top w:w="15" w:type="dxa"/>
              <w:left w:w="15" w:type="dxa"/>
              <w:bottom w:w="0" w:type="dxa"/>
              <w:right w:w="15" w:type="dxa"/>
            </w:tcMar>
            <w:vAlign w:val="center"/>
          </w:tcPr>
          <w:p>
            <w:pPr>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bCs/>
                <w:szCs w:val="21"/>
              </w:rPr>
            </w:pPr>
            <w:r>
              <w:rPr>
                <w:rFonts w:hint="eastAsia" w:ascii="宋体" w:hAnsi="宋体"/>
                <w:bCs/>
                <w:szCs w:val="21"/>
              </w:rPr>
              <w:t>投标人获得荣誉（0-2分）</w:t>
            </w:r>
          </w:p>
        </w:tc>
        <w:tc>
          <w:tcPr>
            <w:tcW w:w="4434" w:type="dxa"/>
            <w:vAlign w:val="center"/>
          </w:tcPr>
          <w:p>
            <w:pPr>
              <w:snapToGrid w:val="0"/>
              <w:rPr>
                <w:rFonts w:ascii="宋体" w:hAnsi="宋体"/>
                <w:bCs/>
                <w:szCs w:val="21"/>
              </w:rPr>
            </w:pPr>
            <w:r>
              <w:rPr>
                <w:rFonts w:hint="eastAsia" w:ascii="宋体" w:hAnsi="宋体"/>
                <w:bCs/>
                <w:szCs w:val="21"/>
              </w:rPr>
              <w:t>具有国家认监委、</w:t>
            </w:r>
            <w:r>
              <w:rPr>
                <w:rFonts w:hint="eastAsia" w:ascii="宋体" w:hAnsi="宋体"/>
                <w:bCs/>
                <w:spacing w:val="-6"/>
                <w:szCs w:val="21"/>
              </w:rPr>
              <w:t>市场总局、卫健委和农业部</w:t>
            </w:r>
            <w:r>
              <w:rPr>
                <w:rFonts w:ascii="宋体" w:hAnsi="宋体"/>
                <w:bCs/>
                <w:szCs w:val="21"/>
              </w:rPr>
              <w:t>公布</w:t>
            </w:r>
            <w:r>
              <w:rPr>
                <w:rFonts w:hint="eastAsia" w:ascii="宋体" w:hAnsi="宋体"/>
                <w:bCs/>
                <w:szCs w:val="21"/>
              </w:rPr>
              <w:t>食品复检机构资质的得1分，没有的不得分。具有省级及以上荣誉的或高新技术企业、科技型企业的，有得1分，没有不得分。</w:t>
            </w:r>
          </w:p>
          <w:p>
            <w:pPr>
              <w:snapToGrid w:val="0"/>
              <w:rPr>
                <w:rFonts w:ascii="宋体" w:hAnsi="宋体"/>
                <w:bCs/>
                <w:szCs w:val="21"/>
              </w:rPr>
            </w:pPr>
            <w:r>
              <w:rPr>
                <w:rFonts w:hint="eastAsia" w:ascii="宋体" w:hAnsi="宋体"/>
                <w:bCs/>
                <w:szCs w:val="21"/>
              </w:rPr>
              <w:t>（须提供证明文件）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szCs w:val="21"/>
              </w:rPr>
            </w:pPr>
            <w:r>
              <w:rPr>
                <w:rFonts w:hint="eastAsia" w:ascii="宋体" w:hAnsi="宋体"/>
                <w:bCs/>
                <w:szCs w:val="21"/>
              </w:rPr>
              <w:t>同类项目业绩情况（0-6分）</w:t>
            </w:r>
          </w:p>
        </w:tc>
        <w:tc>
          <w:tcPr>
            <w:tcW w:w="4434" w:type="dxa"/>
            <w:vAlign w:val="center"/>
          </w:tcPr>
          <w:p>
            <w:pPr>
              <w:snapToGrid w:val="0"/>
              <w:rPr>
                <w:rFonts w:ascii="宋体" w:hAnsi="宋体"/>
                <w:szCs w:val="21"/>
              </w:rPr>
            </w:pPr>
            <w:r>
              <w:rPr>
                <w:rFonts w:hint="eastAsia" w:ascii="宋体" w:hAnsi="宋体"/>
                <w:bCs/>
                <w:szCs w:val="21"/>
              </w:rPr>
              <w:t>提供2018年至今省级及以上同类业绩的每个1分，累计不超过3分;市级及市级以下同类业绩的每个0.5分,累计不超过3分。监督检验业绩证明材料且证明材料的检测内容与本次招标要求为同类，如合同、中标通知书、检测报告或业主有效证明材料等，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restart"/>
            <w:tcMar>
              <w:top w:w="15" w:type="dxa"/>
              <w:left w:w="15" w:type="dxa"/>
              <w:bottom w:w="0" w:type="dxa"/>
              <w:right w:w="15" w:type="dxa"/>
            </w:tcMar>
            <w:vAlign w:val="center"/>
          </w:tcPr>
          <w:p>
            <w:pPr>
              <w:snapToGrid w:val="0"/>
              <w:jc w:val="center"/>
              <w:rPr>
                <w:rFonts w:ascii="宋体" w:hAnsi="宋体"/>
                <w:b/>
                <w:szCs w:val="21"/>
              </w:rPr>
            </w:pPr>
            <w:r>
              <w:rPr>
                <w:rFonts w:hint="eastAsia" w:ascii="宋体" w:hAnsi="宋体"/>
                <w:b/>
                <w:szCs w:val="21"/>
              </w:rPr>
              <w:t>技术</w:t>
            </w:r>
          </w:p>
          <w:p>
            <w:pPr>
              <w:snapToGrid w:val="0"/>
              <w:jc w:val="center"/>
              <w:rPr>
                <w:rFonts w:ascii="宋体" w:hAnsi="宋体"/>
                <w:b/>
                <w:szCs w:val="21"/>
              </w:rPr>
            </w:pPr>
            <w:r>
              <w:rPr>
                <w:rFonts w:hint="eastAsia" w:ascii="宋体" w:hAnsi="宋体"/>
                <w:b/>
                <w:szCs w:val="21"/>
              </w:rPr>
              <w:t>评分</w:t>
            </w:r>
          </w:p>
          <w:p>
            <w:pPr>
              <w:snapToGrid w:val="0"/>
              <w:jc w:val="center"/>
              <w:rPr>
                <w:rFonts w:ascii="宋体" w:hAnsi="宋体"/>
                <w:b/>
                <w:szCs w:val="21"/>
              </w:rPr>
            </w:pPr>
            <w:r>
              <w:rPr>
                <w:rFonts w:hint="eastAsia" w:ascii="宋体" w:hAnsi="宋体"/>
                <w:b/>
                <w:szCs w:val="21"/>
              </w:rPr>
              <w:t>80分</w:t>
            </w:r>
          </w:p>
        </w:tc>
        <w:tc>
          <w:tcPr>
            <w:tcW w:w="3571" w:type="dxa"/>
            <w:tcMar>
              <w:top w:w="15" w:type="dxa"/>
              <w:left w:w="15" w:type="dxa"/>
              <w:bottom w:w="0" w:type="dxa"/>
              <w:right w:w="15" w:type="dxa"/>
            </w:tcMar>
            <w:vAlign w:val="center"/>
          </w:tcPr>
          <w:p>
            <w:pPr>
              <w:snapToGrid w:val="0"/>
              <w:rPr>
                <w:rFonts w:ascii="宋体" w:hAnsi="宋体"/>
                <w:szCs w:val="21"/>
              </w:rPr>
            </w:pPr>
            <w:r>
              <w:rPr>
                <w:rFonts w:hint="eastAsia" w:ascii="宋体" w:hAnsi="宋体"/>
                <w:szCs w:val="21"/>
              </w:rPr>
              <w:t>抽检实施方案的优劣(先进性、科学性、完整性)。（0-6分）</w:t>
            </w:r>
          </w:p>
        </w:tc>
        <w:tc>
          <w:tcPr>
            <w:tcW w:w="4434" w:type="dxa"/>
            <w:vAlign w:val="center"/>
          </w:tcPr>
          <w:p>
            <w:pPr>
              <w:snapToGrid w:val="0"/>
              <w:rPr>
                <w:rFonts w:ascii="宋体" w:hAnsi="宋体"/>
                <w:szCs w:val="21"/>
              </w:rPr>
            </w:pPr>
            <w:r>
              <w:rPr>
                <w:rFonts w:hint="eastAsia" w:ascii="宋体" w:hAnsi="宋体"/>
                <w:szCs w:val="21"/>
              </w:rPr>
              <w:t>按先进性、科学性和完整性</w:t>
            </w:r>
            <w:r>
              <w:rPr>
                <w:rFonts w:hint="eastAsia" w:ascii="宋体" w:hAnsi="宋体"/>
                <w:bCs/>
                <w:szCs w:val="21"/>
              </w:rPr>
              <w:t>，对</w:t>
            </w:r>
            <w:r>
              <w:rPr>
                <w:rFonts w:hint="eastAsia" w:ascii="宋体" w:hAnsi="宋体"/>
                <w:szCs w:val="21"/>
              </w:rPr>
              <w:t>抽检实施方案进行整体评价，最优者得6分，其余方案逐次扣分。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tcMar>
              <w:top w:w="15" w:type="dxa"/>
              <w:left w:w="15" w:type="dxa"/>
              <w:bottom w:w="0" w:type="dxa"/>
              <w:right w:w="15" w:type="dxa"/>
            </w:tcMar>
            <w:vAlign w:val="center"/>
          </w:tcPr>
          <w:p>
            <w:pPr>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bCs/>
                <w:szCs w:val="21"/>
              </w:rPr>
            </w:pPr>
            <w:r>
              <w:rPr>
                <w:rFonts w:hint="eastAsia" w:ascii="宋体" w:hAnsi="宋体"/>
                <w:bCs/>
                <w:szCs w:val="21"/>
              </w:rPr>
              <w:t>抽检实施方案与需求的吻合程度，售后服务方案、售后人员和机构服务优劣程度等方面的因素。（0-6分）</w:t>
            </w:r>
          </w:p>
        </w:tc>
        <w:tc>
          <w:tcPr>
            <w:tcW w:w="4434" w:type="dxa"/>
            <w:vAlign w:val="center"/>
          </w:tcPr>
          <w:p>
            <w:pPr>
              <w:snapToGrid w:val="0"/>
              <w:rPr>
                <w:rFonts w:ascii="宋体" w:hAnsi="宋体"/>
                <w:bCs/>
                <w:szCs w:val="21"/>
              </w:rPr>
            </w:pPr>
            <w:r>
              <w:rPr>
                <w:rFonts w:hint="eastAsia" w:ascii="宋体" w:hAnsi="宋体"/>
                <w:bCs/>
                <w:szCs w:val="21"/>
              </w:rPr>
              <w:t>抽检实施方案与需求的吻合（2分）</w:t>
            </w:r>
          </w:p>
          <w:p>
            <w:pPr>
              <w:snapToGrid w:val="0"/>
              <w:rPr>
                <w:rFonts w:ascii="宋体" w:hAnsi="宋体"/>
                <w:bCs/>
                <w:szCs w:val="21"/>
              </w:rPr>
            </w:pPr>
            <w:r>
              <w:rPr>
                <w:rFonts w:hint="eastAsia" w:ascii="宋体" w:hAnsi="宋体"/>
                <w:bCs/>
                <w:szCs w:val="21"/>
              </w:rPr>
              <w:t>售后服务方案满足采购要求（2分）</w:t>
            </w:r>
          </w:p>
          <w:p>
            <w:pPr>
              <w:snapToGrid w:val="0"/>
              <w:rPr>
                <w:rFonts w:ascii="宋体" w:hAnsi="宋体"/>
                <w:bCs/>
                <w:szCs w:val="21"/>
              </w:rPr>
            </w:pPr>
            <w:r>
              <w:rPr>
                <w:rFonts w:hint="eastAsia" w:ascii="宋体" w:hAnsi="宋体"/>
                <w:bCs/>
                <w:szCs w:val="21"/>
              </w:rPr>
              <w:t>售后人员和机构服务满足采购要求（2分）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tcMar>
              <w:top w:w="15" w:type="dxa"/>
              <w:left w:w="15" w:type="dxa"/>
              <w:bottom w:w="0" w:type="dxa"/>
              <w:right w:w="15" w:type="dxa"/>
            </w:tcMar>
            <w:vAlign w:val="center"/>
          </w:tcPr>
          <w:p>
            <w:pPr>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bCs/>
                <w:szCs w:val="21"/>
              </w:rPr>
            </w:pPr>
            <w:r>
              <w:rPr>
                <w:rFonts w:hint="eastAsia" w:ascii="宋体" w:hAnsi="宋体"/>
                <w:bCs/>
                <w:szCs w:val="21"/>
              </w:rPr>
              <w:t>对项目实施思路、原则、特点、技术要求的理解情况，方案在确保阶段性任务实现的同时，是否统筹考虑了总体目标的实现（0-9分）</w:t>
            </w:r>
          </w:p>
        </w:tc>
        <w:tc>
          <w:tcPr>
            <w:tcW w:w="4434" w:type="dxa"/>
            <w:vAlign w:val="center"/>
          </w:tcPr>
          <w:p>
            <w:pPr>
              <w:snapToGrid w:val="0"/>
              <w:rPr>
                <w:rFonts w:ascii="宋体" w:hAnsi="宋体"/>
                <w:bCs/>
                <w:szCs w:val="21"/>
              </w:rPr>
            </w:pPr>
            <w:r>
              <w:rPr>
                <w:rFonts w:hint="eastAsia" w:ascii="宋体" w:hAnsi="宋体"/>
                <w:bCs/>
                <w:szCs w:val="21"/>
              </w:rPr>
              <w:t>对项目实施思路、原则、特点、技术要求的理解情况（3分）</w:t>
            </w:r>
          </w:p>
          <w:p>
            <w:pPr>
              <w:snapToGrid w:val="0"/>
              <w:rPr>
                <w:rFonts w:ascii="宋体" w:hAnsi="宋体"/>
                <w:bCs/>
                <w:szCs w:val="21"/>
              </w:rPr>
            </w:pPr>
            <w:r>
              <w:rPr>
                <w:rFonts w:hint="eastAsia" w:ascii="宋体" w:hAnsi="宋体"/>
                <w:bCs/>
                <w:szCs w:val="21"/>
              </w:rPr>
              <w:t>方案能够确保阶段性任务实现（3分）</w:t>
            </w:r>
          </w:p>
          <w:p>
            <w:pPr>
              <w:snapToGrid w:val="0"/>
              <w:rPr>
                <w:rFonts w:ascii="宋体" w:hAnsi="宋体"/>
                <w:bCs/>
                <w:szCs w:val="21"/>
              </w:rPr>
            </w:pPr>
            <w:r>
              <w:rPr>
                <w:rFonts w:hint="eastAsia" w:ascii="宋体" w:hAnsi="宋体"/>
                <w:bCs/>
                <w:szCs w:val="21"/>
              </w:rPr>
              <w:t>方案能够确保总体目标的实现（3分）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tcMar>
              <w:top w:w="15" w:type="dxa"/>
              <w:left w:w="15" w:type="dxa"/>
              <w:bottom w:w="0" w:type="dxa"/>
              <w:right w:w="15" w:type="dxa"/>
            </w:tcMar>
            <w:vAlign w:val="center"/>
          </w:tcPr>
          <w:p>
            <w:pPr>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bCs/>
                <w:szCs w:val="21"/>
              </w:rPr>
            </w:pPr>
            <w:r>
              <w:rPr>
                <w:rFonts w:hint="eastAsia" w:ascii="宋体" w:hAnsi="宋体"/>
                <w:bCs/>
                <w:szCs w:val="21"/>
              </w:rPr>
              <w:t>对重点、难点技术环节有先进、合理的建议，是否具有先进性、科学性、扩展性和安全性，解决方案是否完整、经济、安全、切实可行，措施得力（0-9分）</w:t>
            </w:r>
          </w:p>
        </w:tc>
        <w:tc>
          <w:tcPr>
            <w:tcW w:w="4434" w:type="dxa"/>
            <w:vAlign w:val="center"/>
          </w:tcPr>
          <w:p>
            <w:pPr>
              <w:snapToGrid w:val="0"/>
              <w:rPr>
                <w:rFonts w:ascii="宋体" w:hAnsi="宋体"/>
                <w:bCs/>
                <w:szCs w:val="21"/>
              </w:rPr>
            </w:pPr>
            <w:r>
              <w:rPr>
                <w:rFonts w:hint="eastAsia" w:ascii="宋体" w:hAnsi="宋体"/>
                <w:bCs/>
                <w:szCs w:val="21"/>
              </w:rPr>
              <w:t>对重点、难点技术环节有先进、合理的建议（3分）</w:t>
            </w:r>
          </w:p>
          <w:p>
            <w:pPr>
              <w:snapToGrid w:val="0"/>
              <w:rPr>
                <w:rFonts w:ascii="宋体" w:hAnsi="宋体"/>
                <w:bCs/>
                <w:szCs w:val="21"/>
              </w:rPr>
            </w:pPr>
            <w:r>
              <w:rPr>
                <w:rFonts w:hint="eastAsia" w:ascii="宋体" w:hAnsi="宋体"/>
                <w:bCs/>
                <w:szCs w:val="21"/>
              </w:rPr>
              <w:t>检测方案具有先进性、科学性、扩展性和安全性（3分）</w:t>
            </w:r>
          </w:p>
          <w:p>
            <w:pPr>
              <w:snapToGrid w:val="0"/>
              <w:rPr>
                <w:rFonts w:ascii="宋体" w:hAnsi="宋体"/>
                <w:bCs/>
                <w:szCs w:val="21"/>
              </w:rPr>
            </w:pPr>
            <w:r>
              <w:rPr>
                <w:rFonts w:hint="eastAsia" w:ascii="宋体" w:hAnsi="宋体"/>
                <w:bCs/>
                <w:szCs w:val="21"/>
              </w:rPr>
              <w:t>解决方案完整、经济、安全、切实可行，措施得力（3分）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szCs w:val="21"/>
              </w:rPr>
            </w:pPr>
            <w:r>
              <w:rPr>
                <w:rFonts w:hint="eastAsia" w:ascii="宋体" w:hAnsi="宋体"/>
                <w:bCs/>
                <w:szCs w:val="21"/>
              </w:rPr>
              <w:t>投标人对检验检测对象特点认识和理解情况（0-4分）</w:t>
            </w:r>
          </w:p>
        </w:tc>
        <w:tc>
          <w:tcPr>
            <w:tcW w:w="4434" w:type="dxa"/>
            <w:vAlign w:val="center"/>
          </w:tcPr>
          <w:p>
            <w:pPr>
              <w:snapToGrid w:val="0"/>
              <w:rPr>
                <w:rFonts w:ascii="宋体" w:hAnsi="宋体"/>
                <w:szCs w:val="21"/>
              </w:rPr>
            </w:pPr>
            <w:r>
              <w:rPr>
                <w:rFonts w:hint="eastAsia" w:ascii="宋体" w:hAnsi="宋体"/>
                <w:bCs/>
                <w:szCs w:val="21"/>
              </w:rPr>
              <w:t>对检验检测对象特点认识和理解情况最佳者得4分，</w:t>
            </w:r>
            <w:r>
              <w:rPr>
                <w:rFonts w:hint="eastAsia" w:ascii="宋体" w:hAnsi="宋体"/>
                <w:szCs w:val="21"/>
              </w:rPr>
              <w:t>其余方案逐次扣分。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szCs w:val="21"/>
              </w:rPr>
            </w:pPr>
            <w:r>
              <w:rPr>
                <w:rFonts w:hint="eastAsia" w:ascii="宋体" w:hAnsi="宋体"/>
                <w:bCs/>
                <w:szCs w:val="21"/>
              </w:rPr>
              <w:t>投标人应具有相应类别的食品检验项目的检测能力，并通过相应的实验室资质认定（0-10分）</w:t>
            </w:r>
          </w:p>
        </w:tc>
        <w:tc>
          <w:tcPr>
            <w:tcW w:w="4434" w:type="dxa"/>
            <w:vAlign w:val="center"/>
          </w:tcPr>
          <w:p>
            <w:pPr>
              <w:snapToGrid w:val="0"/>
              <w:rPr>
                <w:rFonts w:ascii="宋体" w:hAnsi="宋体"/>
                <w:szCs w:val="21"/>
              </w:rPr>
            </w:pPr>
            <w:r>
              <w:rPr>
                <w:rFonts w:hint="eastAsia" w:ascii="宋体" w:hAnsi="宋体"/>
                <w:bCs/>
                <w:szCs w:val="21"/>
              </w:rPr>
              <w:t>全部具备，得10分；不具备全项检测能力或未全部通过相应实验室资质认定的，不得分。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szCs w:val="21"/>
              </w:rPr>
            </w:pPr>
            <w:r>
              <w:rPr>
                <w:rFonts w:hint="eastAsia" w:ascii="宋体" w:hAnsi="宋体"/>
                <w:bCs/>
                <w:szCs w:val="21"/>
              </w:rPr>
              <w:t>拟投入本项目的项目负责人及人员配备情况（0-5分）</w:t>
            </w:r>
          </w:p>
        </w:tc>
        <w:tc>
          <w:tcPr>
            <w:tcW w:w="4434" w:type="dxa"/>
            <w:vAlign w:val="center"/>
          </w:tcPr>
          <w:p>
            <w:pPr>
              <w:snapToGrid w:val="0"/>
              <w:rPr>
                <w:rFonts w:ascii="宋体" w:hAnsi="宋体"/>
                <w:bCs/>
                <w:szCs w:val="21"/>
              </w:rPr>
            </w:pPr>
            <w:r>
              <w:rPr>
                <w:rFonts w:hint="eastAsia" w:ascii="宋体" w:hAnsi="宋体"/>
                <w:bCs/>
                <w:szCs w:val="21"/>
              </w:rPr>
              <w:t>项目负责人技术职称（2分）</w:t>
            </w:r>
          </w:p>
          <w:p>
            <w:pPr>
              <w:snapToGrid w:val="0"/>
              <w:rPr>
                <w:rFonts w:ascii="宋体" w:hAnsi="宋体"/>
                <w:szCs w:val="21"/>
              </w:rPr>
            </w:pPr>
            <w:r>
              <w:rPr>
                <w:rFonts w:hint="eastAsia" w:ascii="宋体" w:hAnsi="宋体"/>
                <w:bCs/>
                <w:szCs w:val="21"/>
              </w:rPr>
              <w:t>项目技术人员总人数（3分）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szCs w:val="21"/>
              </w:rPr>
            </w:pPr>
            <w:r>
              <w:rPr>
                <w:rFonts w:hint="eastAsia" w:ascii="宋体" w:hAnsi="宋体"/>
                <w:bCs/>
                <w:szCs w:val="21"/>
              </w:rPr>
              <w:t>投标人拟投入检测的仪器设备的优劣性（0-6分）</w:t>
            </w:r>
          </w:p>
        </w:tc>
        <w:tc>
          <w:tcPr>
            <w:tcW w:w="4434" w:type="dxa"/>
            <w:vAlign w:val="center"/>
          </w:tcPr>
          <w:p>
            <w:pPr>
              <w:snapToGrid w:val="0"/>
              <w:rPr>
                <w:rFonts w:ascii="宋体" w:hAnsi="宋体"/>
                <w:szCs w:val="21"/>
              </w:rPr>
            </w:pPr>
            <w:r>
              <w:rPr>
                <w:rFonts w:hint="eastAsia" w:ascii="宋体" w:hAnsi="宋体"/>
                <w:bCs/>
                <w:szCs w:val="21"/>
              </w:rPr>
              <w:t>完全满足本项目要求得6分，有缺漏酌情扣分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bCs/>
                <w:szCs w:val="21"/>
              </w:rPr>
            </w:pPr>
            <w:r>
              <w:rPr>
                <w:rFonts w:hint="eastAsia" w:ascii="宋体" w:hAnsi="宋体"/>
                <w:bCs/>
                <w:szCs w:val="21"/>
              </w:rPr>
              <w:t>项目实施过程中的安全保障措施以及质量控制管理制度的优劣性（0-5分）</w:t>
            </w:r>
          </w:p>
        </w:tc>
        <w:tc>
          <w:tcPr>
            <w:tcW w:w="4434" w:type="dxa"/>
            <w:vAlign w:val="center"/>
          </w:tcPr>
          <w:p>
            <w:pPr>
              <w:snapToGrid w:val="0"/>
              <w:rPr>
                <w:rFonts w:ascii="宋体" w:hAnsi="宋体"/>
                <w:bCs/>
                <w:szCs w:val="21"/>
              </w:rPr>
            </w:pPr>
            <w:r>
              <w:rPr>
                <w:rFonts w:hint="eastAsia" w:ascii="宋体" w:hAnsi="宋体"/>
                <w:bCs/>
                <w:szCs w:val="21"/>
              </w:rPr>
              <w:t>安全保障措施（3分）</w:t>
            </w:r>
          </w:p>
          <w:p>
            <w:pPr>
              <w:snapToGrid w:val="0"/>
              <w:rPr>
                <w:rFonts w:ascii="宋体" w:hAnsi="宋体"/>
                <w:bCs/>
                <w:szCs w:val="21"/>
              </w:rPr>
            </w:pPr>
            <w:r>
              <w:rPr>
                <w:rFonts w:ascii="宋体" w:hAnsi="宋体"/>
                <w:bCs/>
                <w:szCs w:val="21"/>
              </w:rPr>
              <w:t>质量控制管理制度</w:t>
            </w:r>
            <w:r>
              <w:rPr>
                <w:rFonts w:hint="eastAsia" w:ascii="宋体" w:hAnsi="宋体"/>
                <w:bCs/>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bCs/>
                <w:szCs w:val="21"/>
              </w:rPr>
            </w:pPr>
            <w:r>
              <w:rPr>
                <w:rFonts w:hint="eastAsia" w:ascii="宋体" w:hAnsi="宋体"/>
                <w:bCs/>
                <w:szCs w:val="21"/>
              </w:rPr>
              <w:t>检测能力验证（0-5分）</w:t>
            </w:r>
          </w:p>
        </w:tc>
        <w:tc>
          <w:tcPr>
            <w:tcW w:w="4434" w:type="dxa"/>
            <w:vAlign w:val="center"/>
          </w:tcPr>
          <w:p>
            <w:pPr>
              <w:snapToGrid w:val="0"/>
              <w:rPr>
                <w:rFonts w:ascii="宋体" w:hAnsi="宋体"/>
                <w:bCs/>
                <w:szCs w:val="21"/>
              </w:rPr>
            </w:pPr>
            <w:r>
              <w:rPr>
                <w:rFonts w:hint="eastAsia" w:ascii="宋体" w:hAnsi="宋体"/>
                <w:bCs/>
                <w:szCs w:val="21"/>
              </w:rPr>
              <w:t>投标人提供2018年1月1日至今年每年参加国内外能力验证或测量审核且结果满意的（提供证明材料），每年至少4份，缺少一份扣0.5分，未提供不得分。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bCs/>
                <w:szCs w:val="21"/>
              </w:rPr>
            </w:pPr>
            <w:r>
              <w:rPr>
                <w:rFonts w:hint="eastAsia" w:ascii="宋体" w:hAnsi="宋体"/>
                <w:bCs/>
                <w:szCs w:val="21"/>
              </w:rPr>
              <w:t>具有本地化服务能力（0-10分）</w:t>
            </w:r>
          </w:p>
        </w:tc>
        <w:tc>
          <w:tcPr>
            <w:tcW w:w="4434" w:type="dxa"/>
            <w:vAlign w:val="center"/>
          </w:tcPr>
          <w:p>
            <w:pPr>
              <w:snapToGrid w:val="0"/>
              <w:rPr>
                <w:rFonts w:ascii="宋体" w:hAnsi="宋体"/>
                <w:bCs/>
                <w:szCs w:val="21"/>
              </w:rPr>
            </w:pPr>
            <w:r>
              <w:rPr>
                <w:rFonts w:hint="eastAsia" w:ascii="宋体" w:hAnsi="宋体"/>
                <w:bCs/>
                <w:szCs w:val="21"/>
              </w:rPr>
              <w:t>有：得10分；没有，不得分（须提供在杭州市设有办公地点及检验地点，具有完善的管理机构的相关证明材料）。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ascii="宋体" w:hAnsi="宋体"/>
                <w:b/>
                <w:szCs w:val="21"/>
              </w:rPr>
            </w:pPr>
          </w:p>
        </w:tc>
        <w:tc>
          <w:tcPr>
            <w:tcW w:w="3571" w:type="dxa"/>
            <w:tcMar>
              <w:top w:w="15" w:type="dxa"/>
              <w:left w:w="15" w:type="dxa"/>
              <w:bottom w:w="0" w:type="dxa"/>
              <w:right w:w="15" w:type="dxa"/>
            </w:tcMar>
            <w:vAlign w:val="center"/>
          </w:tcPr>
          <w:p>
            <w:pPr>
              <w:snapToGrid w:val="0"/>
              <w:rPr>
                <w:rFonts w:ascii="宋体" w:hAnsi="宋体"/>
                <w:bCs/>
                <w:szCs w:val="21"/>
              </w:rPr>
            </w:pPr>
            <w:r>
              <w:rPr>
                <w:rFonts w:hint="eastAsia" w:ascii="宋体" w:hAnsi="宋体"/>
                <w:bCs/>
                <w:szCs w:val="21"/>
              </w:rPr>
              <w:t>对用户需求的响应程度，包括突发事件的应急措施以及其他活动的配合情况（如培训、预警信息及传统食品技术提升）（0-5分）</w:t>
            </w:r>
          </w:p>
        </w:tc>
        <w:tc>
          <w:tcPr>
            <w:tcW w:w="4434" w:type="dxa"/>
            <w:vAlign w:val="center"/>
          </w:tcPr>
          <w:p>
            <w:pPr>
              <w:snapToGrid w:val="0"/>
              <w:rPr>
                <w:rFonts w:ascii="宋体" w:hAnsi="宋体"/>
                <w:bCs/>
                <w:szCs w:val="21"/>
              </w:rPr>
            </w:pPr>
            <w:r>
              <w:rPr>
                <w:rFonts w:hint="eastAsia" w:ascii="宋体" w:hAnsi="宋体"/>
                <w:bCs/>
                <w:szCs w:val="21"/>
              </w:rPr>
              <w:t>突发事件的应急措施（2分）</w:t>
            </w:r>
          </w:p>
          <w:p>
            <w:pPr>
              <w:snapToGrid w:val="0"/>
              <w:rPr>
                <w:rFonts w:ascii="宋体" w:hAnsi="宋体"/>
                <w:bCs/>
                <w:szCs w:val="21"/>
              </w:rPr>
            </w:pPr>
            <w:r>
              <w:rPr>
                <w:rFonts w:hint="eastAsia" w:ascii="宋体" w:hAnsi="宋体"/>
                <w:bCs/>
                <w:szCs w:val="21"/>
              </w:rPr>
              <w:t>培训（1分）</w:t>
            </w:r>
          </w:p>
          <w:p>
            <w:pPr>
              <w:snapToGrid w:val="0"/>
              <w:rPr>
                <w:rFonts w:ascii="宋体" w:hAnsi="宋体"/>
                <w:bCs/>
                <w:szCs w:val="21"/>
              </w:rPr>
            </w:pPr>
            <w:r>
              <w:rPr>
                <w:rFonts w:hint="eastAsia" w:ascii="宋体" w:hAnsi="宋体"/>
                <w:bCs/>
                <w:szCs w:val="21"/>
              </w:rPr>
              <w:t>预警信息（1分）</w:t>
            </w:r>
          </w:p>
          <w:p>
            <w:pPr>
              <w:snapToGrid w:val="0"/>
              <w:rPr>
                <w:rFonts w:ascii="宋体" w:hAnsi="宋体"/>
                <w:bCs/>
                <w:szCs w:val="21"/>
              </w:rPr>
            </w:pPr>
            <w:r>
              <w:rPr>
                <w:rFonts w:hint="eastAsia" w:ascii="宋体" w:hAnsi="宋体"/>
                <w:bCs/>
                <w:szCs w:val="21"/>
              </w:rPr>
              <w:t>传统食品技术提升（1分）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Align w:val="center"/>
          </w:tcPr>
          <w:p>
            <w:pPr>
              <w:snapToGrid w:val="0"/>
              <w:jc w:val="center"/>
              <w:rPr>
                <w:rFonts w:ascii="宋体" w:hAnsi="宋体"/>
                <w:b/>
                <w:szCs w:val="21"/>
              </w:rPr>
            </w:pPr>
            <w:r>
              <w:rPr>
                <w:rFonts w:hint="eastAsia" w:ascii="宋体" w:hAnsi="宋体"/>
                <w:b/>
                <w:szCs w:val="21"/>
              </w:rPr>
              <w:t>价格</w:t>
            </w:r>
          </w:p>
          <w:p>
            <w:pPr>
              <w:snapToGrid w:val="0"/>
              <w:jc w:val="center"/>
              <w:rPr>
                <w:rFonts w:ascii="宋体" w:hAnsi="宋体"/>
                <w:b/>
                <w:szCs w:val="21"/>
              </w:rPr>
            </w:pPr>
            <w:r>
              <w:rPr>
                <w:rFonts w:hint="eastAsia" w:ascii="宋体" w:hAnsi="宋体"/>
                <w:b/>
                <w:szCs w:val="21"/>
              </w:rPr>
              <w:t>10分</w:t>
            </w:r>
          </w:p>
        </w:tc>
        <w:tc>
          <w:tcPr>
            <w:tcW w:w="8005" w:type="dxa"/>
            <w:gridSpan w:val="2"/>
            <w:tcMar>
              <w:top w:w="15" w:type="dxa"/>
              <w:left w:w="15" w:type="dxa"/>
              <w:bottom w:w="0" w:type="dxa"/>
              <w:right w:w="15" w:type="dxa"/>
            </w:tcMar>
            <w:vAlign w:val="center"/>
          </w:tcPr>
          <w:p>
            <w:pPr>
              <w:snapToGrid w:val="0"/>
              <w:rPr>
                <w:rFonts w:ascii="宋体" w:hAnsi="宋体" w:cs="宋体"/>
                <w:szCs w:val="21"/>
                <w:lang w:val="zh-CN"/>
              </w:rPr>
            </w:pPr>
            <w:r>
              <w:rPr>
                <w:rFonts w:hint="eastAsia" w:ascii="宋体" w:hAnsi="宋体" w:cs="宋体"/>
                <w:szCs w:val="21"/>
                <w:lang w:val="zh-CN"/>
              </w:rPr>
              <w:t>报价分采用低价优先法计算，即满足招标文件要求且投标价格最低的投标报价为评标基准价，得满分10分，其他投标人的价格分按照下列公式计算：</w:t>
            </w:r>
          </w:p>
          <w:p>
            <w:pPr>
              <w:snapToGrid w:val="0"/>
              <w:rPr>
                <w:rFonts w:ascii="宋体" w:hAnsi="宋体" w:cs="宋体"/>
                <w:szCs w:val="21"/>
                <w:lang w:val="zh-CN"/>
              </w:rPr>
            </w:pPr>
            <w:r>
              <w:rPr>
                <w:rFonts w:hint="eastAsia" w:ascii="宋体" w:hAnsi="宋体" w:cs="宋体"/>
                <w:szCs w:val="21"/>
                <w:lang w:val="zh-CN"/>
              </w:rPr>
              <w:t>价格分=（评标基准价/投标报价）×10%×100</w:t>
            </w:r>
          </w:p>
          <w:p>
            <w:pPr>
              <w:snapToGrid w:val="0"/>
              <w:rPr>
                <w:rFonts w:ascii="宋体" w:hAnsi="宋体" w:cs="宋体"/>
                <w:szCs w:val="21"/>
                <w:lang w:val="zh-CN"/>
              </w:rPr>
            </w:pPr>
            <w:r>
              <w:rPr>
                <w:rFonts w:hint="eastAsia" w:ascii="宋体" w:hAnsi="宋体" w:cs="宋体"/>
                <w:szCs w:val="21"/>
                <w:lang w:val="zh-CN"/>
              </w:rPr>
              <w:t>其中投标报价为经评标委员会评审后的价格。</w:t>
            </w:r>
          </w:p>
          <w:p>
            <w:pPr>
              <w:snapToGrid w:val="0"/>
              <w:rPr>
                <w:rFonts w:ascii="宋体" w:hAnsi="宋体" w:cs="宋体"/>
                <w:szCs w:val="21"/>
              </w:rPr>
            </w:pPr>
            <w:r>
              <w:rPr>
                <w:rFonts w:hint="eastAsia" w:ascii="宋体" w:hAnsi="宋体" w:cs="宋体"/>
                <w:szCs w:val="21"/>
                <w:lang w:val="zh-CN"/>
              </w:rPr>
              <w:t>注：投标人的报价明显低于其他通过符合性审查投标人的报价，有可能影响产品质量或者不能诚信履约的，对于投标价格不足标的</w:t>
            </w:r>
            <w:r>
              <w:rPr>
                <w:rFonts w:hint="eastAsia" w:ascii="宋体" w:hAnsi="宋体" w:cs="宋体"/>
                <w:szCs w:val="21"/>
              </w:rPr>
              <w:t>预算金额</w:t>
            </w:r>
            <w:r>
              <w:rPr>
                <w:rFonts w:hint="eastAsia" w:ascii="宋体" w:hAnsi="宋体" w:cs="宋体"/>
                <w:szCs w:val="21"/>
                <w:lang w:val="zh-CN"/>
              </w:rPr>
              <w:t>50%的情况，投标方</w:t>
            </w:r>
            <w:r>
              <w:rPr>
                <w:rFonts w:hint="eastAsia" w:ascii="宋体" w:hAnsi="宋体" w:cs="宋体"/>
                <w:szCs w:val="21"/>
              </w:rPr>
              <w:t>必须在投标文件中</w:t>
            </w:r>
            <w:r>
              <w:rPr>
                <w:rFonts w:hint="eastAsia" w:ascii="宋体" w:hAnsi="宋体" w:cs="宋体"/>
                <w:szCs w:val="21"/>
                <w:lang w:val="zh-CN"/>
              </w:rPr>
              <w:t>书面出具</w:t>
            </w:r>
            <w:r>
              <w:rPr>
                <w:rFonts w:hint="eastAsia" w:ascii="宋体" w:hAnsi="宋体" w:cs="宋体"/>
                <w:szCs w:val="21"/>
              </w:rPr>
              <w:t>能够充分证明报价合理性的相关</w:t>
            </w:r>
            <w:r>
              <w:rPr>
                <w:rFonts w:hint="eastAsia" w:ascii="宋体" w:hAnsi="宋体" w:cs="宋体"/>
                <w:szCs w:val="21"/>
                <w:lang w:val="zh-CN"/>
              </w:rPr>
              <w:t>成本说明</w:t>
            </w:r>
            <w:r>
              <w:rPr>
                <w:rFonts w:hint="eastAsia" w:ascii="宋体" w:hAnsi="宋体" w:cs="宋体"/>
                <w:szCs w:val="21"/>
              </w:rPr>
              <w:t>及证明材料</w:t>
            </w:r>
            <w:r>
              <w:rPr>
                <w:rFonts w:hint="eastAsia" w:ascii="宋体" w:hAnsi="宋体" w:cs="宋体"/>
                <w:szCs w:val="21"/>
                <w:lang w:val="zh-CN"/>
              </w:rPr>
              <w:t>（</w:t>
            </w:r>
            <w:r>
              <w:rPr>
                <w:rFonts w:hint="eastAsia"/>
                <w:b/>
                <w:bCs/>
                <w:szCs w:val="21"/>
              </w:rPr>
              <w:t>成本说明必须包括:人员工资、房屋水电、买样费用、交通住宿、设备折旧、检验相关易耗品等6项，并按比例平摊到每批次</w:t>
            </w:r>
            <w:r>
              <w:rPr>
                <w:rFonts w:hint="eastAsia" w:ascii="宋体" w:hAnsi="宋体" w:cs="宋体"/>
                <w:szCs w:val="21"/>
              </w:rPr>
              <w:t>）</w:t>
            </w:r>
            <w:r>
              <w:rPr>
                <w:rFonts w:hint="eastAsia" w:ascii="宋体" w:hAnsi="宋体" w:cs="宋体"/>
                <w:szCs w:val="21"/>
                <w:lang w:val="zh-CN"/>
              </w:rPr>
              <w:t>，</w:t>
            </w:r>
            <w:r>
              <w:rPr>
                <w:rFonts w:hint="eastAsia" w:ascii="宋体" w:hAnsi="宋体" w:cs="宋体"/>
                <w:szCs w:val="21"/>
              </w:rPr>
              <w:t>未提供</w:t>
            </w:r>
            <w:r>
              <w:rPr>
                <w:rFonts w:hint="eastAsia" w:ascii="宋体" w:hAnsi="宋体" w:cs="宋体"/>
                <w:szCs w:val="21"/>
                <w:lang w:val="zh-CN"/>
              </w:rPr>
              <w:t>成本说明</w:t>
            </w:r>
            <w:r>
              <w:rPr>
                <w:rFonts w:hint="eastAsia" w:ascii="宋体" w:hAnsi="宋体" w:cs="宋体"/>
                <w:szCs w:val="21"/>
              </w:rPr>
              <w:t>及相关证明材料或</w:t>
            </w:r>
            <w:r>
              <w:rPr>
                <w:rFonts w:hint="eastAsia" w:ascii="宋体" w:hAnsi="宋体" w:cs="宋体"/>
                <w:szCs w:val="21"/>
                <w:lang w:val="zh-CN"/>
              </w:rPr>
              <w:t>成本说明</w:t>
            </w:r>
            <w:r>
              <w:rPr>
                <w:rFonts w:hint="eastAsia" w:ascii="宋体" w:hAnsi="宋体" w:cs="宋体"/>
                <w:szCs w:val="21"/>
              </w:rPr>
              <w:t>及相关证明材料不能得到评标委员会认可的，将作为无效投标处理。</w:t>
            </w:r>
          </w:p>
          <w:p>
            <w:pPr>
              <w:snapToGrid w:val="0"/>
              <w:rPr>
                <w:rFonts w:ascii="宋体" w:hAnsi="宋体" w:cs="宋体"/>
                <w:szCs w:val="21"/>
              </w:rPr>
            </w:pPr>
            <w:r>
              <w:rPr>
                <w:rFonts w:hint="eastAsia" w:ascii="宋体" w:hAnsi="宋体" w:cs="宋体"/>
                <w:szCs w:val="21"/>
              </w:rPr>
              <w:t xml:space="preserve"> </w:t>
            </w:r>
          </w:p>
          <w:p>
            <w:pPr>
              <w:snapToGrid w:val="0"/>
              <w:rPr>
                <w:rFonts w:ascii="宋体" w:hAnsi="宋体"/>
                <w:bCs/>
                <w:szCs w:val="21"/>
              </w:rPr>
            </w:pPr>
            <w:r>
              <w:rPr>
                <w:rFonts w:hint="eastAsia" w:ascii="宋体" w:hAnsi="宋体"/>
                <w:bCs/>
                <w:szCs w:val="21"/>
              </w:rPr>
              <w:t>根据《政府采购促进中小企业发展管理办法》（财库〔2020〕46号）、《财政部 司法部关于政府采购支持监狱企业发展有关问题的通知》（财库[2014]68号）及《关于促进残疾人就业政府采购政策的通知》（财库[2017]141号）规定要求，评标委员会对提供有效认定材料的小微企业、监狱企业及符合条件的残疾人福利性单位给予10%的价格扣除后，计算各投标人价格分，其中：</w:t>
            </w:r>
          </w:p>
          <w:p>
            <w:pPr>
              <w:snapToGrid w:val="0"/>
              <w:rPr>
                <w:rFonts w:ascii="宋体" w:hAnsi="宋体"/>
                <w:bCs/>
                <w:szCs w:val="21"/>
              </w:rPr>
            </w:pPr>
            <w:r>
              <w:rPr>
                <w:rFonts w:hint="eastAsia" w:ascii="宋体" w:hAnsi="宋体"/>
                <w:bCs/>
                <w:szCs w:val="21"/>
              </w:rPr>
              <w:t>a.中小企业划分标准根据《政府采购促进中小企业发展管理办法》（财库〔2020〕46号）文件确定，参加政府采购活动的中小企业应当根据划分标准如实填写财库〔2020〕46号文件附件格式的《中小企业声明函》供评标委员会认定；</w:t>
            </w:r>
          </w:p>
          <w:p>
            <w:pPr>
              <w:snapToGrid w:val="0"/>
              <w:rPr>
                <w:rFonts w:ascii="宋体" w:hAnsi="宋体"/>
                <w:bCs/>
                <w:szCs w:val="21"/>
              </w:rPr>
            </w:pPr>
            <w:r>
              <w:rPr>
                <w:rFonts w:hint="eastAsia" w:ascii="宋体" w:hAnsi="宋体"/>
                <w:bCs/>
                <w:szCs w:val="21"/>
              </w:rPr>
              <w:t>b.监狱企业参加政府采购活动时，应当提供由省级以上监狱管理局、戒毒管理局（含新疆生产建设兵团）出具的属于监狱企业的证明文件供评标委员会认定。</w:t>
            </w:r>
          </w:p>
          <w:p>
            <w:pPr>
              <w:snapToGrid w:val="0"/>
              <w:rPr>
                <w:rFonts w:ascii="宋体" w:hAnsi="宋体" w:cs="宋体"/>
                <w:szCs w:val="21"/>
                <w:lang w:val="zh-CN"/>
              </w:rPr>
            </w:pPr>
            <w:r>
              <w:rPr>
                <w:rFonts w:hint="eastAsia" w:ascii="宋体" w:hAnsi="宋体"/>
                <w:bCs/>
                <w:szCs w:val="21"/>
              </w:rPr>
              <w:t>c.符合条件的残疾人福利性单位在参加政府采购活动时，应当提供财库[2017]141号文件附件格式的《残疾人福利性单位声明函》供评标委员会认定，并对声明的真实性负责。</w:t>
            </w:r>
          </w:p>
        </w:tc>
      </w:tr>
    </w:tbl>
    <w:p>
      <w:pPr>
        <w:pStyle w:val="73"/>
        <w:adjustRightInd w:val="0"/>
        <w:snapToGrid w:val="0"/>
        <w:spacing w:before="0"/>
        <w:ind w:firstLine="482"/>
        <w:rPr>
          <w:rFonts w:ascii="宋体" w:hAnsi="宋体"/>
          <w:b/>
          <w:kern w:val="0"/>
          <w:szCs w:val="24"/>
        </w:rPr>
      </w:pPr>
      <w:r>
        <w:rPr>
          <w:rFonts w:hint="eastAsia" w:ascii="宋体" w:hAnsi="宋体"/>
          <w:b/>
          <w:kern w:val="0"/>
          <w:szCs w:val="24"/>
        </w:rPr>
        <w:t>报价是中标的一个重要因素，但最低报价不是中标的唯一依据。</w:t>
      </w:r>
    </w:p>
    <w:p>
      <w:pPr>
        <w:pStyle w:val="73"/>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24</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评标内容的保密</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24.1  公开开标后，直到宣布中标单位止，凡属于审查、澄清、评价和比较投标的所有资料，都不应向投标人或与评标无关的其他人泄露。</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24.2  在投标文件的审查、澄清、评价和比较以及确定中标人过程中，投标人对采购代理机构和评标机构施加影响的任何行为，都将导致取消资格。</w:t>
      </w:r>
    </w:p>
    <w:p>
      <w:pPr>
        <w:pStyle w:val="73"/>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25</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投标文件的澄清</w:t>
      </w:r>
    </w:p>
    <w:bookmarkEnd w:id="76"/>
    <w:p>
      <w:pPr>
        <w:pStyle w:val="73"/>
        <w:adjustRightInd w:val="0"/>
        <w:snapToGrid w:val="0"/>
        <w:spacing w:before="0"/>
        <w:ind w:firstLine="480"/>
        <w:rPr>
          <w:rFonts w:asciiTheme="minorEastAsia" w:hAnsiTheme="minorEastAsia" w:eastAsiaTheme="minorEastAsia"/>
          <w:szCs w:val="24"/>
        </w:rPr>
      </w:pPr>
      <w:bookmarkStart w:id="77" w:name="_Toc86216994"/>
      <w:r>
        <w:rPr>
          <w:rFonts w:hint="eastAsia" w:asciiTheme="minorEastAsia" w:hAnsiTheme="minorEastAsia" w:eastAsiaTheme="minorEastAsia"/>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2"/>
        <w:adjustRightInd w:val="0"/>
        <w:snapToGrid w:val="0"/>
        <w:spacing w:line="360" w:lineRule="auto"/>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26</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废标</w:t>
      </w:r>
    </w:p>
    <w:p>
      <w:pPr>
        <w:pStyle w:val="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根据《中华人民共和国政府采购法》第三十六条之规定，在采购中，出现下列情形之一的，应予废标：</w:t>
      </w:r>
    </w:p>
    <w:p>
      <w:pPr>
        <w:pStyle w:val="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(1)符合专业条件的供应商或者对招标文件作实质响应的供应商不足3家的；</w:t>
      </w:r>
    </w:p>
    <w:p>
      <w:pPr>
        <w:pStyle w:val="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(2)出现影响采购公正的违法、违规行为的；</w:t>
      </w:r>
    </w:p>
    <w:p>
      <w:pPr>
        <w:pStyle w:val="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(3)投标人的报价均超过了采购预算，采购单位不能支付的；</w:t>
      </w:r>
    </w:p>
    <w:p>
      <w:pPr>
        <w:pStyle w:val="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(4)因重大变故，采购任务取消的。</w:t>
      </w:r>
    </w:p>
    <w:p>
      <w:pPr>
        <w:pStyle w:val="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废标后，采购代理机构应当将废标理由通知所有投标人。</w:t>
      </w:r>
    </w:p>
    <w:p>
      <w:pPr>
        <w:pStyle w:val="2"/>
        <w:adjustRightInd w:val="0"/>
        <w:snapToGrid w:val="0"/>
        <w:spacing w:line="360" w:lineRule="auto"/>
        <w:ind w:firstLine="0" w:firstLineChars="0"/>
        <w:rPr>
          <w:rFonts w:asciiTheme="minorEastAsia" w:hAnsiTheme="minorEastAsia" w:eastAsiaTheme="minorEastAsia"/>
          <w:b/>
          <w:spacing w:val="20"/>
          <w:szCs w:val="24"/>
        </w:rPr>
      </w:pPr>
      <w:r>
        <w:rPr>
          <w:rFonts w:hint="eastAsia" w:asciiTheme="minorEastAsia" w:hAnsiTheme="minorEastAsia" w:eastAsiaTheme="minorEastAsia"/>
          <w:b/>
          <w:szCs w:val="24"/>
        </w:rPr>
        <w:t>27.</w:t>
      </w:r>
      <w:r>
        <w:rPr>
          <w:rFonts w:hint="eastAsia" w:asciiTheme="minorEastAsia" w:hAnsiTheme="minorEastAsia" w:eastAsiaTheme="minorEastAsia"/>
          <w:b/>
          <w:spacing w:val="20"/>
          <w:szCs w:val="24"/>
        </w:rPr>
        <w:t xml:space="preserve"> 无效标</w:t>
      </w:r>
    </w:p>
    <w:p>
      <w:pPr>
        <w:pStyle w:val="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投标文件有下列情况之一的，其投标文件作无效处理：</w:t>
      </w:r>
    </w:p>
    <w:p>
      <w:pPr>
        <w:adjustRightInd w:val="0"/>
        <w:snapToGrid w:val="0"/>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eastAsiaTheme="minorEastAsia"/>
          <w:sz w:val="24"/>
          <w:szCs w:val="24"/>
        </w:rPr>
        <w:t>（1）投标人未</w:t>
      </w:r>
      <w:r>
        <w:rPr>
          <w:rFonts w:hint="eastAsia" w:ascii="宋体" w:hAnsi="宋体" w:cs="宋体"/>
          <w:sz w:val="24"/>
        </w:rPr>
        <w:t>按政采云平台要求提交本项目电子投标文件的；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（2）投标文件未按要求密封包装或者由于</w:t>
      </w:r>
      <w:r>
        <w:rPr>
          <w:rFonts w:hint="eastAsia" w:asciiTheme="minorEastAsia" w:hAnsiTheme="minorEastAsia" w:eastAsiaTheme="minorEastAsia"/>
          <w:sz w:val="24"/>
          <w:szCs w:val="24"/>
        </w:rPr>
        <w:t>包装不妥，在送交途中严重破损或失散的投标文件；</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（3）开标时授权委托人与投标文件中授权委托书所载内容有异的；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（4）投标文件组成漏项或未按规定的格式编制，内容不全或内容字迹模糊辨认不清的。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（5）投标人不具备投标资格的，或者未按规定交纳投标保证金的；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（6）投标报价明显低于其他通过符合性审查投标人的报价，有可能影响产品质量或者不能诚信履约，且不能证明其报价合理性的；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（7）投标人未按招标文件变更通知更改投标文件的；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（8）《投标（开标）一览表》和《投标报价明细清单》填写不完整或字迹不能辨认的；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（9）经评标委员会审核，投标人所投内容不符合实质性采购要求的；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（10）投标人拒绝按招标文件第22.3条修正原则对投标文件进行修改的。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（11）投标人提供虚假材料投标的；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（11）经评标委员会审核，投标人的投标文件有类同或有串标嫌疑的；</w:t>
      </w:r>
    </w:p>
    <w:p>
      <w:pPr>
        <w:pStyle w:val="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（12）参与本次招标活动前三年内，投标人在浙江省范围内</w:t>
      </w:r>
      <w:r>
        <w:rPr>
          <w:rFonts w:hint="eastAsia" w:asciiTheme="minorEastAsia" w:hAnsiTheme="minorEastAsia" w:eastAsiaTheme="minorEastAsia"/>
          <w:kern w:val="0"/>
          <w:szCs w:val="24"/>
        </w:rPr>
        <w:t>政府采购领域中</w:t>
      </w:r>
      <w:r>
        <w:rPr>
          <w:rFonts w:hint="eastAsia" w:asciiTheme="minorEastAsia" w:hAnsiTheme="minorEastAsia" w:eastAsiaTheme="minorEastAsia"/>
          <w:szCs w:val="24"/>
        </w:rPr>
        <w:t>，在项目招标、投标和合同履约期间存在违法以及违反政府采购供应商行为规范且情节严重的。</w:t>
      </w:r>
    </w:p>
    <w:p>
      <w:pPr>
        <w:pStyle w:val="4"/>
        <w:jc w:val="center"/>
        <w:rPr>
          <w:rFonts w:asciiTheme="minorEastAsia" w:hAnsiTheme="minorEastAsia" w:eastAsiaTheme="minorEastAsia"/>
          <w:szCs w:val="24"/>
        </w:rPr>
      </w:pPr>
      <w:bookmarkStart w:id="78" w:name="_Toc4007"/>
      <w:r>
        <w:rPr>
          <w:rFonts w:hint="eastAsia" w:asciiTheme="minorEastAsia" w:hAnsiTheme="minorEastAsia" w:eastAsiaTheme="minorEastAsia"/>
          <w:szCs w:val="24"/>
        </w:rPr>
        <w:t>七、定 标</w:t>
      </w:r>
      <w:bookmarkEnd w:id="77"/>
      <w:bookmarkEnd w:id="78"/>
    </w:p>
    <w:p>
      <w:pPr>
        <w:pStyle w:val="2"/>
        <w:adjustRightInd w:val="0"/>
        <w:snapToGrid w:val="0"/>
        <w:spacing w:line="360" w:lineRule="auto"/>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28</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定标</w:t>
      </w:r>
    </w:p>
    <w:p>
      <w:pPr>
        <w:spacing w:line="360" w:lineRule="auto"/>
        <w:ind w:firstLine="480" w:firstLineChars="200"/>
        <w:rPr>
          <w:rFonts w:asciiTheme="minorEastAsia" w:hAnsiTheme="minorEastAsia" w:eastAsiaTheme="minorEastAsia"/>
          <w:sz w:val="24"/>
          <w:szCs w:val="24"/>
        </w:rPr>
      </w:pPr>
      <w:bookmarkStart w:id="79" w:name="_Hlt75236103"/>
      <w:bookmarkEnd w:id="79"/>
      <w:bookmarkStart w:id="80" w:name="_Toc86216995"/>
      <w:bookmarkStart w:id="81" w:name="_Toc91899910"/>
      <w:r>
        <w:rPr>
          <w:rFonts w:hint="eastAsia" w:asciiTheme="minorEastAsia" w:hAnsiTheme="minorEastAsia" w:eastAsiaTheme="minorEastAsia"/>
          <w:sz w:val="24"/>
          <w:szCs w:val="24"/>
        </w:rPr>
        <w:t>评标委员会将根据招标文件和有关规定，履行评标工作职责，以评标原则和评标办法为标准，全面衡量各投标人对招标文件的响应情况。对实质上响应招标文件的投标人，以打分的方法，排出推荐中标的投标人的先后顺序，并按顺序提出授标建议。评标结果报经批准，最终确定中标人。</w:t>
      </w:r>
    </w:p>
    <w:p>
      <w:pPr>
        <w:pStyle w:val="4"/>
        <w:jc w:val="center"/>
        <w:rPr>
          <w:rFonts w:asciiTheme="minorEastAsia" w:hAnsiTheme="minorEastAsia" w:eastAsiaTheme="minorEastAsia"/>
          <w:szCs w:val="24"/>
        </w:rPr>
      </w:pPr>
      <w:bookmarkStart w:id="82" w:name="_Toc29428"/>
      <w:r>
        <w:rPr>
          <w:rFonts w:hint="eastAsia" w:asciiTheme="minorEastAsia" w:hAnsiTheme="minorEastAsia" w:eastAsiaTheme="minorEastAsia"/>
          <w:szCs w:val="24"/>
        </w:rPr>
        <w:t>八、</w:t>
      </w:r>
      <w:bookmarkEnd w:id="80"/>
      <w:r>
        <w:rPr>
          <w:rFonts w:hint="eastAsia" w:asciiTheme="minorEastAsia" w:hAnsiTheme="minorEastAsia" w:eastAsiaTheme="minorEastAsia"/>
          <w:szCs w:val="24"/>
        </w:rPr>
        <w:t>合同签订及其他</w:t>
      </w:r>
      <w:bookmarkEnd w:id="82"/>
    </w:p>
    <w:bookmarkEnd w:id="81"/>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29</w:t>
      </w:r>
      <w:r>
        <w:rPr>
          <w:rFonts w:hint="eastAsia" w:asciiTheme="minorEastAsia" w:hAnsiTheme="minorEastAsia" w:eastAsiaTheme="minorEastAsia"/>
          <w:b/>
          <w:kern w:val="0"/>
          <w:sz w:val="24"/>
          <w:szCs w:val="24"/>
          <w:lang w:val="zh-CN"/>
        </w:rPr>
        <w:t xml:space="preserve">. </w:t>
      </w:r>
      <w:r>
        <w:rPr>
          <w:rFonts w:hint="eastAsia" w:asciiTheme="minorEastAsia" w:hAnsiTheme="minorEastAsia" w:eastAsiaTheme="minorEastAsia"/>
          <w:b/>
          <w:sz w:val="24"/>
          <w:szCs w:val="24"/>
        </w:rPr>
        <w:t>中标书</w:t>
      </w:r>
    </w:p>
    <w:p>
      <w:pPr>
        <w:pStyle w:val="73"/>
        <w:adjustRightInd w:val="0"/>
        <w:snapToGrid w:val="0"/>
        <w:spacing w:before="0"/>
        <w:ind w:firstLine="480"/>
        <w:rPr>
          <w:rFonts w:asciiTheme="minorEastAsia" w:hAnsiTheme="minorEastAsia" w:eastAsiaTheme="minorEastAsia"/>
          <w:kern w:val="0"/>
          <w:szCs w:val="24"/>
          <w:lang w:val="zh-CN"/>
        </w:rPr>
      </w:pPr>
      <w:r>
        <w:rPr>
          <w:rFonts w:hint="eastAsia" w:asciiTheme="minorEastAsia" w:hAnsiTheme="minorEastAsia" w:eastAsiaTheme="minorEastAsia"/>
          <w:szCs w:val="24"/>
        </w:rPr>
        <w:t xml:space="preserve">29.1  </w:t>
      </w:r>
      <w:r>
        <w:rPr>
          <w:rFonts w:hint="eastAsia" w:asciiTheme="minorEastAsia" w:hAnsiTheme="minorEastAsia" w:eastAsiaTheme="minorEastAsia"/>
          <w:kern w:val="0"/>
          <w:szCs w:val="24"/>
          <w:lang w:val="zh-CN"/>
        </w:rPr>
        <w:t>确定中标人后，采购代理机构将在发布招标公告的网站上公布评标结果，并将预中标结果在指定媒体上公示同时，采购代理机构向中标供应商签发中标通知书。</w:t>
      </w:r>
    </w:p>
    <w:p>
      <w:pPr>
        <w:pStyle w:val="73"/>
        <w:adjustRightInd w:val="0"/>
        <w:snapToGrid w:val="0"/>
        <w:spacing w:before="0"/>
        <w:ind w:firstLine="480"/>
        <w:rPr>
          <w:rFonts w:asciiTheme="minorEastAsia" w:hAnsiTheme="minorEastAsia" w:eastAsiaTheme="minorEastAsia"/>
          <w:kern w:val="0"/>
          <w:szCs w:val="24"/>
          <w:lang w:val="zh-CN"/>
        </w:rPr>
      </w:pPr>
      <w:r>
        <w:rPr>
          <w:rFonts w:hint="eastAsia" w:asciiTheme="minorEastAsia" w:hAnsiTheme="minorEastAsia" w:eastAsiaTheme="minorEastAsia"/>
          <w:kern w:val="0"/>
          <w:szCs w:val="24"/>
          <w:lang w:val="zh-CN"/>
        </w:rPr>
        <w:t>在采购代理机构发出中标通知书前，预中标供应商有违反有关法律法规和本项目要求行为的，则取消该投标人的预中标资格，不再退还其投标保证金，并根据评标委员会推荐的中标候选人先后顺序，将下一顺序单位作为预中标公示单位，或由评标委员会提出重新组织采购等建议。</w:t>
      </w:r>
    </w:p>
    <w:p>
      <w:pPr>
        <w:pStyle w:val="73"/>
        <w:adjustRightInd w:val="0"/>
        <w:snapToGrid w:val="0"/>
        <w:spacing w:before="0"/>
        <w:ind w:firstLine="480"/>
        <w:rPr>
          <w:rFonts w:asciiTheme="minorEastAsia" w:hAnsiTheme="minorEastAsia" w:eastAsiaTheme="minorEastAsia"/>
          <w:kern w:val="0"/>
          <w:szCs w:val="24"/>
          <w:lang w:val="zh-CN"/>
        </w:rPr>
      </w:pPr>
      <w:r>
        <w:rPr>
          <w:rFonts w:hint="eastAsia" w:asciiTheme="minorEastAsia" w:hAnsiTheme="minorEastAsia" w:eastAsiaTheme="minorEastAsia"/>
          <w:kern w:val="0"/>
          <w:szCs w:val="24"/>
          <w:lang w:val="zh-CN"/>
        </w:rPr>
        <w:t>29.2  投标人全部接受合同条件并签订合同后，中标通知书亦成为合同的组成部分。</w:t>
      </w:r>
    </w:p>
    <w:p>
      <w:pPr>
        <w:tabs>
          <w:tab w:val="left" w:pos="0"/>
        </w:tabs>
        <w:adjustRightInd w:val="0"/>
        <w:snapToGrid w:val="0"/>
        <w:spacing w:line="360" w:lineRule="auto"/>
        <w:ind w:firstLine="480" w:firstLineChars="20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29.3  如中标人拒绝承担中标的项目，或提出采购代理机构不能接受的条件，致使合同无法签订，采购代理机构将取消其中标资格，不再退还其投标保证金，并根据评标委员会推荐的中标候选人先后顺序，将下一顺序单位作为预中标公示单位，或由评标委员会提出重新组织采购等建议。</w:t>
      </w:r>
    </w:p>
    <w:p>
      <w:pPr>
        <w:pStyle w:val="73"/>
        <w:adjustRightInd w:val="0"/>
        <w:snapToGrid w:val="0"/>
        <w:spacing w:before="0"/>
        <w:ind w:firstLine="480"/>
        <w:rPr>
          <w:rFonts w:asciiTheme="minorEastAsia" w:hAnsiTheme="minorEastAsia" w:eastAsiaTheme="minorEastAsia"/>
          <w:kern w:val="0"/>
          <w:szCs w:val="24"/>
          <w:lang w:val="zh-CN"/>
        </w:rPr>
      </w:pPr>
      <w:r>
        <w:rPr>
          <w:rFonts w:hint="eastAsia" w:asciiTheme="minorEastAsia" w:hAnsiTheme="minorEastAsia" w:eastAsiaTheme="minorEastAsia"/>
          <w:kern w:val="0"/>
          <w:szCs w:val="24"/>
          <w:lang w:val="zh-CN"/>
        </w:rPr>
        <w:t>29.4  在中标人签订合同并生效后，中标人即为供应商，采购代理机构及时将未中标的结果通知其他投标人。</w:t>
      </w:r>
    </w:p>
    <w:p>
      <w:pPr>
        <w:pStyle w:val="21"/>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kern w:val="0"/>
          <w:sz w:val="24"/>
          <w:szCs w:val="24"/>
          <w:lang w:val="zh-CN"/>
        </w:rPr>
        <w:t>29.5  如签订合同并生效后，供应商无故拒绝或延期，除按照合同条款处罚外，列入不良行为记录一次，并给予通报。</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30</w:t>
      </w:r>
      <w:r>
        <w:rPr>
          <w:rFonts w:hint="eastAsia" w:asciiTheme="minorEastAsia" w:hAnsiTheme="minorEastAsia" w:eastAsiaTheme="minorEastAsia"/>
          <w:b/>
          <w:kern w:val="0"/>
          <w:sz w:val="24"/>
          <w:szCs w:val="24"/>
          <w:lang w:val="zh-CN"/>
        </w:rPr>
        <w:t xml:space="preserve">. </w:t>
      </w:r>
      <w:r>
        <w:rPr>
          <w:rFonts w:hint="eastAsia" w:asciiTheme="minorEastAsia" w:hAnsiTheme="minorEastAsia" w:eastAsiaTheme="minorEastAsia"/>
          <w:b/>
          <w:sz w:val="24"/>
          <w:szCs w:val="24"/>
        </w:rPr>
        <w:t>合同的签订</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中标人按规定的日期、时间、地点，由法定代表人或授权委托人与采购人代表签订合同，经</w:t>
      </w:r>
      <w:r>
        <w:rPr>
          <w:rFonts w:hint="eastAsia" w:asciiTheme="minorEastAsia" w:hAnsiTheme="minorEastAsia" w:eastAsiaTheme="minorEastAsia"/>
          <w:szCs w:val="24"/>
          <w:lang w:val="zh-CN"/>
        </w:rPr>
        <w:t>备案</w:t>
      </w:r>
      <w:r>
        <w:rPr>
          <w:rFonts w:hint="eastAsia" w:asciiTheme="minorEastAsia" w:hAnsiTheme="minorEastAsia" w:eastAsiaTheme="minorEastAsia"/>
          <w:szCs w:val="24"/>
        </w:rPr>
        <w:t>公示</w:t>
      </w:r>
      <w:r>
        <w:rPr>
          <w:rFonts w:hint="eastAsia" w:asciiTheme="minorEastAsia" w:hAnsiTheme="minorEastAsia" w:eastAsiaTheme="minorEastAsia"/>
          <w:szCs w:val="24"/>
          <w:lang w:val="zh-CN"/>
        </w:rPr>
        <w:t>后生效</w:t>
      </w:r>
      <w:r>
        <w:rPr>
          <w:rFonts w:hint="eastAsia" w:asciiTheme="minorEastAsia" w:hAnsiTheme="minorEastAsia" w:eastAsiaTheme="minorEastAsia"/>
          <w:szCs w:val="24"/>
        </w:rPr>
        <w:t>。</w:t>
      </w:r>
    </w:p>
    <w:p>
      <w:pPr>
        <w:pStyle w:val="73"/>
        <w:adjustRightInd w:val="0"/>
        <w:snapToGrid w:val="0"/>
        <w:spacing w:before="0"/>
        <w:ind w:firstLine="0" w:firstLineChars="0"/>
        <w:rPr>
          <w:rFonts w:asciiTheme="minorEastAsia" w:hAnsiTheme="minorEastAsia" w:eastAsiaTheme="minorEastAsia"/>
          <w:b/>
          <w:szCs w:val="24"/>
        </w:rPr>
      </w:pPr>
      <w:bookmarkStart w:id="83" w:name="_Toc91899912"/>
      <w:bookmarkStart w:id="84" w:name="_Toc36110187"/>
      <w:r>
        <w:rPr>
          <w:rFonts w:hint="eastAsia" w:asciiTheme="minorEastAsia" w:hAnsiTheme="minorEastAsia" w:eastAsiaTheme="minorEastAsia"/>
          <w:b/>
          <w:szCs w:val="24"/>
        </w:rPr>
        <w:t>31</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款项结算方式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31.1合同签订后15日内由</w:t>
      </w:r>
      <w:r>
        <w:rPr>
          <w:rFonts w:hint="eastAsia" w:ascii="宋体" w:hAnsi="宋体"/>
          <w:sz w:val="24"/>
        </w:rPr>
        <w:t>甲方</w:t>
      </w:r>
      <w:r>
        <w:rPr>
          <w:rFonts w:hint="eastAsia" w:ascii="宋体" w:hAnsi="宋体" w:cs="宋体"/>
          <w:sz w:val="24"/>
        </w:rPr>
        <w:t>支付合同对应标项预算金额的50%作为预付款。</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宋体" w:hAnsi="宋体" w:cs="宋体"/>
          <w:sz w:val="24"/>
        </w:rPr>
        <w:t>31.2合同履行结束验收合格，甲方收到乙方出具符合要求的正规发票与相关验收材料后十个工作日内一次性付清合同的剩余款项。</w:t>
      </w:r>
    </w:p>
    <w:p>
      <w:pPr>
        <w:pStyle w:val="73"/>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32</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售后服务考核</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将按照《政府采购货物和服务招标投标管理办法》(中华人民共和国财政部第87号令)和《杭州市政府采购供应商监督考核暂行办法》（杭财购[2008]910号），对供应商进行考核，采购人不定期对合同的履约情况进行检查，发现弄虚作假，偷工减料，以次充好，达不到国家、行业有关标准和技术文件规定的，一经查实，采购代理机构将视情况提请罚没履约保证金，终止合同，并给予网上通报，禁止其在一至三年内参与市本级政府采购活动，给采购人造成损失的，供应商须承担赔偿责任。</w:t>
      </w:r>
    </w:p>
    <w:p>
      <w:pPr>
        <w:pStyle w:val="73"/>
        <w:adjustRightInd w:val="0"/>
        <w:snapToGrid w:val="0"/>
        <w:spacing w:before="0"/>
        <w:ind w:firstLine="0" w:firstLineChars="0"/>
        <w:rPr>
          <w:rFonts w:asciiTheme="minorEastAsia" w:hAnsiTheme="minorEastAsia" w:eastAsiaTheme="minorEastAsia"/>
          <w:b/>
          <w:szCs w:val="24"/>
        </w:rPr>
      </w:pPr>
      <w:r>
        <w:rPr>
          <w:rFonts w:asciiTheme="minorEastAsia" w:hAnsiTheme="minorEastAsia" w:eastAsiaTheme="minorEastAsia"/>
          <w:b/>
          <w:szCs w:val="24"/>
        </w:rPr>
        <w:t>33</w:t>
      </w:r>
      <w:r>
        <w:rPr>
          <w:rFonts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采购方式改变</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在符合资格的投标人不足规定数量或投标人提供的货物及其报价、售后服务承诺等不能满足采购人要求，以及招标过程中出现其他不正常情况时，经批准，采购代理机构</w:t>
      </w:r>
      <w:r>
        <w:rPr>
          <w:rFonts w:hint="eastAsia" w:asciiTheme="minorEastAsia" w:hAnsiTheme="minorEastAsia" w:eastAsiaTheme="minorEastAsia"/>
          <w:szCs w:val="24"/>
          <w:lang w:val="zh-CN"/>
        </w:rPr>
        <w:t>将根据《政府采购货物和服务招标投标管理办法》(财政部第87号令)第四十三条之规定，</w:t>
      </w:r>
      <w:r>
        <w:rPr>
          <w:rFonts w:hint="eastAsia" w:asciiTheme="minorEastAsia" w:hAnsiTheme="minorEastAsia" w:eastAsiaTheme="minorEastAsia"/>
          <w:szCs w:val="24"/>
        </w:rPr>
        <w:t>重新选择合适的方式进行采购。</w:t>
      </w:r>
    </w:p>
    <w:p>
      <w:pPr>
        <w:pStyle w:val="73"/>
        <w:adjustRightInd w:val="0"/>
        <w:snapToGrid w:val="0"/>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34</w:t>
      </w:r>
      <w:r>
        <w:rPr>
          <w:rFonts w:hint="eastAsia" w:asciiTheme="minorEastAsia" w:hAnsiTheme="minorEastAsia" w:eastAsiaTheme="minorEastAsia"/>
          <w:b/>
          <w:kern w:val="0"/>
          <w:szCs w:val="24"/>
          <w:lang w:val="zh-CN"/>
        </w:rPr>
        <w:t xml:space="preserve">. </w:t>
      </w:r>
      <w:r>
        <w:rPr>
          <w:rFonts w:hint="eastAsia" w:asciiTheme="minorEastAsia" w:hAnsiTheme="minorEastAsia" w:eastAsiaTheme="minorEastAsia"/>
          <w:b/>
          <w:szCs w:val="24"/>
        </w:rPr>
        <w:t>质疑与投诉</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根据《中华人民共和国政府采购法》和《财政部关于加强政府采购供应商投诉受理审查工作的通知》(财库〔2007〕1号)的规定，投标人对政府采购活动事项有疑问的，可以向采购单位和采购代理机构提出询问，采购单位和采购代理机构应当及时做出答复，但答复的内容不得涉及商业秘密。</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34.1  投标人认为招标文件、采购过程和中标、成交结果使自己的权益受到损害的，可以在知道或者应知其权益受到损害之日起七个工作日内，以书面形式向采购单位和采购代理机构提出质疑。</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34.2  采购单位和采购代理机构应当在收到投标人的书面质疑后七个工作日内做出答复，并以书面形式通知质疑投标人，但答复的内容不得涉及商业秘密。</w:t>
      </w:r>
    </w:p>
    <w:p>
      <w:pPr>
        <w:pStyle w:val="73"/>
        <w:adjustRightInd w:val="0"/>
        <w:snapToGrid w:val="0"/>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34.3  质疑投标人对采购单位和采购代理机构的答复不满意或者采购单位和采购代理机构未在规定的时间内做出答复的，可以在答复期满后十五个工作日内向</w:t>
      </w:r>
      <w:r>
        <w:rPr>
          <w:rFonts w:hint="eastAsia" w:asciiTheme="minorEastAsia" w:hAnsiTheme="minorEastAsia" w:eastAsiaTheme="minorEastAsia"/>
          <w:bCs/>
          <w:szCs w:val="24"/>
        </w:rPr>
        <w:t>同级政府采购监督管理部门</w:t>
      </w:r>
      <w:r>
        <w:rPr>
          <w:rFonts w:hint="eastAsia" w:asciiTheme="minorEastAsia" w:hAnsiTheme="minorEastAsia" w:eastAsiaTheme="minorEastAsia"/>
          <w:szCs w:val="24"/>
        </w:rPr>
        <w:t>提出投诉。</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35</w:t>
      </w:r>
      <w:r>
        <w:rPr>
          <w:rFonts w:hint="eastAsia" w:asciiTheme="minorEastAsia" w:hAnsiTheme="minorEastAsia" w:eastAsiaTheme="minorEastAsia"/>
          <w:b/>
          <w:kern w:val="0"/>
          <w:sz w:val="24"/>
          <w:szCs w:val="24"/>
          <w:lang w:val="zh-CN"/>
        </w:rPr>
        <w:t xml:space="preserve">. </w:t>
      </w:r>
      <w:r>
        <w:rPr>
          <w:rFonts w:hint="eastAsia" w:asciiTheme="minorEastAsia" w:hAnsiTheme="minorEastAsia" w:eastAsiaTheme="minorEastAsia"/>
          <w:b/>
          <w:sz w:val="24"/>
          <w:szCs w:val="24"/>
        </w:rPr>
        <w:t>解释权</w:t>
      </w:r>
    </w:p>
    <w:p>
      <w:pPr>
        <w:adjustRightInd w:val="0"/>
        <w:snapToGrid w:val="0"/>
        <w:spacing w:line="360" w:lineRule="auto"/>
        <w:ind w:firstLine="480" w:firstLineChars="200"/>
        <w:rPr>
          <w:rFonts w:asciiTheme="minorEastAsia" w:hAnsiTheme="minorEastAsia" w:eastAsiaTheme="minorEastAsia"/>
          <w:sz w:val="24"/>
          <w:szCs w:val="24"/>
        </w:rPr>
        <w:sectPr>
          <w:pgSz w:w="11850" w:h="16783"/>
          <w:pgMar w:top="1304" w:right="1440" w:bottom="1531" w:left="1440" w:header="851" w:footer="992" w:gutter="0"/>
          <w:cols w:space="720" w:num="1"/>
        </w:sectPr>
      </w:pPr>
      <w:r>
        <w:rPr>
          <w:rFonts w:hint="eastAsia" w:asciiTheme="minorEastAsia" w:hAnsiTheme="minorEastAsia" w:eastAsiaTheme="minorEastAsia"/>
          <w:sz w:val="24"/>
          <w:szCs w:val="24"/>
        </w:rPr>
        <w:t>凡涉及本次招标文件的解释权均属于浙江中诺招标代理有限公司。</w:t>
      </w:r>
    </w:p>
    <w:p>
      <w:pPr>
        <w:adjustRightInd w:val="0"/>
        <w:snapToGrid w:val="0"/>
        <w:spacing w:line="360" w:lineRule="auto"/>
        <w:jc w:val="center"/>
        <w:outlineLvl w:val="0"/>
        <w:rPr>
          <w:rFonts w:asciiTheme="minorEastAsia" w:hAnsiTheme="minorEastAsia" w:eastAsiaTheme="minorEastAsia"/>
          <w:b/>
          <w:sz w:val="30"/>
          <w:szCs w:val="30"/>
        </w:rPr>
      </w:pPr>
      <w:bookmarkStart w:id="85" w:name="_Toc6062"/>
      <w:r>
        <w:rPr>
          <w:rFonts w:hint="eastAsia" w:asciiTheme="minorEastAsia" w:hAnsiTheme="minorEastAsia" w:eastAsiaTheme="minorEastAsia"/>
          <w:b/>
          <w:sz w:val="30"/>
          <w:szCs w:val="30"/>
        </w:rPr>
        <w:t>第三部分 项目技术规范和服务要求</w:t>
      </w:r>
      <w:bookmarkEnd w:id="85"/>
    </w:p>
    <w:bookmarkEnd w:id="83"/>
    <w:bookmarkEnd w:id="84"/>
    <w:p>
      <w:pPr>
        <w:spacing w:line="500" w:lineRule="atLeast"/>
        <w:rPr>
          <w:rFonts w:asciiTheme="minorEastAsia" w:hAnsiTheme="minorEastAsia" w:eastAsiaTheme="minorEastAsia"/>
          <w:b/>
          <w:bCs/>
          <w:sz w:val="24"/>
          <w:szCs w:val="24"/>
        </w:rPr>
      </w:pPr>
      <w:bookmarkStart w:id="86" w:name="_Toc35401305"/>
      <w:bookmarkStart w:id="87" w:name="_Toc37243119"/>
      <w:bookmarkStart w:id="88" w:name="_Toc91899916"/>
      <w:r>
        <w:rPr>
          <w:rFonts w:hint="eastAsia" w:asciiTheme="minorEastAsia" w:hAnsiTheme="minorEastAsia" w:eastAsiaTheme="minorEastAsia"/>
          <w:b/>
          <w:bCs/>
          <w:sz w:val="24"/>
          <w:szCs w:val="24"/>
        </w:rPr>
        <w:t>一、行业分类</w:t>
      </w:r>
    </w:p>
    <w:p>
      <w:pPr>
        <w:pStyle w:val="2"/>
        <w:rPr>
          <w:rFonts w:asciiTheme="minorEastAsia" w:hAnsiTheme="minorEastAsia" w:eastAsiaTheme="minorEastAsia"/>
          <w:szCs w:val="24"/>
          <w:u w:val="single"/>
        </w:rPr>
      </w:pPr>
      <w:r>
        <w:rPr>
          <w:rFonts w:hint="eastAsia" w:asciiTheme="minorEastAsia" w:hAnsiTheme="minorEastAsia" w:eastAsiaTheme="minorEastAsia"/>
          <w:szCs w:val="24"/>
        </w:rPr>
        <w:t>根据《关于印发中小企业划型标准规定的通知》（工信部联企业〔2011〕300号），本项目行业分类为</w:t>
      </w:r>
      <w:r>
        <w:rPr>
          <w:rFonts w:hint="eastAsia" w:asciiTheme="minorEastAsia" w:hAnsiTheme="minorEastAsia" w:eastAsiaTheme="minorEastAsia"/>
          <w:szCs w:val="24"/>
          <w:u w:val="single"/>
        </w:rPr>
        <w:t>（十六）其他未列明行业</w:t>
      </w:r>
    </w:p>
    <w:p>
      <w:pPr>
        <w:pStyle w:val="2"/>
        <w:rPr>
          <w:rFonts w:asciiTheme="minorEastAsia" w:hAnsiTheme="minorEastAsia" w:eastAsiaTheme="minorEastAsia"/>
          <w:szCs w:val="24"/>
          <w:u w:val="single"/>
        </w:rPr>
      </w:pPr>
      <w:r>
        <w:rPr>
          <w:rFonts w:hint="eastAsia" w:asciiTheme="minorEastAsia" w:hAnsiTheme="minorEastAsia" w:eastAsiaTheme="minorEastAsia"/>
          <w:szCs w:val="24"/>
        </w:rPr>
        <w:t>根据《国民经济行业分类》（GB/T4754-2011），本项目标的对应国民经济行业分类为</w:t>
      </w:r>
      <w:r>
        <w:rPr>
          <w:rFonts w:hint="eastAsia" w:asciiTheme="minorEastAsia" w:hAnsiTheme="minorEastAsia" w:eastAsiaTheme="minorEastAsia"/>
          <w:szCs w:val="24"/>
          <w:u w:val="single"/>
        </w:rPr>
        <w:t>7450质检技术服务</w:t>
      </w:r>
    </w:p>
    <w:p>
      <w:pPr>
        <w:spacing w:line="500" w:lineRule="atLeas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二、项目内容</w:t>
      </w:r>
    </w:p>
    <w:p>
      <w:pPr>
        <w:spacing w:line="5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抽样、检测品种详见</w:t>
      </w:r>
      <w:r>
        <w:rPr>
          <w:rFonts w:hint="eastAsia" w:ascii="宋体" w:hAnsi="宋体" w:cs="宋体"/>
          <w:sz w:val="24"/>
          <w:szCs w:val="24"/>
        </w:rPr>
        <w:t>附件1</w:t>
      </w:r>
      <w:r>
        <w:rPr>
          <w:rFonts w:hint="eastAsia" w:asciiTheme="minorEastAsia" w:hAnsiTheme="minorEastAsia" w:eastAsiaTheme="minorEastAsia"/>
          <w:sz w:val="24"/>
          <w:szCs w:val="24"/>
        </w:rPr>
        <w:t>。</w:t>
      </w:r>
    </w:p>
    <w:p>
      <w:pPr>
        <w:spacing w:line="500" w:lineRule="atLeas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三、服务要求</w:t>
      </w:r>
    </w:p>
    <w:p>
      <w:pPr>
        <w:pStyle w:val="61"/>
        <w:adjustRightInd w:val="0"/>
        <w:snapToGrid w:val="0"/>
        <w:spacing w:line="360" w:lineRule="auto"/>
        <w:ind w:firstLine="482" w:firstLineChars="200"/>
        <w:rPr>
          <w:rFonts w:ascii="宋体" w:hAnsi="宋体" w:eastAsia="宋体" w:cs="宋体"/>
          <w:sz w:val="24"/>
          <w:szCs w:val="24"/>
        </w:rPr>
      </w:pPr>
      <w:r>
        <w:rPr>
          <w:rFonts w:hint="eastAsia" w:ascii="宋体" w:hAnsi="宋体" w:eastAsia="宋体" w:cs="宋体"/>
          <w:b/>
          <w:sz w:val="24"/>
          <w:szCs w:val="24"/>
        </w:rPr>
        <w:t>（一）抽查范围及</w:t>
      </w:r>
      <w:r>
        <w:rPr>
          <w:rFonts w:hint="eastAsia" w:ascii="宋体" w:hAnsi="宋体" w:eastAsia="宋体" w:cs="宋体"/>
          <w:b/>
          <w:bCs/>
          <w:kern w:val="0"/>
          <w:sz w:val="24"/>
          <w:szCs w:val="24"/>
        </w:rPr>
        <w:t>实施时间</w:t>
      </w:r>
      <w:r>
        <w:rPr>
          <w:rFonts w:hint="eastAsia" w:ascii="宋体" w:hAnsi="宋体" w:eastAsia="宋体" w:cs="宋体"/>
          <w:b/>
          <w:sz w:val="24"/>
          <w:szCs w:val="24"/>
        </w:rPr>
        <w:t>：</w:t>
      </w:r>
      <w:r>
        <w:rPr>
          <w:rFonts w:hint="eastAsia" w:ascii="宋体" w:hAnsi="宋体" w:eastAsia="宋体" w:cs="宋体"/>
          <w:b w:val="0"/>
          <w:bCs/>
          <w:sz w:val="24"/>
          <w:szCs w:val="24"/>
          <w:u w:val="none"/>
          <w:lang w:val="en-US" w:eastAsia="zh-CN"/>
        </w:rPr>
        <w:t>检测工作应于</w:t>
      </w:r>
      <w:r>
        <w:rPr>
          <w:rFonts w:hint="eastAsia" w:ascii="宋体" w:hAnsi="宋体" w:eastAsia="宋体" w:cs="宋体"/>
          <w:sz w:val="24"/>
          <w:szCs w:val="24"/>
        </w:rPr>
        <w:t>2021年6月30日前完成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抽样工作应在预留合理检测时间的前提下提前完成</w:t>
      </w:r>
      <w:r>
        <w:rPr>
          <w:rFonts w:hint="eastAsia" w:ascii="宋体" w:hAnsi="宋体" w:eastAsia="宋体" w:cs="宋体"/>
          <w:sz w:val="24"/>
          <w:szCs w:val="24"/>
        </w:rPr>
        <w:t>，具体检测产品及批次清单详见附件1。</w:t>
      </w:r>
    </w:p>
    <w:p>
      <w:pPr>
        <w:pStyle w:val="61"/>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（二）服务要求：</w:t>
      </w:r>
    </w:p>
    <w:p>
      <w:pPr>
        <w:pStyle w:val="61"/>
        <w:adjustRightInd w:val="0"/>
        <w:snapToGrid w:val="0"/>
        <w:spacing w:line="360" w:lineRule="auto"/>
        <w:ind w:firstLine="482" w:firstLineChars="200"/>
        <w:rPr>
          <w:rFonts w:ascii="宋体" w:hAnsi="宋体" w:eastAsia="宋体" w:cs="宋体"/>
          <w:sz w:val="24"/>
          <w:szCs w:val="24"/>
        </w:rPr>
      </w:pPr>
      <w:r>
        <w:rPr>
          <w:rFonts w:hint="eastAsia" w:ascii="宋体" w:hAnsi="宋体" w:eastAsia="宋体" w:cs="宋体"/>
          <w:b/>
          <w:sz w:val="24"/>
          <w:szCs w:val="24"/>
        </w:rPr>
        <w:t>1）抽样要求。</w:t>
      </w:r>
      <w:r>
        <w:rPr>
          <w:rFonts w:hint="eastAsia" w:ascii="宋体" w:hAnsi="宋体" w:eastAsia="宋体" w:cs="宋体"/>
          <w:sz w:val="24"/>
          <w:szCs w:val="24"/>
        </w:rPr>
        <w:t>本次抽样工作严格按照市场监管总局</w:t>
      </w:r>
      <w:r>
        <w:rPr>
          <w:rFonts w:hint="eastAsia" w:ascii="宋体" w:hAnsi="宋体" w:eastAsia="宋体" w:cs="宋体"/>
          <w:b/>
          <w:sz w:val="24"/>
          <w:szCs w:val="24"/>
        </w:rPr>
        <w:t>《食品安全抽样检验管理办法》（15号令）、原食药总局《食品安全监督抽检和风险监测工作规范（2015版）》、《国家食品安全监督抽检实施细则（2020年版）》</w:t>
      </w:r>
      <w:r>
        <w:rPr>
          <w:rFonts w:hint="eastAsia" w:ascii="宋体" w:hAnsi="宋体" w:eastAsia="宋体" w:cs="宋体"/>
          <w:sz w:val="24"/>
          <w:szCs w:val="24"/>
        </w:rPr>
        <w:t>等规定及采购方要求执行。样品采集严格按照监督抽检工作程序，履行法定手续。</w:t>
      </w:r>
      <w:r>
        <w:rPr>
          <w:rFonts w:hint="eastAsia" w:ascii="宋体" w:hAnsi="宋体" w:eastAsia="宋体" w:cs="宋体"/>
          <w:sz w:val="24"/>
          <w:szCs w:val="24"/>
          <w:lang w:val="zh-CN"/>
        </w:rPr>
        <w:t>对因故抽不到样品的企业，必须由企业出具证明，每月20日前上报市局食品生产监管处；对长期停产抽不到样品的企业，必须由当地监管部门出具证明，每月20日前上报市局食品生产监管处。</w:t>
      </w:r>
    </w:p>
    <w:p>
      <w:pPr>
        <w:pStyle w:val="61"/>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抽样其他事项说明。根据杭州地区实际情况及食品抽检全覆盖的要求：抽样时可抽取散装产品；可适当放宽抽样基数要求；抽取贵重产品时，抽样数量以满足实验用量为准；生产品种较多、规模较大的企业需抽取多个批次产品，总抽样数量可突破计划批次数，由于企业关停等原因无法完成某品种抽样数量要求的，可抽取所中标段其他品种的产品来补足样品数量；对于生产环节未抽到的样品，可在流通环节抽取相应生产加工企业生产的产品</w:t>
      </w:r>
      <w:r>
        <w:rPr>
          <w:rFonts w:hint="eastAsia" w:ascii="宋体" w:hAnsi="宋体" w:eastAsia="宋体" w:cs="宋体"/>
          <w:b/>
          <w:sz w:val="24"/>
          <w:szCs w:val="24"/>
        </w:rPr>
        <w:t>。</w:t>
      </w:r>
    </w:p>
    <w:p>
      <w:pPr>
        <w:pStyle w:val="61"/>
        <w:adjustRightInd w:val="0"/>
        <w:snapToGrid w:val="0"/>
        <w:spacing w:line="360" w:lineRule="auto"/>
        <w:ind w:firstLine="482" w:firstLineChars="200"/>
        <w:rPr>
          <w:rFonts w:ascii="宋体" w:hAnsi="宋体" w:eastAsia="宋体" w:cs="宋体"/>
          <w:sz w:val="24"/>
          <w:szCs w:val="24"/>
        </w:rPr>
      </w:pPr>
      <w:r>
        <w:rPr>
          <w:rFonts w:hint="eastAsia" w:ascii="宋体" w:hAnsi="宋体" w:eastAsia="宋体" w:cs="宋体"/>
          <w:b/>
          <w:sz w:val="24"/>
          <w:szCs w:val="24"/>
        </w:rPr>
        <w:t>2）检验要求。</w:t>
      </w:r>
      <w:r>
        <w:rPr>
          <w:rFonts w:hint="eastAsia" w:ascii="宋体" w:hAnsi="宋体" w:eastAsia="宋体" w:cs="宋体"/>
          <w:sz w:val="24"/>
          <w:szCs w:val="24"/>
        </w:rPr>
        <w:t>检验机构必须在规定的检验时间内按照国家食药总局下发的《</w:t>
      </w:r>
      <w:r>
        <w:rPr>
          <w:rFonts w:hint="eastAsia" w:ascii="宋体" w:hAnsi="宋体" w:eastAsia="宋体" w:cs="宋体"/>
          <w:b/>
          <w:sz w:val="24"/>
          <w:szCs w:val="24"/>
        </w:rPr>
        <w:t>国家食品安全监督抽检实施细则（2020年版）</w:t>
      </w:r>
      <w:r>
        <w:rPr>
          <w:rFonts w:hint="eastAsia" w:ascii="宋体" w:hAnsi="宋体" w:eastAsia="宋体" w:cs="宋体"/>
          <w:sz w:val="24"/>
          <w:szCs w:val="24"/>
        </w:rPr>
        <w:t>》的产品评价规则对本文件要求的产品进行检验。</w:t>
      </w:r>
      <w:r>
        <w:rPr>
          <w:rFonts w:hint="eastAsia" w:ascii="宋体" w:hAnsi="宋体" w:eastAsia="宋体" w:cs="宋体"/>
          <w:b/>
          <w:sz w:val="24"/>
          <w:szCs w:val="24"/>
        </w:rPr>
        <w:t>本次监督抽检的承检机构未经市局同意，严禁将检验任务分包给其他检验机构或修改检测项目，一经发现，取消检验资格。</w:t>
      </w:r>
      <w:r>
        <w:rPr>
          <w:rFonts w:hint="eastAsia" w:ascii="宋体" w:hAnsi="宋体" w:eastAsia="宋体" w:cs="宋体"/>
          <w:sz w:val="24"/>
          <w:szCs w:val="24"/>
        </w:rPr>
        <w:t>各抽样单位和承检机构应将抽样及检验工作按要求进行合理分配（特殊要求除外），避免集中抽样、集中检验。</w:t>
      </w:r>
    </w:p>
    <w:p>
      <w:pPr>
        <w:autoSpaceDE w:val="0"/>
        <w:autoSpaceDN w:val="0"/>
        <w:adjustRightInd w:val="0"/>
        <w:snapToGrid w:val="0"/>
        <w:spacing w:line="360" w:lineRule="auto"/>
        <w:ind w:firstLine="482" w:firstLineChars="200"/>
        <w:rPr>
          <w:rFonts w:ascii="宋体" w:hAnsi="宋体" w:cs="宋体"/>
          <w:b/>
          <w:bCs/>
          <w:sz w:val="24"/>
          <w:szCs w:val="24"/>
          <w:lang w:val="zh-CN"/>
        </w:rPr>
      </w:pPr>
      <w:r>
        <w:rPr>
          <w:rFonts w:hint="eastAsia" w:ascii="宋体" w:hAnsi="宋体" w:cs="宋体"/>
          <w:b/>
          <w:sz w:val="24"/>
          <w:szCs w:val="24"/>
        </w:rPr>
        <w:t>3）</w:t>
      </w:r>
      <w:r>
        <w:rPr>
          <w:rFonts w:hint="eastAsia" w:ascii="宋体" w:hAnsi="宋体" w:cs="宋体"/>
          <w:b/>
          <w:bCs/>
          <w:sz w:val="24"/>
          <w:szCs w:val="24"/>
          <w:lang w:val="zh-CN"/>
        </w:rPr>
        <w:t>质量管理。</w:t>
      </w:r>
      <w:r>
        <w:rPr>
          <w:rFonts w:hint="eastAsia" w:ascii="宋体" w:hAnsi="宋体" w:cs="宋体"/>
          <w:sz w:val="24"/>
          <w:szCs w:val="24"/>
          <w:lang w:val="zh-CN"/>
        </w:rPr>
        <w:t>承检机构要严格按照</w:t>
      </w:r>
      <w:r>
        <w:rPr>
          <w:rFonts w:hint="eastAsia" w:ascii="宋体" w:hAnsi="宋体" w:cs="宋体"/>
          <w:sz w:val="24"/>
          <w:szCs w:val="24"/>
        </w:rPr>
        <w:t>杭州市市场监管局</w:t>
      </w:r>
      <w:r>
        <w:rPr>
          <w:rFonts w:hint="eastAsia" w:ascii="宋体" w:hAnsi="宋体" w:cs="宋体"/>
          <w:sz w:val="24"/>
          <w:szCs w:val="24"/>
          <w:lang w:val="zh-CN"/>
        </w:rPr>
        <w:t>《杭州市食品安全承检机构考核管理办法（试行）》要求，加强对样品采集、实验室检测、数据报送等关键环节的质量控制，确保检测结果准确可靠。市局将通过飞行检查、能力验证、盲样比对等形式开展对承检机构的工作考核，并及时将有关问题向检验机构资质管理部门通报。</w:t>
      </w:r>
    </w:p>
    <w:p>
      <w:pPr>
        <w:pStyle w:val="61"/>
        <w:adjustRightInd w:val="0"/>
        <w:snapToGrid w:val="0"/>
        <w:spacing w:line="360" w:lineRule="auto"/>
        <w:ind w:firstLine="482" w:firstLineChars="200"/>
        <w:rPr>
          <w:rFonts w:ascii="宋体" w:hAnsi="宋体" w:eastAsia="宋体" w:cs="宋体"/>
          <w:sz w:val="24"/>
          <w:szCs w:val="24"/>
          <w:lang w:val="zh-CN"/>
        </w:rPr>
      </w:pPr>
      <w:r>
        <w:rPr>
          <w:rFonts w:hint="eastAsia" w:ascii="宋体" w:hAnsi="宋体" w:eastAsia="宋体" w:cs="宋体"/>
          <w:b/>
          <w:bCs/>
          <w:sz w:val="24"/>
          <w:szCs w:val="24"/>
          <w:lang w:val="zh-CN"/>
        </w:rPr>
        <w:t>4）工作纪律。</w:t>
      </w:r>
      <w:r>
        <w:rPr>
          <w:rFonts w:hint="eastAsia" w:ascii="宋体" w:hAnsi="宋体" w:eastAsia="宋体" w:cs="宋体"/>
          <w:sz w:val="24"/>
          <w:szCs w:val="24"/>
          <w:lang w:val="zh-CN"/>
        </w:rPr>
        <w:t>参与监督抽检的承检机构及其工作人员应严格按照要求进行抽样、检验和结果上报，不得随意更改抽样地点和样品信息，不得瞒报、谎报和故意漏报、错报检测数据，确保结果的真实客观和准确。不得擅自发布有关监督抽检的信息，不得在开展抽样工作前事先通知被监督抽检单位和接受相关单位馈赠，不得利用监督抽检结果开展有偿活动，牟取不正当利益。</w:t>
      </w:r>
    </w:p>
    <w:p>
      <w:pPr>
        <w:spacing w:line="500" w:lineRule="atLeas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四、其他要求</w:t>
      </w:r>
    </w:p>
    <w:p>
      <w:pPr>
        <w:pStyle w:val="21"/>
        <w:adjustRightInd w:val="0"/>
        <w:snapToGrid w:val="0"/>
        <w:spacing w:line="360" w:lineRule="auto"/>
        <w:ind w:firstLine="482" w:firstLineChars="200"/>
        <w:jc w:val="left"/>
        <w:rPr>
          <w:rFonts w:hAnsi="宋体" w:cs="宋体"/>
          <w:sz w:val="24"/>
          <w:szCs w:val="24"/>
        </w:rPr>
      </w:pPr>
      <w:r>
        <w:rPr>
          <w:rFonts w:hint="eastAsia" w:hAnsi="宋体" w:cs="宋体"/>
          <w:b/>
          <w:sz w:val="24"/>
          <w:szCs w:val="24"/>
        </w:rPr>
        <w:t>（一）数据录入工作。</w:t>
      </w:r>
      <w:r>
        <w:rPr>
          <w:rFonts w:hint="eastAsia" w:hAnsi="宋体" w:cs="宋体"/>
          <w:sz w:val="24"/>
          <w:szCs w:val="24"/>
        </w:rPr>
        <w:t>所有抽样信息和检测结果统一由承检机构负责录入相应的信息系统。抽样信息必须在完成抽样后5个工作日内录入，检测结果必须在承检机构签发检验报告后3个工作日内录入，</w:t>
      </w:r>
      <w:r>
        <w:rPr>
          <w:rFonts w:hint="eastAsia" w:hAnsi="宋体" w:cs="宋体"/>
          <w:b/>
          <w:sz w:val="24"/>
          <w:szCs w:val="24"/>
        </w:rPr>
        <w:t>两者均录入“国家食品安全抽样检验信息系统</w:t>
      </w:r>
      <w:r>
        <w:rPr>
          <w:rFonts w:hint="eastAsia" w:hAnsi="宋体" w:cs="宋体"/>
          <w:sz w:val="22"/>
          <w:szCs w:val="24"/>
        </w:rPr>
        <w:t>http://spcj.gsxt.gov.cn”</w:t>
      </w:r>
    </w:p>
    <w:p>
      <w:pPr>
        <w:pStyle w:val="21"/>
        <w:adjustRightInd w:val="0"/>
        <w:snapToGrid w:val="0"/>
        <w:spacing w:line="360" w:lineRule="auto"/>
        <w:ind w:firstLine="480" w:firstLineChars="200"/>
        <w:rPr>
          <w:rFonts w:hAnsi="宋体" w:cs="宋体"/>
          <w:sz w:val="24"/>
          <w:szCs w:val="24"/>
        </w:rPr>
      </w:pPr>
      <w:r>
        <w:rPr>
          <w:rFonts w:hint="eastAsia" w:hAnsi="宋体" w:cs="宋体"/>
          <w:sz w:val="24"/>
          <w:szCs w:val="24"/>
        </w:rPr>
        <w:t>每月20日前报送报表（中标后发送给承检机构，遇节假日提前报送）。</w:t>
      </w:r>
    </w:p>
    <w:p>
      <w:pPr>
        <w:adjustRightInd w:val="0"/>
        <w:snapToGrid w:val="0"/>
        <w:spacing w:line="360" w:lineRule="auto"/>
        <w:ind w:firstLine="482" w:firstLineChars="200"/>
        <w:rPr>
          <w:rFonts w:ascii="宋体" w:hAnsi="宋体"/>
          <w:sz w:val="24"/>
          <w:szCs w:val="24"/>
        </w:rPr>
      </w:pPr>
      <w:r>
        <w:rPr>
          <w:rFonts w:hint="eastAsia" w:ascii="宋体" w:hAnsi="宋体" w:cs="宋体"/>
          <w:b/>
          <w:sz w:val="24"/>
          <w:szCs w:val="24"/>
        </w:rPr>
        <w:t>（二）数据分析。每季度任务完成后，</w:t>
      </w:r>
      <w:r>
        <w:rPr>
          <w:rFonts w:hint="eastAsia" w:ascii="宋体" w:hAnsi="宋体" w:cs="宋体"/>
          <w:sz w:val="24"/>
          <w:szCs w:val="24"/>
        </w:rPr>
        <w:t>上报监督抽检应包括检验工作小结、产品质量分析报告（每个产品均须分析，合格率低于85%且5批次以上的产品须重点分析）和检验结果数据。质量分析报告等文件通过电子邮件上报（OA或250853676@qq.com）。联系人：食品生产监管处  魏力  86438435。</w:t>
      </w:r>
    </w:p>
    <w:p>
      <w:pPr>
        <w:adjustRightInd w:val="0"/>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bCs/>
          <w:sz w:val="24"/>
          <w:szCs w:val="24"/>
        </w:rPr>
        <w:t>（三）根据《浙江省市场监督管理局关于改进食品安全抽检监测工作提升质量效益的实施意见（试行）》（浙市监食检〔2020〕20号）相关规定，本项目实施抽检分离。食品生产环节监督抽检任务实行“抽的不检、检的不抽”，详见附件1。</w:t>
      </w:r>
    </w:p>
    <w:p>
      <w:pPr>
        <w:widowControl/>
        <w:snapToGrid w:val="0"/>
        <w:spacing w:line="360" w:lineRule="auto"/>
        <w:jc w:val="left"/>
        <w:rPr>
          <w:rFonts w:asciiTheme="minorEastAsia" w:hAnsiTheme="minorEastAsia" w:eastAsiaTheme="minorEastAsia"/>
          <w:sz w:val="24"/>
        </w:rPr>
        <w:sectPr>
          <w:pgSz w:w="11850" w:h="16783"/>
          <w:pgMar w:top="1304" w:right="1440" w:bottom="1531" w:left="1440" w:header="851" w:footer="992" w:gutter="0"/>
          <w:cols w:space="720" w:num="1"/>
        </w:sectPr>
      </w:pPr>
    </w:p>
    <w:p>
      <w:pPr>
        <w:spacing w:line="500" w:lineRule="atLeas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附件1 2021年上半年食品生产环节监督抽检项目表</w:t>
      </w: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标项一： </w:t>
      </w: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抽样： </w:t>
      </w:r>
    </w:p>
    <w:tbl>
      <w:tblPr>
        <w:tblStyle w:val="39"/>
        <w:tblW w:w="4998" w:type="pct"/>
        <w:tblInd w:w="0" w:type="dxa"/>
        <w:tblLayout w:type="autofit"/>
        <w:tblCellMar>
          <w:top w:w="0" w:type="dxa"/>
          <w:left w:w="0" w:type="dxa"/>
          <w:bottom w:w="0" w:type="dxa"/>
          <w:right w:w="0" w:type="dxa"/>
        </w:tblCellMar>
      </w:tblPr>
      <w:tblGrid>
        <w:gridCol w:w="1968"/>
        <w:gridCol w:w="2119"/>
        <w:gridCol w:w="2094"/>
        <w:gridCol w:w="1947"/>
        <w:gridCol w:w="1919"/>
        <w:gridCol w:w="1771"/>
        <w:gridCol w:w="1771"/>
        <w:gridCol w:w="1772"/>
      </w:tblGrid>
      <w:tr>
        <w:tblPrEx>
          <w:tblCellMar>
            <w:top w:w="0" w:type="dxa"/>
            <w:left w:w="0" w:type="dxa"/>
            <w:bottom w:w="0" w:type="dxa"/>
            <w:right w:w="0" w:type="dxa"/>
          </w:tblCellMar>
        </w:tblPrEx>
        <w:trPr>
          <w:trHeight w:val="312" w:hRule="atLeast"/>
        </w:trPr>
        <w:tc>
          <w:tcPr>
            <w:tcW w:w="640"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食品大类   （一级）</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食品亚类（二级）</w:t>
            </w: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食品品种   （三级）</w:t>
            </w:r>
          </w:p>
        </w:tc>
        <w:tc>
          <w:tcPr>
            <w:tcW w:w="63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食品细类</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（四级）</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风险等级</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计划批次数</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一季度</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二季度</w:t>
            </w:r>
          </w:p>
        </w:tc>
      </w:tr>
      <w:tr>
        <w:tblPrEx>
          <w:tblCellMar>
            <w:top w:w="0" w:type="dxa"/>
            <w:left w:w="0" w:type="dxa"/>
            <w:bottom w:w="0" w:type="dxa"/>
            <w:right w:w="0" w:type="dxa"/>
          </w:tblCellMar>
        </w:tblPrEx>
        <w:trPr>
          <w:trHeight w:val="312" w:hRule="atLeast"/>
        </w:trPr>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b/>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b/>
                <w:sz w:val="18"/>
                <w:szCs w:val="18"/>
              </w:rPr>
            </w:pPr>
          </w:p>
        </w:tc>
      </w:tr>
      <w:tr>
        <w:tblPrEx>
          <w:tblCellMar>
            <w:top w:w="0" w:type="dxa"/>
            <w:left w:w="0" w:type="dxa"/>
            <w:bottom w:w="0" w:type="dxa"/>
            <w:right w:w="0" w:type="dxa"/>
          </w:tblCellMar>
        </w:tblPrEx>
        <w:tc>
          <w:tcPr>
            <w:tcW w:w="640"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食用油、油脂及其制品</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食用植物油</w:t>
            </w: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食用植物油（半精炼、全精炼）</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花生油</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37</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37</w:t>
            </w: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玉米油</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芝麻油</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橄榄油、油橄榄果渣油</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其他食用植物油（半精炼、全精炼）</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食用油脂制品</w:t>
            </w:r>
          </w:p>
        </w:tc>
        <w:tc>
          <w:tcPr>
            <w:tcW w:w="68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食用油脂制品</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食用油脂制品</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水果制品</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水果制品</w:t>
            </w:r>
          </w:p>
        </w:tc>
        <w:tc>
          <w:tcPr>
            <w:tcW w:w="68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蜜饯</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蜜饯类、凉果类、果脯类、话化类、果糕类</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33</w:t>
            </w: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水果干制品</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水果干制品</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45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25</w:t>
            </w: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果酱</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果酱</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4</w:t>
            </w:r>
          </w:p>
        </w:tc>
      </w:tr>
      <w:tr>
        <w:tblPrEx>
          <w:tblCellMar>
            <w:top w:w="0" w:type="dxa"/>
            <w:left w:w="0" w:type="dxa"/>
            <w:bottom w:w="0" w:type="dxa"/>
            <w:right w:w="0" w:type="dxa"/>
          </w:tblCellMar>
        </w:tblPrEx>
        <w:tc>
          <w:tcPr>
            <w:tcW w:w="640"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水产制品</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非即食水产制品</w:t>
            </w: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干制水产品</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藻类加工制品</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7</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7</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烤鱼片</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其他动物性水产干制品</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盐渍水产品</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盐渍鱼</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盐渍藻</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其他盐渍水产品</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鱼糜制品</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鱼糜制品（含虾糜）</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其他水产品</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其他水产品</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6</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6</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即食水产品</w:t>
            </w:r>
          </w:p>
        </w:tc>
        <w:tc>
          <w:tcPr>
            <w:tcW w:w="68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风味熟制水产品</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风味熟制水产品</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生食水产品</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生食动物性水产品</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bl>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检测： </w:t>
      </w:r>
    </w:p>
    <w:tbl>
      <w:tblPr>
        <w:tblStyle w:val="39"/>
        <w:tblW w:w="4998" w:type="pct"/>
        <w:tblInd w:w="0" w:type="dxa"/>
        <w:tblLayout w:type="autofit"/>
        <w:tblCellMar>
          <w:top w:w="0" w:type="dxa"/>
          <w:left w:w="0" w:type="dxa"/>
          <w:bottom w:w="0" w:type="dxa"/>
          <w:right w:w="0" w:type="dxa"/>
        </w:tblCellMar>
      </w:tblPr>
      <w:tblGrid>
        <w:gridCol w:w="1991"/>
        <w:gridCol w:w="1995"/>
        <w:gridCol w:w="1844"/>
        <w:gridCol w:w="2143"/>
        <w:gridCol w:w="2066"/>
        <w:gridCol w:w="1774"/>
        <w:gridCol w:w="1774"/>
        <w:gridCol w:w="1774"/>
      </w:tblGrid>
      <w:tr>
        <w:tblPrEx>
          <w:tblCellMar>
            <w:top w:w="0" w:type="dxa"/>
            <w:left w:w="0" w:type="dxa"/>
            <w:bottom w:w="0" w:type="dxa"/>
            <w:right w:w="0" w:type="dxa"/>
          </w:tblCellMar>
        </w:tblPrEx>
        <w:trPr>
          <w:trHeight w:val="312" w:hRule="atLeast"/>
        </w:trPr>
        <w:tc>
          <w:tcPr>
            <w:tcW w:w="648"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食品大类   （一级）</w:t>
            </w: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食品亚类（二级）</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食品品种   （三级）</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食品细类</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（四级）</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风险等级</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计划批次数</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一季度</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二季度</w:t>
            </w:r>
          </w:p>
        </w:tc>
      </w:tr>
      <w:tr>
        <w:tblPrEx>
          <w:tblCellMar>
            <w:top w:w="0" w:type="dxa"/>
            <w:left w:w="0" w:type="dxa"/>
            <w:bottom w:w="0" w:type="dxa"/>
            <w:right w:w="0" w:type="dxa"/>
          </w:tblCellMar>
        </w:tblPrEx>
        <w:trPr>
          <w:trHeight w:val="312" w:hRule="atLeast"/>
        </w:trPr>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b/>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b/>
                <w:sz w:val="18"/>
                <w:szCs w:val="18"/>
              </w:rPr>
            </w:pPr>
          </w:p>
        </w:tc>
      </w:tr>
      <w:tr>
        <w:tblPrEx>
          <w:tblCellMar>
            <w:top w:w="0" w:type="dxa"/>
            <w:left w:w="0" w:type="dxa"/>
            <w:bottom w:w="0" w:type="dxa"/>
            <w:right w:w="0" w:type="dxa"/>
          </w:tblCellMar>
        </w:tblPrEx>
        <w:tc>
          <w:tcPr>
            <w:tcW w:w="648"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粮食加工品</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小麦粉</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小麦粉</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通用小麦粉、专用小麦粉</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大米</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大米</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大米</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挂面</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挂面</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普通挂面、花色挂面、手工面</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其他粮食加工品</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谷物加工品</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谷物加工品</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谷物碾磨加工品</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玉米粉、玉米片、玉米碴</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米粉</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其他谷物碾磨加工品</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谷物粉类制成品</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生湿面制品</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25</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25</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发酵面制品</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米粉制品</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其他谷物粉类制成品</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糕点</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糕点</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糕点</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冷加工糕点</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50</w:t>
            </w:r>
          </w:p>
        </w:tc>
      </w:tr>
      <w:tr>
        <w:tblPrEx>
          <w:tblCellMar>
            <w:top w:w="0" w:type="dxa"/>
            <w:left w:w="0" w:type="dxa"/>
            <w:bottom w:w="0" w:type="dxa"/>
            <w:right w:w="0" w:type="dxa"/>
          </w:tblCellMar>
        </w:tblPrEx>
        <w:tc>
          <w:tcPr>
            <w:tcW w:w="64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蛋</w:t>
            </w:r>
            <w:r>
              <w:rPr>
                <w:rFonts w:hint="eastAsia" w:ascii="宋体" w:hAnsi="宋体" w:cs="宋体"/>
                <w:kern w:val="0"/>
                <w:sz w:val="18"/>
                <w:szCs w:val="18"/>
                <w:lang w:bidi="ar"/>
              </w:rPr>
              <w:br w:type="textWrapping"/>
            </w:r>
            <w:r>
              <w:rPr>
                <w:rFonts w:hint="eastAsia" w:ascii="宋体" w:hAnsi="宋体" w:cs="宋体"/>
                <w:kern w:val="0"/>
                <w:sz w:val="18"/>
                <w:szCs w:val="18"/>
                <w:lang w:bidi="ar"/>
              </w:rPr>
              <w:t>制品</w:t>
            </w: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蛋制品</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再制蛋</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再制蛋</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25</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25</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干蛋类</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干蛋类</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冰蛋类</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冰蛋类</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其他类</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其他类</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特殊膳食食品</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婴幼儿谷类辅助食品</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婴幼儿谷类辅助食品</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婴幼儿面条、饼干、磨牙棒</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其他特殊食品</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其他特殊食品</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其他特殊食品</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bl>
    <w:p>
      <w:pPr>
        <w:spacing w:line="360" w:lineRule="auto"/>
        <w:ind w:firstLine="361" w:firstLineChars="150"/>
        <w:rPr>
          <w:rFonts w:asciiTheme="minorEastAsia" w:hAnsiTheme="minorEastAsia" w:eastAsiaTheme="minorEastAsia"/>
          <w:b/>
          <w:sz w:val="24"/>
          <w:szCs w:val="24"/>
        </w:rPr>
      </w:pP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标项二： </w:t>
      </w: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抽样： </w:t>
      </w:r>
    </w:p>
    <w:tbl>
      <w:tblPr>
        <w:tblStyle w:val="39"/>
        <w:tblW w:w="4999" w:type="pct"/>
        <w:tblInd w:w="0" w:type="dxa"/>
        <w:tblLayout w:type="autofit"/>
        <w:tblCellMar>
          <w:top w:w="0" w:type="dxa"/>
          <w:left w:w="0" w:type="dxa"/>
          <w:bottom w:w="0" w:type="dxa"/>
          <w:right w:w="0" w:type="dxa"/>
        </w:tblCellMar>
      </w:tblPr>
      <w:tblGrid>
        <w:gridCol w:w="2053"/>
        <w:gridCol w:w="2008"/>
        <w:gridCol w:w="2358"/>
        <w:gridCol w:w="2103"/>
        <w:gridCol w:w="1799"/>
        <w:gridCol w:w="1679"/>
        <w:gridCol w:w="1682"/>
        <w:gridCol w:w="1682"/>
      </w:tblGrid>
      <w:tr>
        <w:tblPrEx>
          <w:tblCellMar>
            <w:top w:w="0" w:type="dxa"/>
            <w:left w:w="0" w:type="dxa"/>
            <w:bottom w:w="0" w:type="dxa"/>
            <w:right w:w="0" w:type="dxa"/>
          </w:tblCellMar>
        </w:tblPrEx>
        <w:trPr>
          <w:trHeight w:val="312" w:hRule="atLeast"/>
        </w:trPr>
        <w:tc>
          <w:tcPr>
            <w:tcW w:w="668"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食品大类   （一级）</w:t>
            </w:r>
          </w:p>
        </w:tc>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食品亚类（二级）</w:t>
            </w:r>
          </w:p>
        </w:tc>
        <w:tc>
          <w:tcPr>
            <w:tcW w:w="76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食品品种   （三级）</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食品细类</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（四级）</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风险等级</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计划批次数</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一季度</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二季度</w:t>
            </w:r>
          </w:p>
        </w:tc>
      </w:tr>
      <w:tr>
        <w:tblPrEx>
          <w:tblCellMar>
            <w:top w:w="0" w:type="dxa"/>
            <w:left w:w="0" w:type="dxa"/>
            <w:bottom w:w="0" w:type="dxa"/>
            <w:right w:w="0" w:type="dxa"/>
          </w:tblCellMar>
        </w:tblPrEx>
        <w:trPr>
          <w:trHeight w:val="312" w:hRule="atLeast"/>
        </w:trPr>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b/>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b/>
                <w:sz w:val="18"/>
                <w:szCs w:val="18"/>
              </w:rPr>
            </w:pPr>
          </w:p>
        </w:tc>
      </w:tr>
      <w:tr>
        <w:tblPrEx>
          <w:tblCellMar>
            <w:top w:w="0" w:type="dxa"/>
            <w:left w:w="0" w:type="dxa"/>
            <w:bottom w:w="0" w:type="dxa"/>
            <w:right w:w="0" w:type="dxa"/>
          </w:tblCellMar>
        </w:tblPrEx>
        <w:tc>
          <w:tcPr>
            <w:tcW w:w="668"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调味品</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酱油</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酱油</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酿造酱油、配制酱油（酿造和配制按2:1）</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rPr>
                <w:rFonts w:ascii="宋体" w:hAnsi="宋体" w:cs="宋体"/>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食醋</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食醋</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酿造食醋、配制食醋</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rPr>
                <w:rFonts w:ascii="宋体" w:hAnsi="宋体" w:cs="宋体"/>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酱类</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酱类</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黄豆酱、甜面酱等</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rPr>
                <w:rFonts w:ascii="宋体" w:hAnsi="宋体" w:cs="宋体"/>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调味料酒</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调味料酒</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料酒</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rPr>
                <w:rFonts w:ascii="宋体" w:hAnsi="宋体" w:cs="宋体"/>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香辛料类</w:t>
            </w:r>
          </w:p>
        </w:tc>
        <w:tc>
          <w:tcPr>
            <w:tcW w:w="76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香辛料类</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香辛料调味油</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7</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7</w:t>
            </w: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辣椒、花椒、辣椒粉、花椒粉</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香辛料酱（芥末酱、青介酱等）</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其他香辛料调味品</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调味料</w:t>
            </w:r>
          </w:p>
        </w:tc>
        <w:tc>
          <w:tcPr>
            <w:tcW w:w="76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固体复合调味料</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鸡粉、鸡精调味料</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25</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25</w:t>
            </w: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其他固体调味料</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半固体复合调味料</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蛋黄酱、沙拉酱</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19</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19</w:t>
            </w: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坚果与籽类的泥（酱），包括花生酱等</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辣椒酱</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火锅底料、麻辣烫底料及蘸料</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其他半固体调味料</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液体复合调味料</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蚝油、虾油、鱼露</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9</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9</w:t>
            </w: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其他液体调味料</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味精</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味精</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味精</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rPr>
                <w:rFonts w:ascii="宋体" w:hAnsi="宋体" w:cs="宋体"/>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10</w:t>
            </w:r>
          </w:p>
        </w:tc>
      </w:tr>
      <w:tr>
        <w:tblPrEx>
          <w:tblCellMar>
            <w:top w:w="0" w:type="dxa"/>
            <w:left w:w="0" w:type="dxa"/>
            <w:bottom w:w="0" w:type="dxa"/>
            <w:right w:w="0" w:type="dxa"/>
          </w:tblCellMar>
        </w:tblPrEx>
        <w:tc>
          <w:tcPr>
            <w:tcW w:w="668"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方便食品</w:t>
            </w:r>
          </w:p>
        </w:tc>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方便食品</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方便面</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油炸面、非油炸面</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65</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40</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25</w:t>
            </w: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其他方便食品</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方便粥、方便盒饭、冷面及其他熟制方便食品等</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薯类和膨化食品</w:t>
            </w:r>
          </w:p>
        </w:tc>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薯类和膨化食品</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膨化食品</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含油型膨化食品和非含油型膨化食品</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薯类食品</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干制薯类（仅限马铃薯片）</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干制薯类（除马铃薯片外）</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冷冻薯类</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薯泥（酱）类</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薯粉类</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其他类</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bl>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检测： </w:t>
      </w:r>
    </w:p>
    <w:tbl>
      <w:tblPr>
        <w:tblStyle w:val="39"/>
        <w:tblW w:w="4998" w:type="pct"/>
        <w:tblInd w:w="0" w:type="dxa"/>
        <w:tblLayout w:type="autofit"/>
        <w:tblCellMar>
          <w:top w:w="0" w:type="dxa"/>
          <w:left w:w="0" w:type="dxa"/>
          <w:bottom w:w="0" w:type="dxa"/>
          <w:right w:w="0" w:type="dxa"/>
        </w:tblCellMar>
      </w:tblPr>
      <w:tblGrid>
        <w:gridCol w:w="1968"/>
        <w:gridCol w:w="2119"/>
        <w:gridCol w:w="2094"/>
        <w:gridCol w:w="1947"/>
        <w:gridCol w:w="1919"/>
        <w:gridCol w:w="1771"/>
        <w:gridCol w:w="1771"/>
        <w:gridCol w:w="1772"/>
      </w:tblGrid>
      <w:tr>
        <w:tblPrEx>
          <w:tblCellMar>
            <w:top w:w="0" w:type="dxa"/>
            <w:left w:w="0" w:type="dxa"/>
            <w:bottom w:w="0" w:type="dxa"/>
            <w:right w:w="0" w:type="dxa"/>
          </w:tblCellMar>
        </w:tblPrEx>
        <w:trPr>
          <w:trHeight w:val="312" w:hRule="atLeast"/>
        </w:trPr>
        <w:tc>
          <w:tcPr>
            <w:tcW w:w="640"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食品大类   （一级）</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食品亚类（二级）</w:t>
            </w: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食品品种   （三级）</w:t>
            </w:r>
          </w:p>
        </w:tc>
        <w:tc>
          <w:tcPr>
            <w:tcW w:w="63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食品细类</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（四级）</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风险等级</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计划批次数</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一季度</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二季度</w:t>
            </w:r>
          </w:p>
        </w:tc>
      </w:tr>
      <w:tr>
        <w:tblPrEx>
          <w:tblCellMar>
            <w:top w:w="0" w:type="dxa"/>
            <w:left w:w="0" w:type="dxa"/>
            <w:bottom w:w="0" w:type="dxa"/>
            <w:right w:w="0" w:type="dxa"/>
          </w:tblCellMar>
        </w:tblPrEx>
        <w:trPr>
          <w:trHeight w:val="312" w:hRule="atLeast"/>
        </w:trPr>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b/>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b/>
                <w:sz w:val="18"/>
                <w:szCs w:val="18"/>
              </w:rPr>
            </w:pPr>
          </w:p>
        </w:tc>
      </w:tr>
      <w:tr>
        <w:tblPrEx>
          <w:tblCellMar>
            <w:top w:w="0" w:type="dxa"/>
            <w:left w:w="0" w:type="dxa"/>
            <w:bottom w:w="0" w:type="dxa"/>
            <w:right w:w="0" w:type="dxa"/>
          </w:tblCellMar>
        </w:tblPrEx>
        <w:tc>
          <w:tcPr>
            <w:tcW w:w="640"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食用油、油脂及其制品</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食用植物油</w:t>
            </w: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食用植物油（半精炼、全精炼）</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花生油</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37</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37</w:t>
            </w: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玉米油</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芝麻油</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橄榄油、油橄榄果渣油</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其他食用植物油（半精炼、全精炼）</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食用油脂制品</w:t>
            </w:r>
          </w:p>
        </w:tc>
        <w:tc>
          <w:tcPr>
            <w:tcW w:w="68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食用油脂制品</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食用油脂制品</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水果制品</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水果制品</w:t>
            </w:r>
          </w:p>
        </w:tc>
        <w:tc>
          <w:tcPr>
            <w:tcW w:w="68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蜜饯</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蜜饯类、凉果类、果脯类、话化类、果糕类</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33</w:t>
            </w: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水果干制品</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水果干制品</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45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25</w:t>
            </w: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果酱</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果酱</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4</w:t>
            </w:r>
          </w:p>
        </w:tc>
      </w:tr>
      <w:tr>
        <w:tblPrEx>
          <w:tblCellMar>
            <w:top w:w="0" w:type="dxa"/>
            <w:left w:w="0" w:type="dxa"/>
            <w:bottom w:w="0" w:type="dxa"/>
            <w:right w:w="0" w:type="dxa"/>
          </w:tblCellMar>
        </w:tblPrEx>
        <w:tc>
          <w:tcPr>
            <w:tcW w:w="640"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水产制品</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非即食水产制品</w:t>
            </w: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干制水产品</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藻类加工制品</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7</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7</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烤鱼片</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其他动物性水产干制品</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盐渍水产品</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盐渍鱼</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盐渍藻</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其他盐渍水产品</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鱼糜制品</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鱼糜制品（含虾糜）</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其他水产品</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其他水产品</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6</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6</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即食水产品</w:t>
            </w:r>
          </w:p>
        </w:tc>
        <w:tc>
          <w:tcPr>
            <w:tcW w:w="68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风味熟制水产品</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风味熟制水产品</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40"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生食水产品</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生食动物性水产品</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bl>
    <w:p>
      <w:pPr>
        <w:spacing w:line="360" w:lineRule="auto"/>
        <w:ind w:firstLine="361" w:firstLineChars="150"/>
        <w:rPr>
          <w:rFonts w:asciiTheme="minorEastAsia" w:hAnsiTheme="minorEastAsia" w:eastAsiaTheme="minorEastAsia"/>
          <w:b/>
          <w:sz w:val="24"/>
          <w:szCs w:val="24"/>
        </w:rPr>
      </w:pP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标项三： </w:t>
      </w: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抽样： </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32"/>
        <w:gridCol w:w="1845"/>
        <w:gridCol w:w="2358"/>
        <w:gridCol w:w="2217"/>
        <w:gridCol w:w="1866"/>
        <w:gridCol w:w="1679"/>
        <w:gridCol w:w="1682"/>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61" w:type="pct"/>
            <w:vMerge w:val="restart"/>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食品大类   （一级）</w:t>
            </w:r>
          </w:p>
        </w:tc>
        <w:tc>
          <w:tcPr>
            <w:tcW w:w="600" w:type="pct"/>
            <w:vMerge w:val="restart"/>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食品亚类（二级）</w:t>
            </w:r>
          </w:p>
        </w:tc>
        <w:tc>
          <w:tcPr>
            <w:tcW w:w="767" w:type="pct"/>
            <w:vMerge w:val="restart"/>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食品品种   （三级）</w:t>
            </w:r>
          </w:p>
        </w:tc>
        <w:tc>
          <w:tcPr>
            <w:tcW w:w="721" w:type="pct"/>
            <w:vMerge w:val="restart"/>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食品细类</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（四级）</w:t>
            </w:r>
          </w:p>
        </w:tc>
        <w:tc>
          <w:tcPr>
            <w:tcW w:w="607" w:type="pct"/>
            <w:vMerge w:val="restart"/>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风险等级</w:t>
            </w:r>
          </w:p>
        </w:tc>
        <w:tc>
          <w:tcPr>
            <w:tcW w:w="546" w:type="pct"/>
            <w:vMerge w:val="restart"/>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计划批次数</w:t>
            </w:r>
          </w:p>
        </w:tc>
        <w:tc>
          <w:tcPr>
            <w:tcW w:w="547" w:type="pct"/>
            <w:vMerge w:val="restart"/>
            <w:shd w:val="clear" w:color="auto" w:fill="auto"/>
            <w:noWrap/>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一季度</w:t>
            </w:r>
          </w:p>
        </w:tc>
        <w:tc>
          <w:tcPr>
            <w:tcW w:w="547" w:type="pct"/>
            <w:vMerge w:val="restart"/>
            <w:shd w:val="clear" w:color="auto" w:fill="auto"/>
            <w:noWrap/>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61" w:type="pct"/>
            <w:vMerge w:val="continue"/>
            <w:shd w:val="clear" w:color="auto" w:fill="auto"/>
            <w:tcMar>
              <w:top w:w="12" w:type="dxa"/>
              <w:left w:w="12" w:type="dxa"/>
              <w:right w:w="12" w:type="dxa"/>
            </w:tcMar>
            <w:vAlign w:val="center"/>
          </w:tcPr>
          <w:p>
            <w:pPr>
              <w:jc w:val="center"/>
              <w:rPr>
                <w:rFonts w:ascii="宋体" w:hAnsi="宋体" w:cs="宋体"/>
                <w:b/>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b/>
                <w:sz w:val="18"/>
                <w:szCs w:val="18"/>
              </w:rPr>
            </w:pPr>
          </w:p>
        </w:tc>
        <w:tc>
          <w:tcPr>
            <w:tcW w:w="767" w:type="pct"/>
            <w:vMerge w:val="continue"/>
            <w:shd w:val="clear" w:color="auto" w:fill="auto"/>
            <w:tcMar>
              <w:top w:w="12" w:type="dxa"/>
              <w:left w:w="12" w:type="dxa"/>
              <w:right w:w="12" w:type="dxa"/>
            </w:tcMar>
            <w:vAlign w:val="center"/>
          </w:tcPr>
          <w:p>
            <w:pPr>
              <w:jc w:val="center"/>
              <w:rPr>
                <w:rFonts w:ascii="宋体" w:hAnsi="宋体" w:cs="宋体"/>
                <w:b/>
                <w:sz w:val="18"/>
                <w:szCs w:val="18"/>
              </w:rPr>
            </w:pPr>
          </w:p>
        </w:tc>
        <w:tc>
          <w:tcPr>
            <w:tcW w:w="721" w:type="pct"/>
            <w:vMerge w:val="continue"/>
            <w:shd w:val="clear" w:color="auto" w:fill="auto"/>
            <w:tcMar>
              <w:top w:w="12" w:type="dxa"/>
              <w:left w:w="12" w:type="dxa"/>
              <w:right w:w="12" w:type="dxa"/>
            </w:tcMar>
            <w:vAlign w:val="center"/>
          </w:tcPr>
          <w:p>
            <w:pPr>
              <w:jc w:val="center"/>
              <w:rPr>
                <w:rFonts w:ascii="宋体" w:hAnsi="宋体" w:cs="宋体"/>
                <w:b/>
                <w:sz w:val="18"/>
                <w:szCs w:val="18"/>
              </w:rPr>
            </w:pPr>
          </w:p>
        </w:tc>
        <w:tc>
          <w:tcPr>
            <w:tcW w:w="607" w:type="pct"/>
            <w:vMerge w:val="continue"/>
            <w:shd w:val="clear" w:color="auto" w:fill="auto"/>
            <w:tcMar>
              <w:top w:w="12" w:type="dxa"/>
              <w:left w:w="12" w:type="dxa"/>
              <w:right w:w="12" w:type="dxa"/>
            </w:tcMar>
            <w:vAlign w:val="center"/>
          </w:tcPr>
          <w:p>
            <w:pPr>
              <w:jc w:val="center"/>
              <w:rPr>
                <w:rFonts w:ascii="宋体" w:hAnsi="宋体" w:cs="宋体"/>
                <w:b/>
                <w:sz w:val="18"/>
                <w:szCs w:val="18"/>
              </w:rPr>
            </w:pPr>
          </w:p>
        </w:tc>
        <w:tc>
          <w:tcPr>
            <w:tcW w:w="546" w:type="pct"/>
            <w:vMerge w:val="continue"/>
            <w:shd w:val="clear" w:color="auto" w:fill="auto"/>
            <w:tcMar>
              <w:top w:w="12" w:type="dxa"/>
              <w:left w:w="12" w:type="dxa"/>
              <w:right w:w="12" w:type="dxa"/>
            </w:tcMar>
            <w:vAlign w:val="center"/>
          </w:tcPr>
          <w:p>
            <w:pPr>
              <w:jc w:val="center"/>
              <w:rPr>
                <w:rFonts w:ascii="宋体" w:hAnsi="宋体" w:cs="宋体"/>
                <w:b/>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b/>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速冻食品</w:t>
            </w:r>
          </w:p>
        </w:tc>
        <w:tc>
          <w:tcPr>
            <w:tcW w:w="600"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速冻面米食品</w:t>
            </w:r>
          </w:p>
        </w:tc>
        <w:tc>
          <w:tcPr>
            <w:tcW w:w="767"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速冻面米食品</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水饺、元宵、馄饨等</w:t>
            </w:r>
          </w:p>
        </w:tc>
        <w:tc>
          <w:tcPr>
            <w:tcW w:w="607"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vMerge w:val="restar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547"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547" w:type="pct"/>
            <w:vMerge w:val="restart"/>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包子、馒头等</w:t>
            </w:r>
          </w:p>
        </w:tc>
        <w:tc>
          <w:tcPr>
            <w:tcW w:w="607"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546"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汤圆（元宵）</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4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47" w:type="pct"/>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速冻其他食品</w:t>
            </w: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速冻谷物制品</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玉米等</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restar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40</w:t>
            </w:r>
          </w:p>
        </w:tc>
        <w:tc>
          <w:tcPr>
            <w:tcW w:w="547" w:type="pct"/>
            <w:vMerge w:val="restar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40</w:t>
            </w:r>
          </w:p>
        </w:tc>
        <w:tc>
          <w:tcPr>
            <w:tcW w:w="547" w:type="pct"/>
            <w:vMerge w:val="restart"/>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速冻肉制品</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速冻调制肉制品</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速冻水果制品</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速冻水果制品</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速冻蔬菜制品</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速冻蔬菜制品</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酒类</w:t>
            </w:r>
          </w:p>
        </w:tc>
        <w:tc>
          <w:tcPr>
            <w:tcW w:w="600"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蒸馏酒</w:t>
            </w: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白酒</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白酒、白酒（液态）、白酒（原酒）</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46"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547"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547" w:type="pct"/>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发酵酒</w:t>
            </w: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黄酒</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黄酒</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547" w:type="pct"/>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啤酒</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熟啤酒、生啤酒、鲜啤酒、特种啤酒</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w:t>
            </w:r>
          </w:p>
        </w:tc>
        <w:tc>
          <w:tcPr>
            <w:tcW w:w="547" w:type="pct"/>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葡萄酒及果酒</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葡萄酒</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vMerge w:val="restar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47" w:type="pct"/>
            <w:vMerge w:val="restart"/>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restar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果酒（李子酒、杨梅酒、樱桃酒等）</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其他酒</w:t>
            </w: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其他发酵酒</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其他发酵酒</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vMerge w:val="restar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w:t>
            </w:r>
          </w:p>
        </w:tc>
        <w:tc>
          <w:tcPr>
            <w:tcW w:w="547" w:type="pct"/>
            <w:vMerge w:val="restart"/>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restar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配制酒</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以蒸馏酒及食用酒精为酒基的配制酒</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以发酵酒为酒基的配制酒</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其他蒸馏酒</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其他蒸馏酒</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可可及焙烤咖啡产品</w:t>
            </w:r>
          </w:p>
        </w:tc>
        <w:tc>
          <w:tcPr>
            <w:tcW w:w="600"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焙炒咖啡</w:t>
            </w: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焙炒咖啡</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焙炒咖啡</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w:t>
            </w:r>
          </w:p>
        </w:tc>
        <w:tc>
          <w:tcPr>
            <w:tcW w:w="547"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w:t>
            </w:r>
          </w:p>
        </w:tc>
        <w:tc>
          <w:tcPr>
            <w:tcW w:w="547" w:type="pct"/>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特殊医学用途配方食品</w:t>
            </w:r>
          </w:p>
        </w:tc>
        <w:tc>
          <w:tcPr>
            <w:tcW w:w="600"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特殊医学用途配方食品</w:t>
            </w: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特殊医学用途婴儿配方食品</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特殊医学用途婴儿配方食品</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46"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47" w:type="pct"/>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r>
    </w:tbl>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检测： </w:t>
      </w:r>
    </w:p>
    <w:tbl>
      <w:tblPr>
        <w:tblStyle w:val="39"/>
        <w:tblW w:w="4999" w:type="pct"/>
        <w:tblInd w:w="0" w:type="dxa"/>
        <w:tblLayout w:type="autofit"/>
        <w:tblCellMar>
          <w:top w:w="0" w:type="dxa"/>
          <w:left w:w="0" w:type="dxa"/>
          <w:bottom w:w="0" w:type="dxa"/>
          <w:right w:w="0" w:type="dxa"/>
        </w:tblCellMar>
      </w:tblPr>
      <w:tblGrid>
        <w:gridCol w:w="2053"/>
        <w:gridCol w:w="2008"/>
        <w:gridCol w:w="2358"/>
        <w:gridCol w:w="2103"/>
        <w:gridCol w:w="1799"/>
        <w:gridCol w:w="1679"/>
        <w:gridCol w:w="1682"/>
        <w:gridCol w:w="1682"/>
      </w:tblGrid>
      <w:tr>
        <w:tblPrEx>
          <w:tblCellMar>
            <w:top w:w="0" w:type="dxa"/>
            <w:left w:w="0" w:type="dxa"/>
            <w:bottom w:w="0" w:type="dxa"/>
            <w:right w:w="0" w:type="dxa"/>
          </w:tblCellMar>
        </w:tblPrEx>
        <w:trPr>
          <w:trHeight w:val="312" w:hRule="atLeast"/>
        </w:trPr>
        <w:tc>
          <w:tcPr>
            <w:tcW w:w="668"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食品大类   （一级）</w:t>
            </w:r>
          </w:p>
        </w:tc>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食品亚类（二级）</w:t>
            </w:r>
          </w:p>
        </w:tc>
        <w:tc>
          <w:tcPr>
            <w:tcW w:w="76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食品品种   （三级）</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食品细类</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（四级）</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风险等级</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计划批次数</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一季度</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二季度</w:t>
            </w:r>
          </w:p>
        </w:tc>
      </w:tr>
      <w:tr>
        <w:tblPrEx>
          <w:tblCellMar>
            <w:top w:w="0" w:type="dxa"/>
            <w:left w:w="0" w:type="dxa"/>
            <w:bottom w:w="0" w:type="dxa"/>
            <w:right w:w="0" w:type="dxa"/>
          </w:tblCellMar>
        </w:tblPrEx>
        <w:trPr>
          <w:trHeight w:val="312" w:hRule="atLeast"/>
        </w:trPr>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b/>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b/>
                <w:sz w:val="18"/>
                <w:szCs w:val="18"/>
              </w:rPr>
            </w:pPr>
          </w:p>
        </w:tc>
      </w:tr>
      <w:tr>
        <w:tblPrEx>
          <w:tblCellMar>
            <w:top w:w="0" w:type="dxa"/>
            <w:left w:w="0" w:type="dxa"/>
            <w:bottom w:w="0" w:type="dxa"/>
            <w:right w:w="0" w:type="dxa"/>
          </w:tblCellMar>
        </w:tblPrEx>
        <w:tc>
          <w:tcPr>
            <w:tcW w:w="668"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调味品</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酱油</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酱油</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酿造酱油、配制酱油（酿造和配制按2:1）</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rPr>
                <w:rFonts w:ascii="宋体" w:hAnsi="宋体" w:cs="宋体"/>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食醋</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食醋</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酿造食醋、配制食醋</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rPr>
                <w:rFonts w:ascii="宋体" w:hAnsi="宋体" w:cs="宋体"/>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酱类</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酱类</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黄豆酱、甜面酱等</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rPr>
                <w:rFonts w:ascii="宋体" w:hAnsi="宋体" w:cs="宋体"/>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调味料酒</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调味料酒</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料酒</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rPr>
                <w:rFonts w:ascii="宋体" w:hAnsi="宋体" w:cs="宋体"/>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香辛料类</w:t>
            </w:r>
          </w:p>
        </w:tc>
        <w:tc>
          <w:tcPr>
            <w:tcW w:w="76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香辛料类</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香辛料调味油</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7</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7</w:t>
            </w: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辣椒、花椒、辣椒粉、花椒粉</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香辛料酱（芥末酱、青介酱等）</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其他香辛料调味品</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调味料</w:t>
            </w:r>
          </w:p>
        </w:tc>
        <w:tc>
          <w:tcPr>
            <w:tcW w:w="76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固体复合调味料</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鸡粉、鸡精调味料</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25</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25</w:t>
            </w: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其他固体调味料</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半固体复合调味料</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蛋黄酱、沙拉酱</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19</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19</w:t>
            </w: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坚果与籽类的泥（酱），包括花生酱等</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辣椒酱</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火锅底料、麻辣烫底料及蘸料</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其他半固体调味料</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液体复合调味料</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蚝油、虾油、鱼露</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9</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9</w:t>
            </w: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其他液体调味料</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味精</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味精</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味精</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rPr>
                <w:rFonts w:ascii="宋体" w:hAnsi="宋体" w:cs="宋体"/>
                <w:sz w:val="18"/>
                <w:szCs w:val="18"/>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10</w:t>
            </w:r>
          </w:p>
        </w:tc>
      </w:tr>
      <w:tr>
        <w:tblPrEx>
          <w:tblCellMar>
            <w:top w:w="0" w:type="dxa"/>
            <w:left w:w="0" w:type="dxa"/>
            <w:bottom w:w="0" w:type="dxa"/>
            <w:right w:w="0" w:type="dxa"/>
          </w:tblCellMar>
        </w:tblPrEx>
        <w:tc>
          <w:tcPr>
            <w:tcW w:w="668"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方便食品</w:t>
            </w:r>
          </w:p>
        </w:tc>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方便食品</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方便面</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油炸面、非油炸面</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65</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40</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25</w:t>
            </w: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其他方便食品</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方便粥、方便盒饭、冷面及其他熟制方便食品等</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薯类和膨化食品</w:t>
            </w:r>
          </w:p>
        </w:tc>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薯类和膨化食品</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膨化食品</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含油型膨化食品和非含油型膨化食品</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薯类食品</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干制薯类（仅限马铃薯片）</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干制薯类（除马铃薯片外）</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冷冻薯类</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薯泥（酱）类</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薯粉类</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其他类</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bl>
    <w:p>
      <w:pPr>
        <w:spacing w:line="360" w:lineRule="auto"/>
        <w:ind w:firstLine="361" w:firstLineChars="150"/>
        <w:rPr>
          <w:rFonts w:asciiTheme="minorEastAsia" w:hAnsiTheme="minorEastAsia" w:eastAsiaTheme="minorEastAsia"/>
          <w:b/>
          <w:sz w:val="24"/>
          <w:szCs w:val="24"/>
        </w:rPr>
      </w:pP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标项四： </w:t>
      </w: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抽样： </w:t>
      </w:r>
    </w:p>
    <w:tbl>
      <w:tblPr>
        <w:tblStyle w:val="39"/>
        <w:tblW w:w="4998" w:type="pct"/>
        <w:tblInd w:w="0" w:type="dxa"/>
        <w:tblLayout w:type="autofit"/>
        <w:tblCellMar>
          <w:top w:w="0" w:type="dxa"/>
          <w:left w:w="0" w:type="dxa"/>
          <w:bottom w:w="0" w:type="dxa"/>
          <w:right w:w="0" w:type="dxa"/>
        </w:tblCellMar>
      </w:tblPr>
      <w:tblGrid>
        <w:gridCol w:w="2041"/>
        <w:gridCol w:w="2133"/>
        <w:gridCol w:w="2063"/>
        <w:gridCol w:w="2087"/>
        <w:gridCol w:w="1970"/>
        <w:gridCol w:w="1688"/>
        <w:gridCol w:w="1688"/>
        <w:gridCol w:w="1691"/>
      </w:tblGrid>
      <w:tr>
        <w:tblPrEx>
          <w:tblCellMar>
            <w:top w:w="0" w:type="dxa"/>
            <w:left w:w="0" w:type="dxa"/>
            <w:bottom w:w="0" w:type="dxa"/>
            <w:right w:w="0" w:type="dxa"/>
          </w:tblCellMar>
        </w:tblPrEx>
        <w:trPr>
          <w:trHeight w:val="312" w:hRule="atLeast"/>
        </w:trPr>
        <w:tc>
          <w:tcPr>
            <w:tcW w:w="664"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食品大类   （一级）</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食品亚类（二级）</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食品品种   （三级）</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食品细类</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（四级）</w:t>
            </w:r>
          </w:p>
        </w:tc>
        <w:tc>
          <w:tcPr>
            <w:tcW w:w="64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风险等级</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计划批次数</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一季度</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二季度</w:t>
            </w:r>
          </w:p>
        </w:tc>
      </w:tr>
      <w:tr>
        <w:tblPrEx>
          <w:tblCellMar>
            <w:top w:w="0" w:type="dxa"/>
            <w:left w:w="0" w:type="dxa"/>
            <w:bottom w:w="0" w:type="dxa"/>
            <w:right w:w="0" w:type="dxa"/>
          </w:tblCellMar>
        </w:tblPrEx>
        <w:trPr>
          <w:trHeight w:val="312" w:hRule="atLeast"/>
        </w:trPr>
        <w:tc>
          <w:tcPr>
            <w:tcW w:w="664"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b/>
                <w:sz w:val="18"/>
                <w:szCs w:val="18"/>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b/>
                <w:sz w:val="18"/>
                <w:szCs w:val="18"/>
              </w:rPr>
            </w:pPr>
          </w:p>
        </w:tc>
      </w:tr>
      <w:tr>
        <w:tblPrEx>
          <w:tblCellMar>
            <w:top w:w="0" w:type="dxa"/>
            <w:left w:w="0" w:type="dxa"/>
            <w:bottom w:w="0" w:type="dxa"/>
            <w:right w:w="0" w:type="dxa"/>
          </w:tblCellMar>
        </w:tblPrEx>
        <w:tc>
          <w:tcPr>
            <w:tcW w:w="664"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肉制品</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预制肉制品</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调理肉制品</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调理肉制品（非速冻）</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腌腊肉制品</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腌腊肉制品</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熟肉制品</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发酵肉制品</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发酵肉制品</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酱卤肉制品</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酱卤肉制品</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熟肉干制品</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熟肉干制品</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熏烧烤肉制品</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熏烧烤肉制品</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熏煮香肠火腿制品</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熏煮香肠火腿制品</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其他肉制品</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其他肉制品</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食用血制品</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冷冻饮品</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冷冻饮品</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冷冻饮品</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冰淇淋、雪糕、雪泥、冰棍、食用冰、甜味冰</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8</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8</w:t>
            </w:r>
          </w:p>
        </w:tc>
      </w:tr>
      <w:tr>
        <w:tblPrEx>
          <w:tblCellMar>
            <w:top w:w="0" w:type="dxa"/>
            <w:left w:w="0" w:type="dxa"/>
            <w:bottom w:w="0" w:type="dxa"/>
            <w:right w:w="0" w:type="dxa"/>
          </w:tblCellMar>
        </w:tblPrEx>
        <w:tc>
          <w:tcPr>
            <w:tcW w:w="664"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淀粉及淀粉制品</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淀粉及淀粉制品</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淀粉</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淀粉</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32</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32</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淀粉制品</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粉丝粉条等</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食品添加剂</w:t>
            </w:r>
          </w:p>
        </w:tc>
        <w:tc>
          <w:tcPr>
            <w:tcW w:w="694" w:type="pct"/>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食品添加剂</w:t>
            </w:r>
          </w:p>
        </w:tc>
        <w:tc>
          <w:tcPr>
            <w:tcW w:w="671" w:type="pct"/>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复配食品添加剂</w:t>
            </w:r>
          </w:p>
        </w:tc>
        <w:tc>
          <w:tcPr>
            <w:tcW w:w="679" w:type="pc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复合膨松剂</w:t>
            </w:r>
          </w:p>
        </w:tc>
        <w:tc>
          <w:tcPr>
            <w:tcW w:w="641" w:type="pc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9" w:type="pct"/>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549" w:type="pct"/>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50</w:t>
            </w:r>
          </w:p>
        </w:tc>
      </w:tr>
      <w:tr>
        <w:tblPrEx>
          <w:tblCellMar>
            <w:top w:w="0" w:type="dxa"/>
            <w:left w:w="0" w:type="dxa"/>
            <w:bottom w:w="0" w:type="dxa"/>
            <w:right w:w="0" w:type="dxa"/>
          </w:tblCellMar>
        </w:tblPrEx>
        <w:tc>
          <w:tcPr>
            <w:tcW w:w="66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复配食品添加剂（用于小麦粉）</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复配食品添加剂（其他）</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食品用香精</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食品用香精</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防腐剂</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苯甲酸钠</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甜味剂</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糖精钠</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着色剂</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诱惑红</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诱惑红铝色淀</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食用盐</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食用盐</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食用盐</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食用盐、精制盐、粉碎洗涤盐、日晒盐、低钠盐</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4</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4</w:t>
            </w:r>
          </w:p>
        </w:tc>
      </w:tr>
    </w:tbl>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检测： </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32"/>
        <w:gridCol w:w="1845"/>
        <w:gridCol w:w="2358"/>
        <w:gridCol w:w="2217"/>
        <w:gridCol w:w="1866"/>
        <w:gridCol w:w="1679"/>
        <w:gridCol w:w="1682"/>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61" w:type="pct"/>
            <w:vMerge w:val="restart"/>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食品大类   （一级）</w:t>
            </w:r>
          </w:p>
        </w:tc>
        <w:tc>
          <w:tcPr>
            <w:tcW w:w="600" w:type="pct"/>
            <w:vMerge w:val="restart"/>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食品亚类（二级）</w:t>
            </w:r>
          </w:p>
        </w:tc>
        <w:tc>
          <w:tcPr>
            <w:tcW w:w="767" w:type="pct"/>
            <w:vMerge w:val="restart"/>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食品品种   （三级）</w:t>
            </w:r>
          </w:p>
        </w:tc>
        <w:tc>
          <w:tcPr>
            <w:tcW w:w="721" w:type="pct"/>
            <w:vMerge w:val="restart"/>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食品细类</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（四级）</w:t>
            </w:r>
          </w:p>
        </w:tc>
        <w:tc>
          <w:tcPr>
            <w:tcW w:w="607" w:type="pct"/>
            <w:vMerge w:val="restart"/>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风险等级</w:t>
            </w:r>
          </w:p>
        </w:tc>
        <w:tc>
          <w:tcPr>
            <w:tcW w:w="546" w:type="pct"/>
            <w:vMerge w:val="restart"/>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计划批次数</w:t>
            </w:r>
          </w:p>
        </w:tc>
        <w:tc>
          <w:tcPr>
            <w:tcW w:w="547" w:type="pct"/>
            <w:vMerge w:val="restart"/>
            <w:shd w:val="clear" w:color="auto" w:fill="auto"/>
            <w:noWrap/>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一季度</w:t>
            </w:r>
          </w:p>
        </w:tc>
        <w:tc>
          <w:tcPr>
            <w:tcW w:w="547" w:type="pct"/>
            <w:vMerge w:val="restart"/>
            <w:shd w:val="clear" w:color="auto" w:fill="auto"/>
            <w:noWrap/>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61" w:type="pct"/>
            <w:vMerge w:val="continue"/>
            <w:shd w:val="clear" w:color="auto" w:fill="auto"/>
            <w:tcMar>
              <w:top w:w="12" w:type="dxa"/>
              <w:left w:w="12" w:type="dxa"/>
              <w:right w:w="12" w:type="dxa"/>
            </w:tcMar>
            <w:vAlign w:val="center"/>
          </w:tcPr>
          <w:p>
            <w:pPr>
              <w:jc w:val="center"/>
              <w:rPr>
                <w:rFonts w:ascii="宋体" w:hAnsi="宋体" w:cs="宋体"/>
                <w:b/>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b/>
                <w:sz w:val="18"/>
                <w:szCs w:val="18"/>
              </w:rPr>
            </w:pPr>
          </w:p>
        </w:tc>
        <w:tc>
          <w:tcPr>
            <w:tcW w:w="767" w:type="pct"/>
            <w:vMerge w:val="continue"/>
            <w:shd w:val="clear" w:color="auto" w:fill="auto"/>
            <w:tcMar>
              <w:top w:w="12" w:type="dxa"/>
              <w:left w:w="12" w:type="dxa"/>
              <w:right w:w="12" w:type="dxa"/>
            </w:tcMar>
            <w:vAlign w:val="center"/>
          </w:tcPr>
          <w:p>
            <w:pPr>
              <w:jc w:val="center"/>
              <w:rPr>
                <w:rFonts w:ascii="宋体" w:hAnsi="宋体" w:cs="宋体"/>
                <w:b/>
                <w:sz w:val="18"/>
                <w:szCs w:val="18"/>
              </w:rPr>
            </w:pPr>
          </w:p>
        </w:tc>
        <w:tc>
          <w:tcPr>
            <w:tcW w:w="721" w:type="pct"/>
            <w:vMerge w:val="continue"/>
            <w:shd w:val="clear" w:color="auto" w:fill="auto"/>
            <w:tcMar>
              <w:top w:w="12" w:type="dxa"/>
              <w:left w:w="12" w:type="dxa"/>
              <w:right w:w="12" w:type="dxa"/>
            </w:tcMar>
            <w:vAlign w:val="center"/>
          </w:tcPr>
          <w:p>
            <w:pPr>
              <w:jc w:val="center"/>
              <w:rPr>
                <w:rFonts w:ascii="宋体" w:hAnsi="宋体" w:cs="宋体"/>
                <w:b/>
                <w:sz w:val="18"/>
                <w:szCs w:val="18"/>
              </w:rPr>
            </w:pPr>
          </w:p>
        </w:tc>
        <w:tc>
          <w:tcPr>
            <w:tcW w:w="607" w:type="pct"/>
            <w:vMerge w:val="continue"/>
            <w:shd w:val="clear" w:color="auto" w:fill="auto"/>
            <w:tcMar>
              <w:top w:w="12" w:type="dxa"/>
              <w:left w:w="12" w:type="dxa"/>
              <w:right w:w="12" w:type="dxa"/>
            </w:tcMar>
            <w:vAlign w:val="center"/>
          </w:tcPr>
          <w:p>
            <w:pPr>
              <w:jc w:val="center"/>
              <w:rPr>
                <w:rFonts w:ascii="宋体" w:hAnsi="宋体" w:cs="宋体"/>
                <w:b/>
                <w:sz w:val="18"/>
                <w:szCs w:val="18"/>
              </w:rPr>
            </w:pPr>
          </w:p>
        </w:tc>
        <w:tc>
          <w:tcPr>
            <w:tcW w:w="546" w:type="pct"/>
            <w:vMerge w:val="continue"/>
            <w:shd w:val="clear" w:color="auto" w:fill="auto"/>
            <w:tcMar>
              <w:top w:w="12" w:type="dxa"/>
              <w:left w:w="12" w:type="dxa"/>
              <w:right w:w="12" w:type="dxa"/>
            </w:tcMar>
            <w:vAlign w:val="center"/>
          </w:tcPr>
          <w:p>
            <w:pPr>
              <w:jc w:val="center"/>
              <w:rPr>
                <w:rFonts w:ascii="宋体" w:hAnsi="宋体" w:cs="宋体"/>
                <w:b/>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b/>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速冻食品</w:t>
            </w:r>
          </w:p>
        </w:tc>
        <w:tc>
          <w:tcPr>
            <w:tcW w:w="600"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速冻面米食品</w:t>
            </w:r>
          </w:p>
        </w:tc>
        <w:tc>
          <w:tcPr>
            <w:tcW w:w="767"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速冻面米食品</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水饺、元宵、馄饨等</w:t>
            </w:r>
          </w:p>
        </w:tc>
        <w:tc>
          <w:tcPr>
            <w:tcW w:w="607"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vMerge w:val="restar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547"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547" w:type="pct"/>
            <w:vMerge w:val="restart"/>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包子、馒头等</w:t>
            </w:r>
          </w:p>
        </w:tc>
        <w:tc>
          <w:tcPr>
            <w:tcW w:w="607"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546"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汤圆（元宵）</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4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47" w:type="pct"/>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速冻其他食品</w:t>
            </w: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速冻谷物制品</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玉米等</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restar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40</w:t>
            </w:r>
          </w:p>
        </w:tc>
        <w:tc>
          <w:tcPr>
            <w:tcW w:w="547" w:type="pct"/>
            <w:vMerge w:val="restar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40</w:t>
            </w:r>
          </w:p>
        </w:tc>
        <w:tc>
          <w:tcPr>
            <w:tcW w:w="547" w:type="pct"/>
            <w:vMerge w:val="restart"/>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速冻肉制品</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速冻调制肉制品</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速冻水果制品</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速冻水果制品</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速冻蔬菜制品</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速冻蔬菜制品</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酒类</w:t>
            </w:r>
          </w:p>
        </w:tc>
        <w:tc>
          <w:tcPr>
            <w:tcW w:w="600"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蒸馏酒</w:t>
            </w: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白酒</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白酒、白酒（液态）、白酒（原酒）</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46"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547"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547" w:type="pct"/>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发酵酒</w:t>
            </w: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黄酒</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黄酒</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547" w:type="pct"/>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啤酒</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熟啤酒、生啤酒、鲜啤酒、特种啤酒</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w:t>
            </w:r>
          </w:p>
        </w:tc>
        <w:tc>
          <w:tcPr>
            <w:tcW w:w="547" w:type="pct"/>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葡萄酒及果酒</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葡萄酒</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vMerge w:val="restar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47" w:type="pct"/>
            <w:vMerge w:val="restart"/>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restar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果酒（李子酒、杨梅酒、樱桃酒等）</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其他酒</w:t>
            </w: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其他发酵酒</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其他发酵酒</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vMerge w:val="restar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w:t>
            </w:r>
          </w:p>
        </w:tc>
        <w:tc>
          <w:tcPr>
            <w:tcW w:w="547" w:type="pct"/>
            <w:vMerge w:val="restart"/>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restar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vMerge w:val="restar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配制酒</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以蒸馏酒及食用酒精为酒基的配制酒</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以发酵酒为酒基的配制酒</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shd w:val="clear" w:color="auto" w:fill="auto"/>
            <w:tcMar>
              <w:top w:w="12" w:type="dxa"/>
              <w:left w:w="12" w:type="dxa"/>
              <w:right w:w="12" w:type="dxa"/>
            </w:tcMar>
            <w:vAlign w:val="center"/>
          </w:tcPr>
          <w:p>
            <w:pPr>
              <w:jc w:val="center"/>
              <w:rPr>
                <w:rFonts w:ascii="宋体" w:hAnsi="宋体" w:cs="宋体"/>
                <w:sz w:val="18"/>
                <w:szCs w:val="18"/>
              </w:rPr>
            </w:pP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其他蒸馏酒</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其他蒸馏酒</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6"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vMerge w:val="continue"/>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可可及焙烤咖啡产品</w:t>
            </w:r>
          </w:p>
        </w:tc>
        <w:tc>
          <w:tcPr>
            <w:tcW w:w="600"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焙炒咖啡</w:t>
            </w: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焙炒咖啡</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焙炒咖啡</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6"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w:t>
            </w:r>
          </w:p>
        </w:tc>
        <w:tc>
          <w:tcPr>
            <w:tcW w:w="547"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w:t>
            </w:r>
          </w:p>
        </w:tc>
        <w:tc>
          <w:tcPr>
            <w:tcW w:w="547" w:type="pct"/>
            <w:shd w:val="clear" w:color="auto" w:fill="auto"/>
            <w:noWrap/>
            <w:tcMar>
              <w:top w:w="12" w:type="dxa"/>
              <w:left w:w="12" w:type="dxa"/>
              <w:right w:w="12" w:type="dxa"/>
            </w:tcMar>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特殊医学用途配方食品</w:t>
            </w:r>
          </w:p>
        </w:tc>
        <w:tc>
          <w:tcPr>
            <w:tcW w:w="600"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特殊医学用途配方食品</w:t>
            </w:r>
          </w:p>
        </w:tc>
        <w:tc>
          <w:tcPr>
            <w:tcW w:w="76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特殊医学用途婴儿配方食品</w:t>
            </w:r>
          </w:p>
        </w:tc>
        <w:tc>
          <w:tcPr>
            <w:tcW w:w="721"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特殊医学用途婴儿配方食品</w:t>
            </w:r>
          </w:p>
        </w:tc>
        <w:tc>
          <w:tcPr>
            <w:tcW w:w="607" w:type="pct"/>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46"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47" w:type="pct"/>
            <w:shd w:val="clear" w:color="auto" w:fill="auto"/>
            <w:noWrap/>
            <w:tcMar>
              <w:top w:w="12" w:type="dxa"/>
              <w:left w:w="12" w:type="dxa"/>
              <w:right w:w="12" w:type="dxa"/>
            </w:tcMar>
            <w:vAlign w:val="center"/>
          </w:tcPr>
          <w:p>
            <w:pPr>
              <w:jc w:val="center"/>
              <w:rPr>
                <w:rFonts w:ascii="宋体" w:hAnsi="宋体" w:cs="宋体"/>
                <w:sz w:val="18"/>
                <w:szCs w:val="18"/>
              </w:rPr>
            </w:pPr>
          </w:p>
        </w:tc>
        <w:tc>
          <w:tcPr>
            <w:tcW w:w="547" w:type="pct"/>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r>
    </w:tbl>
    <w:p>
      <w:pPr>
        <w:spacing w:line="360" w:lineRule="auto"/>
        <w:ind w:firstLine="361" w:firstLineChars="150"/>
        <w:rPr>
          <w:rFonts w:asciiTheme="minorEastAsia" w:hAnsiTheme="minorEastAsia" w:eastAsiaTheme="minorEastAsia"/>
          <w:b/>
          <w:sz w:val="24"/>
          <w:szCs w:val="24"/>
        </w:rPr>
      </w:pP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标项五： </w:t>
      </w: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抽样： </w:t>
      </w:r>
    </w:p>
    <w:tbl>
      <w:tblPr>
        <w:tblStyle w:val="39"/>
        <w:tblW w:w="4997" w:type="pct"/>
        <w:tblInd w:w="0" w:type="dxa"/>
        <w:tblLayout w:type="autofit"/>
        <w:tblCellMar>
          <w:top w:w="0" w:type="dxa"/>
          <w:left w:w="0" w:type="dxa"/>
          <w:bottom w:w="0" w:type="dxa"/>
          <w:right w:w="0" w:type="dxa"/>
        </w:tblCellMar>
      </w:tblPr>
      <w:tblGrid>
        <w:gridCol w:w="1919"/>
        <w:gridCol w:w="1919"/>
        <w:gridCol w:w="1920"/>
        <w:gridCol w:w="1920"/>
        <w:gridCol w:w="1920"/>
        <w:gridCol w:w="1920"/>
        <w:gridCol w:w="1920"/>
        <w:gridCol w:w="1920"/>
      </w:tblGrid>
      <w:tr>
        <w:tblPrEx>
          <w:tblCellMar>
            <w:top w:w="0" w:type="dxa"/>
            <w:left w:w="0" w:type="dxa"/>
            <w:bottom w:w="0" w:type="dxa"/>
            <w:right w:w="0" w:type="dxa"/>
          </w:tblCellMar>
        </w:tblPrEx>
        <w:trPr>
          <w:trHeight w:val="312" w:hRule="atLeast"/>
        </w:trPr>
        <w:tc>
          <w:tcPr>
            <w:tcW w:w="625"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食品大类   （一级）</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食品亚类（二级）</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食品品种   （三级）</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食品细类</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（四级）</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风险等级</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计划批次数</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一季度</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二季度</w:t>
            </w:r>
          </w:p>
        </w:tc>
      </w:tr>
      <w:tr>
        <w:tblPrEx>
          <w:tblCellMar>
            <w:top w:w="0" w:type="dxa"/>
            <w:left w:w="0" w:type="dxa"/>
            <w:bottom w:w="0" w:type="dxa"/>
            <w:right w:w="0" w:type="dxa"/>
          </w:tblCellMar>
        </w:tblPrEx>
        <w:trPr>
          <w:trHeight w:val="312" w:hRule="atLeast"/>
        </w:trPr>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b/>
                <w:sz w:val="18"/>
                <w:szCs w:val="18"/>
              </w:rPr>
            </w:pPr>
          </w:p>
        </w:tc>
      </w:tr>
      <w:tr>
        <w:tblPrEx>
          <w:tblCellMar>
            <w:top w:w="0" w:type="dxa"/>
            <w:left w:w="0" w:type="dxa"/>
            <w:bottom w:w="0" w:type="dxa"/>
            <w:right w:w="0" w:type="dxa"/>
          </w:tblCellMar>
        </w:tblPrEx>
        <w:tc>
          <w:tcPr>
            <w:tcW w:w="625"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罐头</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罐头</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畜禽水产罐头</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畜禽肉类罐头</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4</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4</w:t>
            </w: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水产动物类罐头</w:t>
            </w: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果蔬罐头</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水果罐头</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20</w:t>
            </w: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蔬菜罐头</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食用菌罐头</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其他罐头</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其他罐头</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7</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7</w:t>
            </w:r>
          </w:p>
        </w:tc>
      </w:tr>
      <w:tr>
        <w:tblPrEx>
          <w:tblCellMar>
            <w:top w:w="0" w:type="dxa"/>
            <w:left w:w="0" w:type="dxa"/>
            <w:bottom w:w="0" w:type="dxa"/>
            <w:right w:w="0" w:type="dxa"/>
          </w:tblCellMar>
        </w:tblPrEx>
        <w:tc>
          <w:tcPr>
            <w:tcW w:w="625"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蔬菜制品</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蔬菜制品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酱腌菜</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酱腌菜</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55</w:t>
            </w: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蔬菜干制品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自然干制品、热风干燥蔬菜、冷冻干燥蔬菜、蔬菜脆片蔬菜粉及制品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35</w:t>
            </w: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食用菌制品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干制食用菌</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腌渍食用菌</w:t>
            </w: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糖果制品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糖果制品(含巧克力及制品)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糖果</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夹心糖果、焦香糖果、充气糖果、硬质糖果、抛光糖果、凝胶糖果等</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15</w:t>
            </w: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糖果制品(含巧克力及制品)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巧克力及巧克力制品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巧克力、巧克力制品、代可可脂巧克力及代可可脂巧克力制品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果冻</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果冻</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4</w:t>
            </w:r>
          </w:p>
        </w:tc>
      </w:tr>
    </w:tbl>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检测： </w:t>
      </w:r>
    </w:p>
    <w:tbl>
      <w:tblPr>
        <w:tblStyle w:val="39"/>
        <w:tblW w:w="4998" w:type="pct"/>
        <w:tblInd w:w="0" w:type="dxa"/>
        <w:tblLayout w:type="autofit"/>
        <w:tblCellMar>
          <w:top w:w="0" w:type="dxa"/>
          <w:left w:w="0" w:type="dxa"/>
          <w:bottom w:w="0" w:type="dxa"/>
          <w:right w:w="0" w:type="dxa"/>
        </w:tblCellMar>
      </w:tblPr>
      <w:tblGrid>
        <w:gridCol w:w="2041"/>
        <w:gridCol w:w="2133"/>
        <w:gridCol w:w="2063"/>
        <w:gridCol w:w="2087"/>
        <w:gridCol w:w="1970"/>
        <w:gridCol w:w="1688"/>
        <w:gridCol w:w="1688"/>
        <w:gridCol w:w="1691"/>
      </w:tblGrid>
      <w:tr>
        <w:tblPrEx>
          <w:tblCellMar>
            <w:top w:w="0" w:type="dxa"/>
            <w:left w:w="0" w:type="dxa"/>
            <w:bottom w:w="0" w:type="dxa"/>
            <w:right w:w="0" w:type="dxa"/>
          </w:tblCellMar>
        </w:tblPrEx>
        <w:trPr>
          <w:trHeight w:val="312" w:hRule="atLeast"/>
        </w:trPr>
        <w:tc>
          <w:tcPr>
            <w:tcW w:w="664"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食品大类   （一级）</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食品亚类（二级）</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食品品种   （三级）</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食品细类</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（四级）</w:t>
            </w:r>
          </w:p>
        </w:tc>
        <w:tc>
          <w:tcPr>
            <w:tcW w:w="64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风险等级</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计划批次数</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一季度</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二季度</w:t>
            </w:r>
          </w:p>
        </w:tc>
      </w:tr>
      <w:tr>
        <w:tblPrEx>
          <w:tblCellMar>
            <w:top w:w="0" w:type="dxa"/>
            <w:left w:w="0" w:type="dxa"/>
            <w:bottom w:w="0" w:type="dxa"/>
            <w:right w:w="0" w:type="dxa"/>
          </w:tblCellMar>
        </w:tblPrEx>
        <w:trPr>
          <w:trHeight w:val="312" w:hRule="atLeast"/>
        </w:trPr>
        <w:tc>
          <w:tcPr>
            <w:tcW w:w="664"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b/>
                <w:sz w:val="18"/>
                <w:szCs w:val="18"/>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b/>
                <w:sz w:val="18"/>
                <w:szCs w:val="18"/>
              </w:rPr>
            </w:pPr>
          </w:p>
        </w:tc>
      </w:tr>
      <w:tr>
        <w:tblPrEx>
          <w:tblCellMar>
            <w:top w:w="0" w:type="dxa"/>
            <w:left w:w="0" w:type="dxa"/>
            <w:bottom w:w="0" w:type="dxa"/>
            <w:right w:w="0" w:type="dxa"/>
          </w:tblCellMar>
        </w:tblPrEx>
        <w:tc>
          <w:tcPr>
            <w:tcW w:w="664"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肉制品</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预制肉制品</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调理肉制品</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调理肉制品（非速冻）</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腌腊肉制品</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腌腊肉制品</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熟肉制品</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发酵肉制品</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发酵肉制品</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酱卤肉制品</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酱卤肉制品</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熟肉干制品</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熟肉干制品</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熏烧烤肉制品</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熏烧烤肉制品</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熏煮香肠火腿制品</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熏煮香肠火腿制品</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其他肉制品</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其他肉制品</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食用血制品</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冷冻饮品</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冷冻饮品</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冷冻饮品</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冰淇淋、雪糕、雪泥、冰棍、食用冰、甜味冰</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8</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8</w:t>
            </w:r>
          </w:p>
        </w:tc>
      </w:tr>
      <w:tr>
        <w:tblPrEx>
          <w:tblCellMar>
            <w:top w:w="0" w:type="dxa"/>
            <w:left w:w="0" w:type="dxa"/>
            <w:bottom w:w="0" w:type="dxa"/>
            <w:right w:w="0" w:type="dxa"/>
          </w:tblCellMar>
        </w:tblPrEx>
        <w:tc>
          <w:tcPr>
            <w:tcW w:w="664"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淀粉及淀粉制品</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淀粉及淀粉制品</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淀粉</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淀粉</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32</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32</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淀粉制品</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粉丝粉条等</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食品添加剂</w:t>
            </w:r>
          </w:p>
        </w:tc>
        <w:tc>
          <w:tcPr>
            <w:tcW w:w="694" w:type="pct"/>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食品添加剂</w:t>
            </w:r>
          </w:p>
        </w:tc>
        <w:tc>
          <w:tcPr>
            <w:tcW w:w="671" w:type="pct"/>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复配食品添加剂</w:t>
            </w:r>
          </w:p>
        </w:tc>
        <w:tc>
          <w:tcPr>
            <w:tcW w:w="679" w:type="pc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复合膨松剂</w:t>
            </w:r>
          </w:p>
        </w:tc>
        <w:tc>
          <w:tcPr>
            <w:tcW w:w="641" w:type="pc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9" w:type="pct"/>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549" w:type="pct"/>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50</w:t>
            </w:r>
          </w:p>
        </w:tc>
      </w:tr>
      <w:tr>
        <w:tblPrEx>
          <w:tblCellMar>
            <w:top w:w="0" w:type="dxa"/>
            <w:left w:w="0" w:type="dxa"/>
            <w:bottom w:w="0" w:type="dxa"/>
            <w:right w:w="0" w:type="dxa"/>
          </w:tblCellMar>
        </w:tblPrEx>
        <w:tc>
          <w:tcPr>
            <w:tcW w:w="66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复配食品添加剂（用于小麦粉）</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复配食品添加剂（其他）</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食品用香精</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食品用香精</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防腐剂</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苯甲酸钠</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甜味剂</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糖精钠</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着色剂</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诱惑红</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94"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诱惑红铝色淀</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49"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食用盐</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食用盐</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食用盐</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食用盐、精制盐、粉碎洗涤盐、日晒盐、低钠盐</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4</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4</w:t>
            </w:r>
          </w:p>
        </w:tc>
      </w:tr>
    </w:tbl>
    <w:p>
      <w:pPr>
        <w:spacing w:line="360" w:lineRule="auto"/>
        <w:ind w:firstLine="361" w:firstLineChars="150"/>
        <w:rPr>
          <w:rFonts w:asciiTheme="minorEastAsia" w:hAnsiTheme="minorEastAsia" w:eastAsiaTheme="minorEastAsia"/>
          <w:b/>
          <w:sz w:val="24"/>
          <w:szCs w:val="24"/>
        </w:rPr>
      </w:pP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标项六： </w:t>
      </w: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抽样： </w:t>
      </w:r>
    </w:p>
    <w:tbl>
      <w:tblPr>
        <w:tblStyle w:val="39"/>
        <w:tblW w:w="4997" w:type="pct"/>
        <w:tblInd w:w="0" w:type="dxa"/>
        <w:tblLayout w:type="autofit"/>
        <w:tblCellMar>
          <w:top w:w="0" w:type="dxa"/>
          <w:left w:w="0" w:type="dxa"/>
          <w:bottom w:w="0" w:type="dxa"/>
          <w:right w:w="0" w:type="dxa"/>
        </w:tblCellMar>
      </w:tblPr>
      <w:tblGrid>
        <w:gridCol w:w="1919"/>
        <w:gridCol w:w="1919"/>
        <w:gridCol w:w="1920"/>
        <w:gridCol w:w="1920"/>
        <w:gridCol w:w="1920"/>
        <w:gridCol w:w="1920"/>
        <w:gridCol w:w="1920"/>
        <w:gridCol w:w="1920"/>
      </w:tblGrid>
      <w:tr>
        <w:tblPrEx>
          <w:tblCellMar>
            <w:top w:w="0" w:type="dxa"/>
            <w:left w:w="0" w:type="dxa"/>
            <w:bottom w:w="0" w:type="dxa"/>
            <w:right w:w="0" w:type="dxa"/>
          </w:tblCellMar>
        </w:tblPrEx>
        <w:trPr>
          <w:trHeight w:val="312" w:hRule="atLeast"/>
        </w:trPr>
        <w:tc>
          <w:tcPr>
            <w:tcW w:w="625"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食品大类   （一级）</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食品亚类（二级）</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食品品种   （三级）</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食品细类</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（四级）</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风险等级</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计划批次数</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一季度</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二季度</w:t>
            </w:r>
          </w:p>
        </w:tc>
      </w:tr>
      <w:tr>
        <w:tblPrEx>
          <w:tblCellMar>
            <w:top w:w="0" w:type="dxa"/>
            <w:left w:w="0" w:type="dxa"/>
            <w:bottom w:w="0" w:type="dxa"/>
            <w:right w:w="0" w:type="dxa"/>
          </w:tblCellMar>
        </w:tblPrEx>
        <w:trPr>
          <w:trHeight w:val="312" w:hRule="atLeast"/>
        </w:trPr>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b/>
                <w:sz w:val="18"/>
                <w:szCs w:val="18"/>
              </w:rPr>
            </w:pPr>
          </w:p>
        </w:tc>
      </w:tr>
      <w:tr>
        <w:tblPrEx>
          <w:tblCellMar>
            <w:top w:w="0" w:type="dxa"/>
            <w:left w:w="0" w:type="dxa"/>
            <w:bottom w:w="0" w:type="dxa"/>
            <w:right w:w="0" w:type="dxa"/>
          </w:tblCellMar>
        </w:tblPrEx>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糕点</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糕点</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糕点</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热加工糕点</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w:t>
            </w: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粽子</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粽子</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粽子</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清明粿</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清明粿</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清明粿</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w:t>
            </w:r>
          </w:p>
        </w:tc>
      </w:tr>
      <w:tr>
        <w:tblPrEx>
          <w:tblCellMar>
            <w:top w:w="0" w:type="dxa"/>
            <w:left w:w="0" w:type="dxa"/>
            <w:bottom w:w="0" w:type="dxa"/>
            <w:right w:w="0" w:type="dxa"/>
          </w:tblCellMar>
        </w:tblPrEx>
        <w:tc>
          <w:tcPr>
            <w:tcW w:w="625"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豆制品</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豆制品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发酵性豆制品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腐乳、豆豉、纳豆等</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25</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25</w:t>
            </w: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非发酵性豆制品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腐竹、油皮</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豆干、豆腐、豆皮等</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其他豆制品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大豆组织蛋白（挤压膨化豆制品）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bl>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检测： </w:t>
      </w:r>
    </w:p>
    <w:tbl>
      <w:tblPr>
        <w:tblStyle w:val="39"/>
        <w:tblW w:w="4997" w:type="pct"/>
        <w:tblInd w:w="0" w:type="dxa"/>
        <w:tblLayout w:type="autofit"/>
        <w:tblCellMar>
          <w:top w:w="0" w:type="dxa"/>
          <w:left w:w="0" w:type="dxa"/>
          <w:bottom w:w="0" w:type="dxa"/>
          <w:right w:w="0" w:type="dxa"/>
        </w:tblCellMar>
      </w:tblPr>
      <w:tblGrid>
        <w:gridCol w:w="1919"/>
        <w:gridCol w:w="1919"/>
        <w:gridCol w:w="1920"/>
        <w:gridCol w:w="1920"/>
        <w:gridCol w:w="1920"/>
        <w:gridCol w:w="1920"/>
        <w:gridCol w:w="1920"/>
        <w:gridCol w:w="1920"/>
      </w:tblGrid>
      <w:tr>
        <w:tblPrEx>
          <w:tblCellMar>
            <w:top w:w="0" w:type="dxa"/>
            <w:left w:w="0" w:type="dxa"/>
            <w:bottom w:w="0" w:type="dxa"/>
            <w:right w:w="0" w:type="dxa"/>
          </w:tblCellMar>
        </w:tblPrEx>
        <w:trPr>
          <w:trHeight w:val="312" w:hRule="atLeast"/>
        </w:trPr>
        <w:tc>
          <w:tcPr>
            <w:tcW w:w="625"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食品大类   （一级）</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食品亚类（二级）</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食品品种   （三级）</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食品细类</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（四级）</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风险等级</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计划批次数</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一季度</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b/>
                <w:sz w:val="18"/>
                <w:szCs w:val="18"/>
              </w:rPr>
            </w:pPr>
            <w:r>
              <w:rPr>
                <w:rFonts w:hint="eastAsia" w:ascii="宋体" w:hAnsi="宋体" w:cs="宋体"/>
                <w:b/>
                <w:kern w:val="0"/>
                <w:sz w:val="18"/>
                <w:szCs w:val="18"/>
                <w:lang w:bidi="ar"/>
              </w:rPr>
              <w:t>二季度</w:t>
            </w:r>
          </w:p>
        </w:tc>
      </w:tr>
      <w:tr>
        <w:tblPrEx>
          <w:tblCellMar>
            <w:top w:w="0" w:type="dxa"/>
            <w:left w:w="0" w:type="dxa"/>
            <w:bottom w:w="0" w:type="dxa"/>
            <w:right w:w="0" w:type="dxa"/>
          </w:tblCellMar>
        </w:tblPrEx>
        <w:trPr>
          <w:trHeight w:val="312" w:hRule="atLeast"/>
        </w:trPr>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b/>
                <w:sz w:val="18"/>
                <w:szCs w:val="18"/>
              </w:rPr>
            </w:pPr>
          </w:p>
        </w:tc>
      </w:tr>
      <w:tr>
        <w:tblPrEx>
          <w:tblCellMar>
            <w:top w:w="0" w:type="dxa"/>
            <w:left w:w="0" w:type="dxa"/>
            <w:bottom w:w="0" w:type="dxa"/>
            <w:right w:w="0" w:type="dxa"/>
          </w:tblCellMar>
        </w:tblPrEx>
        <w:tc>
          <w:tcPr>
            <w:tcW w:w="625"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罐头</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罐头</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畜禽水产罐头</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畜禽肉类罐头</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4</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4</w:t>
            </w: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水产动物类罐头</w:t>
            </w: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果蔬罐头</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水果罐头</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20</w:t>
            </w: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蔬菜罐头</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食用菌罐头</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其他罐头</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其他罐头</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7</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7</w:t>
            </w:r>
          </w:p>
        </w:tc>
      </w:tr>
      <w:tr>
        <w:tblPrEx>
          <w:tblCellMar>
            <w:top w:w="0" w:type="dxa"/>
            <w:left w:w="0" w:type="dxa"/>
            <w:bottom w:w="0" w:type="dxa"/>
            <w:right w:w="0" w:type="dxa"/>
          </w:tblCellMar>
        </w:tblPrEx>
        <w:tc>
          <w:tcPr>
            <w:tcW w:w="625"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蔬菜制品</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蔬菜制品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酱腌菜</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酱腌菜</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55</w:t>
            </w: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蔬菜干制品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自然干制品、热风干燥蔬菜、冷冻干燥蔬菜、蔬菜脆片蔬菜粉及制品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35</w:t>
            </w: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食用菌制品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干制食用菌</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腌渍食用菌</w:t>
            </w: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r>
      <w:tr>
        <w:tblPrEx>
          <w:tblCellMar>
            <w:top w:w="0" w:type="dxa"/>
            <w:left w:w="0" w:type="dxa"/>
            <w:bottom w:w="0" w:type="dxa"/>
            <w:right w:w="0" w:type="dxa"/>
          </w:tblCellMar>
        </w:tblPrEx>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糖果制品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糖果制品(含巧克力及制品)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糖果</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夹心糖果、焦香糖果、充气糖果、硬质糖果、抛光糖果、凝胶糖果等</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30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15</w:t>
            </w: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糖果制品(含巧克力及制品)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巧克力及巧克力制品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巧克力、巧克力制品、代可可脂巧克力及代可可脂巧克力制品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5</w:t>
            </w: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果冻</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果冻</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kern w:val="0"/>
                <w:sz w:val="18"/>
                <w:szCs w:val="18"/>
                <w:lang w:bidi="ar"/>
              </w:rPr>
              <w:t>4</w:t>
            </w:r>
          </w:p>
        </w:tc>
      </w:tr>
    </w:tbl>
    <w:p>
      <w:pPr>
        <w:spacing w:line="360" w:lineRule="auto"/>
        <w:ind w:firstLine="361" w:firstLineChars="150"/>
        <w:rPr>
          <w:rFonts w:asciiTheme="minorEastAsia" w:hAnsiTheme="minorEastAsia" w:eastAsiaTheme="minorEastAsia"/>
          <w:b/>
          <w:sz w:val="24"/>
          <w:szCs w:val="24"/>
        </w:rPr>
      </w:pP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标项七： </w:t>
      </w:r>
    </w:p>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抽样： </w:t>
      </w:r>
    </w:p>
    <w:tbl>
      <w:tblPr>
        <w:tblStyle w:val="39"/>
        <w:tblW w:w="4998" w:type="pct"/>
        <w:tblInd w:w="0" w:type="dxa"/>
        <w:tblLayout w:type="autofit"/>
        <w:tblCellMar>
          <w:top w:w="0" w:type="dxa"/>
          <w:left w:w="0" w:type="dxa"/>
          <w:bottom w:w="0" w:type="dxa"/>
          <w:right w:w="0" w:type="dxa"/>
        </w:tblCellMar>
      </w:tblPr>
      <w:tblGrid>
        <w:gridCol w:w="1991"/>
        <w:gridCol w:w="1995"/>
        <w:gridCol w:w="1844"/>
        <w:gridCol w:w="2143"/>
        <w:gridCol w:w="2066"/>
        <w:gridCol w:w="1774"/>
        <w:gridCol w:w="1774"/>
        <w:gridCol w:w="1774"/>
      </w:tblGrid>
      <w:tr>
        <w:tblPrEx>
          <w:tblCellMar>
            <w:top w:w="0" w:type="dxa"/>
            <w:left w:w="0" w:type="dxa"/>
            <w:bottom w:w="0" w:type="dxa"/>
            <w:right w:w="0" w:type="dxa"/>
          </w:tblCellMar>
        </w:tblPrEx>
        <w:trPr>
          <w:trHeight w:val="312" w:hRule="atLeast"/>
        </w:trPr>
        <w:tc>
          <w:tcPr>
            <w:tcW w:w="648"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食品大类   （一级）</w:t>
            </w: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食品亚类（二级）</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食品品种   （三级）</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食品细类</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（四级）</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风险等级</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计划批次数</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一季度</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二季度</w:t>
            </w:r>
          </w:p>
        </w:tc>
      </w:tr>
      <w:tr>
        <w:tblPrEx>
          <w:tblCellMar>
            <w:top w:w="0" w:type="dxa"/>
            <w:left w:w="0" w:type="dxa"/>
            <w:bottom w:w="0" w:type="dxa"/>
            <w:right w:w="0" w:type="dxa"/>
          </w:tblCellMar>
        </w:tblPrEx>
        <w:trPr>
          <w:trHeight w:val="312" w:hRule="atLeast"/>
        </w:trPr>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b/>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b/>
                <w:sz w:val="18"/>
                <w:szCs w:val="18"/>
              </w:rPr>
            </w:pPr>
          </w:p>
        </w:tc>
      </w:tr>
      <w:tr>
        <w:tblPrEx>
          <w:tblCellMar>
            <w:top w:w="0" w:type="dxa"/>
            <w:left w:w="0" w:type="dxa"/>
            <w:bottom w:w="0" w:type="dxa"/>
            <w:right w:w="0" w:type="dxa"/>
          </w:tblCellMar>
        </w:tblPrEx>
        <w:tc>
          <w:tcPr>
            <w:tcW w:w="648"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粮食加工品</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小麦粉</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小麦粉</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通用小麦粉、专用小麦粉</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大米</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大米</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大米</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挂面</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挂面</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普通挂面、花色挂面、手工面</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其他粮食加工品</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谷物加工品</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谷物加工品</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谷物碾磨加工品</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玉米粉、玉米片、玉米碴</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米粉</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其他谷物碾磨加工品</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谷物粉类制成品</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生湿面制品</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25</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25</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发酵面制品</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米粉制品</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其他谷物粉类制成品</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糕点</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糕点</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糕点</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冷加工糕点</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50</w:t>
            </w:r>
          </w:p>
        </w:tc>
      </w:tr>
      <w:tr>
        <w:tblPrEx>
          <w:tblCellMar>
            <w:top w:w="0" w:type="dxa"/>
            <w:left w:w="0" w:type="dxa"/>
            <w:bottom w:w="0" w:type="dxa"/>
            <w:right w:w="0" w:type="dxa"/>
          </w:tblCellMar>
        </w:tblPrEx>
        <w:tc>
          <w:tcPr>
            <w:tcW w:w="64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蛋</w:t>
            </w:r>
            <w:r>
              <w:rPr>
                <w:rFonts w:hint="eastAsia" w:ascii="宋体" w:hAnsi="宋体" w:cs="宋体"/>
                <w:kern w:val="0"/>
                <w:sz w:val="18"/>
                <w:szCs w:val="18"/>
                <w:lang w:bidi="ar"/>
              </w:rPr>
              <w:br w:type="textWrapping"/>
            </w:r>
            <w:r>
              <w:rPr>
                <w:rFonts w:hint="eastAsia" w:ascii="宋体" w:hAnsi="宋体" w:cs="宋体"/>
                <w:kern w:val="0"/>
                <w:sz w:val="18"/>
                <w:szCs w:val="18"/>
                <w:lang w:bidi="ar"/>
              </w:rPr>
              <w:t>制品</w:t>
            </w: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蛋制品</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再制蛋</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再制蛋</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25</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25</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干蛋类</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干蛋类</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冰蛋类</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冰蛋类</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其他类</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其他类</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特殊膳食食品</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婴幼儿谷类辅助食品</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婴幼儿谷类辅助食品</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婴幼儿面条、饼干、磨牙棒</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其他特殊食品</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其他特殊食品</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其他特殊食品</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高</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bl>
    <w:p>
      <w:pPr>
        <w:spacing w:line="360" w:lineRule="auto"/>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检测： </w:t>
      </w:r>
    </w:p>
    <w:tbl>
      <w:tblPr>
        <w:tblStyle w:val="39"/>
        <w:tblW w:w="4997" w:type="pct"/>
        <w:tblInd w:w="0" w:type="dxa"/>
        <w:tblLayout w:type="autofit"/>
        <w:tblCellMar>
          <w:top w:w="0" w:type="dxa"/>
          <w:left w:w="0" w:type="dxa"/>
          <w:bottom w:w="0" w:type="dxa"/>
          <w:right w:w="0" w:type="dxa"/>
        </w:tblCellMar>
      </w:tblPr>
      <w:tblGrid>
        <w:gridCol w:w="1919"/>
        <w:gridCol w:w="1919"/>
        <w:gridCol w:w="1920"/>
        <w:gridCol w:w="1920"/>
        <w:gridCol w:w="1920"/>
        <w:gridCol w:w="1920"/>
        <w:gridCol w:w="1920"/>
        <w:gridCol w:w="1920"/>
      </w:tblGrid>
      <w:tr>
        <w:tblPrEx>
          <w:tblCellMar>
            <w:top w:w="0" w:type="dxa"/>
            <w:left w:w="0" w:type="dxa"/>
            <w:bottom w:w="0" w:type="dxa"/>
            <w:right w:w="0" w:type="dxa"/>
          </w:tblCellMar>
        </w:tblPrEx>
        <w:trPr>
          <w:trHeight w:val="312" w:hRule="atLeast"/>
        </w:trPr>
        <w:tc>
          <w:tcPr>
            <w:tcW w:w="625"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食品大类   （一级）</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食品亚类（二级）</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食品品种   （三级）</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食品细类</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（四级）</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风险等级</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计划批次数</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一季度</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二季度</w:t>
            </w:r>
          </w:p>
        </w:tc>
      </w:tr>
      <w:tr>
        <w:tblPrEx>
          <w:tblCellMar>
            <w:top w:w="0" w:type="dxa"/>
            <w:left w:w="0" w:type="dxa"/>
            <w:bottom w:w="0" w:type="dxa"/>
            <w:right w:w="0" w:type="dxa"/>
          </w:tblCellMar>
        </w:tblPrEx>
        <w:trPr>
          <w:trHeight w:val="312" w:hRule="atLeast"/>
        </w:trPr>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b/>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b/>
                <w:sz w:val="18"/>
                <w:szCs w:val="18"/>
              </w:rPr>
            </w:pPr>
          </w:p>
        </w:tc>
      </w:tr>
      <w:tr>
        <w:tblPrEx>
          <w:tblCellMar>
            <w:top w:w="0" w:type="dxa"/>
            <w:left w:w="0" w:type="dxa"/>
            <w:bottom w:w="0" w:type="dxa"/>
            <w:right w:w="0" w:type="dxa"/>
          </w:tblCellMar>
        </w:tblPrEx>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糕点</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糕点</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糕点</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热加工糕点</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w:t>
            </w: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粽子</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粽子</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粽子</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清明粿</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清明粿</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清明粿</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较高</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w:t>
            </w:r>
          </w:p>
        </w:tc>
      </w:tr>
      <w:tr>
        <w:tblPrEx>
          <w:tblCellMar>
            <w:top w:w="0" w:type="dxa"/>
            <w:left w:w="0" w:type="dxa"/>
            <w:bottom w:w="0" w:type="dxa"/>
            <w:right w:w="0" w:type="dxa"/>
          </w:tblCellMar>
        </w:tblPrEx>
        <w:tc>
          <w:tcPr>
            <w:tcW w:w="625" w:type="pct"/>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豆制品</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豆制品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发酵性豆制品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腐乳、豆豉、纳豆等</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25</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25</w:t>
            </w: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非发酵性豆制品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腐竹、油皮</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豆干、豆腐、豆皮等</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c>
          <w:tcPr>
            <w:tcW w:w="625" w:type="pct"/>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18"/>
                <w:szCs w:val="18"/>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其他豆制品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大豆组织蛋白（挤压膨化豆制品）</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一般</w:t>
            </w: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8"/>
                <w:szCs w:val="18"/>
              </w:rPr>
            </w:pPr>
          </w:p>
        </w:tc>
      </w:tr>
    </w:tbl>
    <w:p>
      <w:pPr>
        <w:spacing w:line="360" w:lineRule="auto"/>
        <w:ind w:firstLine="361" w:firstLineChars="150"/>
        <w:rPr>
          <w:rFonts w:asciiTheme="minorEastAsia" w:hAnsiTheme="minorEastAsia" w:eastAsiaTheme="minorEastAsia"/>
          <w:b/>
          <w:sz w:val="24"/>
          <w:szCs w:val="24"/>
        </w:rPr>
      </w:pPr>
    </w:p>
    <w:p>
      <w:pPr>
        <w:spacing w:line="360" w:lineRule="auto"/>
        <w:ind w:firstLine="360" w:firstLineChars="150"/>
        <w:rPr>
          <w:rFonts w:asciiTheme="minorEastAsia" w:hAnsiTheme="minorEastAsia" w:eastAsiaTheme="minorEastAsia"/>
          <w:bCs/>
          <w:sz w:val="24"/>
          <w:szCs w:val="24"/>
        </w:rPr>
      </w:pPr>
      <w:r>
        <w:rPr>
          <w:rFonts w:hint="eastAsia" w:asciiTheme="minorEastAsia" w:hAnsiTheme="minorEastAsia" w:eastAsiaTheme="minorEastAsia"/>
          <w:bCs/>
          <w:sz w:val="24"/>
          <w:szCs w:val="24"/>
        </w:rPr>
        <w:t>注：</w:t>
      </w:r>
    </w:p>
    <w:p>
      <w:pPr>
        <w:spacing w:line="360" w:lineRule="auto"/>
        <w:ind w:firstLine="360" w:firstLineChars="150"/>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hint="eastAsia" w:asciiTheme="minorEastAsia" w:hAnsiTheme="minorEastAsia" w:eastAsiaTheme="minorEastAsia"/>
          <w:b/>
          <w:bCs/>
          <w:sz w:val="24"/>
          <w:szCs w:val="24"/>
        </w:rPr>
        <w:t>上述清单中的检测计划批次数及检测季度（如有）为参考数量，实际检测批次数以招标人需求为准，最终以单价与实际抽样、检测批次数进行结算。采购人保留在签约时调整部分方案及抽样、检测批次数和服务的权力，投标人应对投标总价中各单项批次抽样、检测服务明细报价，按投标单价不变的前提下进行调整，双方不得拒绝。</w:t>
      </w:r>
    </w:p>
    <w:p>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2、投标人在响应文件中需按照</w:t>
      </w:r>
      <w:r>
        <w:rPr>
          <w:rFonts w:hint="eastAsia" w:asciiTheme="minorEastAsia" w:hAnsiTheme="minorEastAsia" w:eastAsiaTheme="minorEastAsia"/>
          <w:bCs/>
          <w:sz w:val="24"/>
          <w:szCs w:val="24"/>
        </w:rPr>
        <w:t>、检测内容及所依据的检测标准中</w:t>
      </w:r>
      <w:r>
        <w:rPr>
          <w:rFonts w:hint="eastAsia" w:asciiTheme="minorEastAsia" w:hAnsiTheme="minorEastAsia" w:eastAsiaTheme="minorEastAsia"/>
          <w:sz w:val="24"/>
          <w:szCs w:val="24"/>
        </w:rPr>
        <w:t>的产品种类，根据《</w:t>
      </w:r>
      <w:r>
        <w:rPr>
          <w:rFonts w:hint="eastAsia" w:asciiTheme="minorEastAsia" w:hAnsiTheme="minorEastAsia" w:eastAsiaTheme="minorEastAsia"/>
          <w:b/>
          <w:bCs/>
          <w:sz w:val="24"/>
          <w:szCs w:val="24"/>
        </w:rPr>
        <w:t>食品安全监督抽检和风险监测实施细则（2020年版）》</w:t>
      </w:r>
      <w:r>
        <w:rPr>
          <w:rFonts w:hint="eastAsia" w:asciiTheme="minorEastAsia" w:hAnsiTheme="minorEastAsia" w:eastAsiaTheme="minorEastAsia"/>
          <w:sz w:val="24"/>
          <w:szCs w:val="24"/>
        </w:rPr>
        <w:t>的检测项目进行逐项检测能力梳理，参照实施细则中检测项目的表格形式，在每个检测项目后写明所具备检测能力是否与实施细则要求的标准方法一致。</w:t>
      </w:r>
      <w:r>
        <w:rPr>
          <w:rFonts w:hint="eastAsia" w:asciiTheme="minorEastAsia" w:hAnsiTheme="minorEastAsia" w:eastAsiaTheme="minorEastAsia"/>
          <w:b/>
          <w:sz w:val="24"/>
          <w:szCs w:val="24"/>
        </w:rPr>
        <w:t>未逐项写明的，视作该类产品无检测能力；写明有检测能力，但实际并不具备的，一经发现，视作虚假竞标。</w:t>
      </w:r>
      <w:r>
        <w:rPr>
          <w:rFonts w:hint="eastAsia" w:asciiTheme="minorEastAsia" w:hAnsiTheme="minorEastAsia" w:eastAsiaTheme="minorEastAsia"/>
          <w:sz w:val="24"/>
          <w:szCs w:val="24"/>
        </w:rPr>
        <w:t>投标人在印证材料中需要将涉及到的指标用记号进行标注，方便查验。</w:t>
      </w:r>
    </w:p>
    <w:p>
      <w:pPr>
        <w:snapToGrid w:val="0"/>
        <w:spacing w:line="360" w:lineRule="auto"/>
        <w:rPr>
          <w:rFonts w:asciiTheme="minorEastAsia" w:hAnsiTheme="minorEastAsia" w:eastAsiaTheme="minorEastAsia"/>
          <w:sz w:val="24"/>
          <w:szCs w:val="24"/>
        </w:rPr>
      </w:pPr>
    </w:p>
    <w:p>
      <w:pPr>
        <w:adjustRightInd w:val="0"/>
        <w:snapToGrid w:val="0"/>
        <w:spacing w:line="360" w:lineRule="auto"/>
        <w:outlineLvl w:val="0"/>
        <w:rPr>
          <w:rFonts w:asciiTheme="minorEastAsia" w:hAnsiTheme="minorEastAsia" w:eastAsiaTheme="minorEastAsia"/>
          <w:b/>
          <w:sz w:val="28"/>
          <w:szCs w:val="24"/>
        </w:rPr>
        <w:sectPr>
          <w:footerReference r:id="rId10" w:type="first"/>
          <w:headerReference r:id="rId8" w:type="default"/>
          <w:footerReference r:id="rId9" w:type="default"/>
          <w:pgSz w:w="16783" w:h="11850" w:orient="landscape"/>
          <w:pgMar w:top="720" w:right="720" w:bottom="720" w:left="720" w:header="851" w:footer="992" w:gutter="0"/>
          <w:cols w:space="720" w:num="1"/>
          <w:titlePg/>
          <w:docGrid w:linePitch="312" w:charSpace="0"/>
        </w:sectPr>
      </w:pPr>
    </w:p>
    <w:p>
      <w:pPr>
        <w:adjustRightInd w:val="0"/>
        <w:snapToGrid w:val="0"/>
        <w:spacing w:line="360" w:lineRule="auto"/>
        <w:jc w:val="center"/>
        <w:outlineLvl w:val="0"/>
        <w:rPr>
          <w:rFonts w:asciiTheme="minorEastAsia" w:hAnsiTheme="minorEastAsia" w:eastAsiaTheme="minorEastAsia"/>
          <w:b/>
          <w:sz w:val="30"/>
          <w:szCs w:val="30"/>
        </w:rPr>
      </w:pPr>
      <w:bookmarkStart w:id="89" w:name="_Toc19148"/>
      <w:r>
        <w:rPr>
          <w:rFonts w:hint="eastAsia" w:asciiTheme="minorEastAsia" w:hAnsiTheme="minorEastAsia" w:eastAsiaTheme="minorEastAsia"/>
          <w:b/>
          <w:sz w:val="30"/>
          <w:szCs w:val="30"/>
        </w:rPr>
        <w:t>第四部分 采购合同的一般和特殊条款</w:t>
      </w:r>
      <w:bookmarkEnd w:id="89"/>
    </w:p>
    <w:p>
      <w:pPr>
        <w:autoSpaceDE w:val="0"/>
        <w:autoSpaceDN w:val="0"/>
        <w:adjustRightInd w:val="0"/>
        <w:snapToGrid w:val="0"/>
        <w:spacing w:line="360" w:lineRule="auto"/>
        <w:ind w:firstLine="646"/>
        <w:rPr>
          <w:rFonts w:ascii="宋体" w:hAnsi="宋体" w:cs="宋体"/>
          <w:b/>
          <w:bCs/>
          <w:sz w:val="24"/>
        </w:rPr>
      </w:pPr>
      <w:r>
        <w:rPr>
          <w:rFonts w:hint="eastAsia" w:ascii="宋体" w:hAnsi="宋体" w:cs="宋体"/>
          <w:b/>
          <w:bCs/>
          <w:sz w:val="24"/>
          <w:lang w:val="zh-CN"/>
        </w:rPr>
        <w:t>特别提示：以下为</w:t>
      </w:r>
      <w:r>
        <w:rPr>
          <w:rFonts w:hint="eastAsia" w:ascii="宋体" w:hAnsi="宋体" w:cs="宋体"/>
          <w:b/>
          <w:bCs/>
          <w:sz w:val="24"/>
        </w:rPr>
        <w:t>本项目</w:t>
      </w:r>
      <w:r>
        <w:rPr>
          <w:rFonts w:hint="eastAsia" w:ascii="宋体" w:hAnsi="宋体" w:cs="宋体"/>
          <w:b/>
          <w:bCs/>
          <w:sz w:val="24"/>
          <w:lang w:val="zh-CN"/>
        </w:rPr>
        <w:t>的合同范本，供参考。合同条款的具体内容应严格按照招标文件、投标文件、招标结果及中标的承诺来拟订。</w:t>
      </w:r>
    </w:p>
    <w:p>
      <w:pPr>
        <w:pStyle w:val="2"/>
        <w:ind w:firstLine="0" w:firstLineChars="0"/>
        <w:jc w:val="center"/>
        <w:rPr>
          <w:b/>
          <w:bCs/>
          <w:sz w:val="32"/>
          <w:szCs w:val="22"/>
        </w:rPr>
      </w:pPr>
      <w:r>
        <w:rPr>
          <w:rFonts w:hint="eastAsia"/>
          <w:b/>
          <w:bCs/>
          <w:sz w:val="32"/>
          <w:szCs w:val="22"/>
        </w:rPr>
        <w:t>杭州市市场监督管理局XXX委托合同</w:t>
      </w:r>
    </w:p>
    <w:p>
      <w:pPr>
        <w:pStyle w:val="2"/>
        <w:ind w:firstLine="0" w:firstLineChars="0"/>
        <w:jc w:val="center"/>
        <w:rPr>
          <w:b/>
          <w:bCs/>
          <w:sz w:val="32"/>
          <w:szCs w:val="22"/>
        </w:rPr>
      </w:pPr>
    </w:p>
    <w:p>
      <w:pPr>
        <w:pStyle w:val="21"/>
        <w:snapToGrid w:val="0"/>
        <w:spacing w:line="360" w:lineRule="auto"/>
        <w:rPr>
          <w:rFonts w:hAnsi="宋体" w:cs="宋体"/>
          <w:b/>
          <w:kern w:val="0"/>
          <w:sz w:val="24"/>
          <w:szCs w:val="24"/>
        </w:rPr>
      </w:pPr>
      <w:r>
        <w:rPr>
          <w:rFonts w:hint="eastAsia" w:hAnsi="宋体" w:cs="宋体"/>
          <w:b/>
          <w:kern w:val="0"/>
          <w:sz w:val="24"/>
          <w:szCs w:val="24"/>
        </w:rPr>
        <w:t>甲  方：</w:t>
      </w:r>
      <w:r>
        <w:rPr>
          <w:rFonts w:hint="eastAsia" w:hAnsi="宋体" w:cs="宋体"/>
          <w:b/>
          <w:sz w:val="24"/>
          <w:szCs w:val="24"/>
        </w:rPr>
        <w:t>杭州市市场监督管理局</w:t>
      </w:r>
    </w:p>
    <w:p>
      <w:pPr>
        <w:pStyle w:val="21"/>
        <w:snapToGrid w:val="0"/>
        <w:spacing w:line="360" w:lineRule="auto"/>
        <w:rPr>
          <w:rFonts w:hAnsi="宋体" w:cs="宋体"/>
          <w:b/>
          <w:kern w:val="0"/>
          <w:sz w:val="24"/>
          <w:szCs w:val="24"/>
        </w:rPr>
      </w:pPr>
      <w:r>
        <w:rPr>
          <w:rFonts w:hint="eastAsia" w:hAnsi="宋体" w:cs="宋体"/>
          <w:b/>
          <w:kern w:val="0"/>
          <w:sz w:val="24"/>
          <w:szCs w:val="24"/>
        </w:rPr>
        <w:t xml:space="preserve">乙  方：   </w:t>
      </w:r>
    </w:p>
    <w:p>
      <w:pPr>
        <w:snapToGrid w:val="0"/>
        <w:spacing w:line="360" w:lineRule="auto"/>
        <w:ind w:firstLine="480" w:firstLineChars="200"/>
        <w:rPr>
          <w:rFonts w:ascii="宋体" w:hAnsi="宋体" w:cs="宋体"/>
          <w:sz w:val="24"/>
          <w:szCs w:val="24"/>
        </w:rPr>
      </w:pPr>
      <w:r>
        <w:rPr>
          <w:rFonts w:hint="eastAsia" w:ascii="宋体" w:hAnsi="宋体" w:cs="宋体"/>
          <w:kern w:val="0"/>
          <w:sz w:val="24"/>
          <w:szCs w:val="24"/>
        </w:rPr>
        <w:t>根据《中华人民共和国政府采购法》、《中华人民共和国民法典》等有关法律法规的规定，</w:t>
      </w:r>
      <w:r>
        <w:rPr>
          <w:rFonts w:hint="eastAsia" w:ascii="宋体" w:hAnsi="宋体" w:cs="宋体"/>
          <w:b/>
          <w:sz w:val="24"/>
          <w:szCs w:val="24"/>
          <w:u w:val="single"/>
        </w:rPr>
        <w:t>杭州市市场监督管理局</w:t>
      </w:r>
      <w:r>
        <w:rPr>
          <w:rFonts w:hint="eastAsia" w:ascii="宋体" w:hAnsi="宋体" w:cs="宋体"/>
          <w:sz w:val="24"/>
          <w:szCs w:val="24"/>
        </w:rPr>
        <w:t>(甲方)经过</w:t>
      </w:r>
      <w:r>
        <w:rPr>
          <w:rFonts w:hint="eastAsia" w:ascii="宋体" w:hAnsi="宋体" w:cs="宋体"/>
          <w:sz w:val="24"/>
          <w:szCs w:val="24"/>
          <w:u w:val="single"/>
        </w:rPr>
        <w:t xml:space="preserve">  </w:t>
      </w:r>
      <w:r>
        <w:rPr>
          <w:rFonts w:hint="eastAsia" w:ascii="宋体" w:hAnsi="宋体" w:cs="宋体"/>
          <w:b/>
          <w:bCs/>
          <w:sz w:val="24"/>
          <w:szCs w:val="24"/>
          <w:u w:val="single"/>
        </w:rPr>
        <w:t>公开招标</w:t>
      </w:r>
      <w:r>
        <w:rPr>
          <w:rFonts w:hint="eastAsia" w:ascii="宋体" w:hAnsi="宋体" w:cs="宋体"/>
          <w:sz w:val="24"/>
          <w:szCs w:val="24"/>
          <w:u w:val="single"/>
        </w:rPr>
        <w:t xml:space="preserve">  </w:t>
      </w:r>
      <w:r>
        <w:rPr>
          <w:rFonts w:hint="eastAsia" w:ascii="宋体" w:hAnsi="宋体" w:cs="宋体"/>
          <w:sz w:val="24"/>
          <w:szCs w:val="24"/>
        </w:rPr>
        <w:t>，确定</w:t>
      </w:r>
      <w:r>
        <w:rPr>
          <w:rFonts w:hint="eastAsia" w:ascii="宋体" w:hAnsi="宋体" w:cs="宋体"/>
          <w:sz w:val="24"/>
          <w:szCs w:val="24"/>
          <w:u w:val="single"/>
        </w:rPr>
        <w:t xml:space="preserve"> </w:t>
      </w:r>
      <w:r>
        <w:rPr>
          <w:rFonts w:hint="eastAsia" w:ascii="宋体" w:hAnsi="宋体" w:cs="宋体"/>
          <w:b/>
          <w:kern w:val="0"/>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(乙方)为服务单位，双方经协商达成以下条款：</w:t>
      </w:r>
    </w:p>
    <w:p>
      <w:pPr>
        <w:snapToGrid w:val="0"/>
        <w:spacing w:line="360" w:lineRule="auto"/>
        <w:ind w:firstLine="482" w:firstLineChars="200"/>
        <w:rPr>
          <w:rFonts w:ascii="宋体" w:hAnsi="宋体" w:cs="宋体"/>
          <w:sz w:val="24"/>
          <w:szCs w:val="24"/>
        </w:rPr>
      </w:pPr>
      <w:r>
        <w:rPr>
          <w:rFonts w:hint="eastAsia" w:ascii="宋体" w:hAnsi="宋体" w:cs="宋体"/>
          <w:b/>
          <w:sz w:val="24"/>
          <w:szCs w:val="24"/>
        </w:rPr>
        <w:t>第一条：</w:t>
      </w:r>
      <w:r>
        <w:rPr>
          <w:rFonts w:hint="eastAsia" w:ascii="宋体" w:hAnsi="宋体" w:cs="宋体"/>
          <w:sz w:val="24"/>
          <w:szCs w:val="24"/>
        </w:rPr>
        <w:t>甲方委托乙方进行委托业务的内容如下：</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内容：招标文件中“</w:t>
      </w:r>
      <w:r>
        <w:rPr>
          <w:rFonts w:hint="eastAsia" w:ascii="宋体" w:hAnsi="宋体" w:cs="宋体"/>
          <w:b/>
          <w:sz w:val="24"/>
          <w:szCs w:val="24"/>
        </w:rPr>
        <w:t>第三部分 项目技术规范和服务要求”中内容。</w:t>
      </w:r>
    </w:p>
    <w:p>
      <w:pPr>
        <w:snapToGrid w:val="0"/>
        <w:spacing w:line="360" w:lineRule="auto"/>
        <w:ind w:firstLine="482" w:firstLineChars="200"/>
        <w:rPr>
          <w:rFonts w:ascii="宋体" w:hAnsi="宋体" w:cs="宋体"/>
          <w:sz w:val="24"/>
          <w:szCs w:val="24"/>
        </w:rPr>
      </w:pPr>
      <w:r>
        <w:rPr>
          <w:rFonts w:hint="eastAsia" w:ascii="宋体" w:hAnsi="宋体" w:cs="宋体"/>
          <w:b/>
          <w:sz w:val="24"/>
          <w:szCs w:val="24"/>
        </w:rPr>
        <w:t>第二条：</w:t>
      </w:r>
      <w:r>
        <w:rPr>
          <w:rFonts w:hint="eastAsia" w:ascii="宋体" w:hAnsi="宋体" w:cs="宋体"/>
          <w:sz w:val="24"/>
          <w:szCs w:val="24"/>
        </w:rPr>
        <w:t>乙方应按下列要求完成委托业务工作：</w:t>
      </w:r>
    </w:p>
    <w:p>
      <w:pPr>
        <w:snapToGrid w:val="0"/>
        <w:spacing w:line="360" w:lineRule="auto"/>
        <w:rPr>
          <w:rFonts w:ascii="宋体" w:hAnsi="宋体" w:cs="宋体"/>
          <w:sz w:val="24"/>
          <w:szCs w:val="24"/>
          <w:u w:val="single"/>
        </w:rPr>
      </w:pPr>
      <w:r>
        <w:rPr>
          <w:rFonts w:hint="eastAsia" w:ascii="宋体" w:hAnsi="宋体" w:cs="宋体"/>
          <w:sz w:val="24"/>
          <w:szCs w:val="24"/>
        </w:rPr>
        <w:t xml:space="preserve">     1．工作期限：</w:t>
      </w:r>
      <w:r>
        <w:rPr>
          <w:rFonts w:hint="eastAsia" w:ascii="宋体" w:hAnsi="宋体" w:cs="宋体"/>
          <w:sz w:val="24"/>
          <w:szCs w:val="24"/>
          <w:u w:val="single"/>
        </w:rPr>
        <w:t xml:space="preserve">合同签订后 </w:t>
      </w:r>
      <w:r>
        <w:rPr>
          <w:rFonts w:hint="eastAsia" w:ascii="宋体" w:hAnsi="宋体" w:cs="宋体"/>
          <w:b/>
          <w:sz w:val="24"/>
          <w:szCs w:val="24"/>
          <w:u w:val="single"/>
        </w:rPr>
        <w:t xml:space="preserve">   </w:t>
      </w:r>
      <w:r>
        <w:rPr>
          <w:rFonts w:hint="eastAsia" w:ascii="宋体" w:hAnsi="宋体" w:cs="宋体"/>
          <w:sz w:val="24"/>
          <w:szCs w:val="24"/>
          <w:u w:val="single"/>
        </w:rPr>
        <w:t xml:space="preserve">内完成。 </w:t>
      </w:r>
    </w:p>
    <w:p>
      <w:pPr>
        <w:snapToGrid w:val="0"/>
        <w:spacing w:line="360" w:lineRule="auto"/>
        <w:rPr>
          <w:rFonts w:ascii="宋体" w:hAnsi="宋体" w:cs="宋体"/>
          <w:sz w:val="24"/>
          <w:szCs w:val="24"/>
          <w:u w:val="single"/>
        </w:rPr>
      </w:pPr>
      <w:r>
        <w:rPr>
          <w:rFonts w:hint="eastAsia" w:ascii="宋体" w:hAnsi="宋体" w:cs="宋体"/>
          <w:sz w:val="24"/>
          <w:szCs w:val="24"/>
        </w:rPr>
        <w:t xml:space="preserve">     2．工作进度：按照投标文件提供承诺按时保质保量完成。</w:t>
      </w:r>
    </w:p>
    <w:p>
      <w:pPr>
        <w:snapToGrid w:val="0"/>
        <w:spacing w:line="360" w:lineRule="auto"/>
        <w:ind w:left="1"/>
        <w:rPr>
          <w:rFonts w:ascii="宋体" w:hAnsi="宋体" w:cs="宋体"/>
          <w:sz w:val="24"/>
          <w:szCs w:val="24"/>
        </w:rPr>
      </w:pPr>
      <w:r>
        <w:rPr>
          <w:rFonts w:hint="eastAsia" w:ascii="宋体" w:hAnsi="宋体" w:cs="宋体"/>
          <w:sz w:val="24"/>
          <w:szCs w:val="24"/>
        </w:rPr>
        <w:t xml:space="preserve">     3．质量要求：样品由检测机构统一采集，按照规定的抽样场所抽取样品。抽样方式：遵循随机原则购买样品，获取的样品应合理覆盖区域、品种，具有较好的代表性，按要求填写抽样单，抽样单一般包括被采样单位、采样地址、采样方法、采样时间、采样目的以及样品名称、规格、数量、包装状况或存储条件、生产日期或批号、生产或进口代理单位、采样地点、当事人及执法人员签名等要素。</w:t>
      </w:r>
    </w:p>
    <w:p>
      <w:pPr>
        <w:snapToGrid w:val="0"/>
        <w:spacing w:line="360" w:lineRule="auto"/>
        <w:ind w:firstLine="482" w:firstLineChars="200"/>
        <w:rPr>
          <w:rFonts w:ascii="宋体" w:hAnsi="宋体" w:cs="宋体"/>
          <w:sz w:val="24"/>
          <w:szCs w:val="24"/>
        </w:rPr>
      </w:pPr>
      <w:r>
        <w:rPr>
          <w:rFonts w:hint="eastAsia" w:ascii="宋体" w:hAnsi="宋体" w:cs="宋体"/>
          <w:b/>
          <w:sz w:val="24"/>
          <w:szCs w:val="24"/>
        </w:rPr>
        <w:t>第三条：</w:t>
      </w:r>
      <w:r>
        <w:rPr>
          <w:rFonts w:hint="eastAsia" w:ascii="宋体" w:hAnsi="宋体" w:cs="宋体"/>
          <w:sz w:val="24"/>
          <w:szCs w:val="24"/>
        </w:rPr>
        <w:t>甲方向乙方支付委托业务费用及支付方式为：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1、计划委托业务费：     元（大写：      圆整）</w:t>
      </w:r>
    </w:p>
    <w:tbl>
      <w:tblPr>
        <w:tblStyle w:val="39"/>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3"/>
        <w:gridCol w:w="2154"/>
        <w:gridCol w:w="938"/>
        <w:gridCol w:w="3218"/>
        <w:gridCol w:w="1004"/>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93" w:type="dxa"/>
            <w:vAlign w:val="center"/>
          </w:tcPr>
          <w:p>
            <w:pPr>
              <w:snapToGrid w:val="0"/>
              <w:jc w:val="center"/>
              <w:rPr>
                <w:rFonts w:ascii="宋体" w:hAnsi="宋体" w:cs="宋体"/>
                <w:b/>
                <w:bCs/>
                <w:sz w:val="18"/>
                <w:szCs w:val="18"/>
              </w:rPr>
            </w:pPr>
            <w:r>
              <w:rPr>
                <w:rFonts w:hint="eastAsia" w:ascii="宋体" w:hAnsi="宋体" w:cs="宋体"/>
                <w:b/>
                <w:bCs/>
                <w:sz w:val="18"/>
                <w:szCs w:val="18"/>
              </w:rPr>
              <w:t>序号</w:t>
            </w:r>
          </w:p>
        </w:tc>
        <w:tc>
          <w:tcPr>
            <w:tcW w:w="2154" w:type="dxa"/>
            <w:vAlign w:val="center"/>
          </w:tcPr>
          <w:p>
            <w:pPr>
              <w:snapToGrid w:val="0"/>
              <w:jc w:val="center"/>
              <w:rPr>
                <w:rFonts w:ascii="宋体" w:hAnsi="宋体" w:cs="宋体"/>
                <w:b/>
                <w:bCs/>
                <w:sz w:val="18"/>
                <w:szCs w:val="18"/>
              </w:rPr>
            </w:pPr>
            <w:r>
              <w:rPr>
                <w:rFonts w:hint="eastAsia" w:ascii="宋体" w:hAnsi="宋体" w:cs="宋体"/>
                <w:b/>
                <w:bCs/>
                <w:sz w:val="18"/>
                <w:szCs w:val="18"/>
              </w:rPr>
              <w:t>食品品种</w:t>
            </w:r>
          </w:p>
        </w:tc>
        <w:tc>
          <w:tcPr>
            <w:tcW w:w="938" w:type="dxa"/>
            <w:vAlign w:val="center"/>
          </w:tcPr>
          <w:p>
            <w:pPr>
              <w:snapToGrid w:val="0"/>
              <w:jc w:val="center"/>
              <w:rPr>
                <w:rFonts w:ascii="宋体" w:hAnsi="宋体" w:cs="宋体"/>
                <w:b/>
                <w:bCs/>
                <w:sz w:val="18"/>
                <w:szCs w:val="18"/>
              </w:rPr>
            </w:pPr>
            <w:r>
              <w:rPr>
                <w:rFonts w:hint="eastAsia" w:ascii="宋体" w:hAnsi="宋体" w:cs="宋体"/>
                <w:b/>
                <w:bCs/>
                <w:sz w:val="18"/>
                <w:szCs w:val="18"/>
              </w:rPr>
              <w:t>任务类型</w:t>
            </w:r>
          </w:p>
        </w:tc>
        <w:tc>
          <w:tcPr>
            <w:tcW w:w="3218" w:type="dxa"/>
            <w:vAlign w:val="center"/>
          </w:tcPr>
          <w:p>
            <w:pPr>
              <w:snapToGrid w:val="0"/>
              <w:jc w:val="center"/>
              <w:rPr>
                <w:rFonts w:ascii="宋体" w:hAnsi="宋体" w:cs="宋体"/>
                <w:b/>
                <w:bCs/>
                <w:sz w:val="18"/>
                <w:szCs w:val="18"/>
              </w:rPr>
            </w:pPr>
            <w:r>
              <w:rPr>
                <w:rFonts w:hint="eastAsia" w:ascii="宋体" w:hAnsi="宋体" w:cs="宋体"/>
                <w:b/>
                <w:bCs/>
                <w:sz w:val="18"/>
                <w:szCs w:val="18"/>
              </w:rPr>
              <w:t>监督抽检批次数</w:t>
            </w:r>
          </w:p>
        </w:tc>
        <w:tc>
          <w:tcPr>
            <w:tcW w:w="1004" w:type="dxa"/>
            <w:vAlign w:val="center"/>
          </w:tcPr>
          <w:p>
            <w:pPr>
              <w:snapToGrid w:val="0"/>
              <w:jc w:val="center"/>
              <w:rPr>
                <w:rFonts w:ascii="宋体" w:hAnsi="宋体" w:cs="宋体"/>
                <w:b/>
                <w:bCs/>
                <w:sz w:val="18"/>
                <w:szCs w:val="18"/>
              </w:rPr>
            </w:pPr>
            <w:r>
              <w:rPr>
                <w:rFonts w:hint="eastAsia" w:ascii="宋体" w:hAnsi="宋体" w:cs="宋体"/>
                <w:b/>
                <w:bCs/>
                <w:sz w:val="18"/>
                <w:szCs w:val="18"/>
              </w:rPr>
              <w:t>单批次费用（元）</w:t>
            </w:r>
          </w:p>
        </w:tc>
        <w:tc>
          <w:tcPr>
            <w:tcW w:w="1673" w:type="dxa"/>
            <w:vAlign w:val="center"/>
          </w:tcPr>
          <w:p>
            <w:pPr>
              <w:snapToGrid w:val="0"/>
              <w:jc w:val="center"/>
              <w:rPr>
                <w:rFonts w:ascii="宋体" w:hAnsi="宋体" w:cs="宋体"/>
                <w:b/>
                <w:bCs/>
                <w:sz w:val="18"/>
                <w:szCs w:val="18"/>
              </w:rPr>
            </w:pPr>
            <w:r>
              <w:rPr>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1</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抽样</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restart"/>
            <w:vAlign w:val="center"/>
          </w:tcPr>
          <w:p>
            <w:pPr>
              <w:snapToGrid w:val="0"/>
              <w:jc w:val="left"/>
              <w:rPr>
                <w:rFonts w:ascii="宋体" w:hAnsi="宋体" w:cs="宋体"/>
                <w:sz w:val="18"/>
                <w:szCs w:val="18"/>
              </w:rPr>
            </w:pPr>
            <w:r>
              <w:rPr>
                <w:rFonts w:hint="eastAsia" w:ascii="宋体" w:hAnsi="宋体" w:cs="宋体"/>
                <w:sz w:val="18"/>
                <w:szCs w:val="18"/>
              </w:rPr>
              <w:t>1、单批次费用含检验费、购置费、运输费、差旅费、资料费、邮电通信费等实施项目所需的一切费用。</w:t>
            </w:r>
          </w:p>
          <w:p>
            <w:pPr>
              <w:snapToGrid w:val="0"/>
              <w:jc w:val="left"/>
              <w:rPr>
                <w:rFonts w:ascii="宋体" w:hAnsi="宋体" w:cs="宋体"/>
                <w:sz w:val="18"/>
                <w:szCs w:val="18"/>
              </w:rPr>
            </w:pPr>
            <w:r>
              <w:rPr>
                <w:rFonts w:hint="eastAsia" w:ascii="宋体" w:hAnsi="宋体" w:cs="宋体"/>
                <w:sz w:val="18"/>
                <w:szCs w:val="18"/>
              </w:rPr>
              <w:t>2、最终根据乙方实际检测批次数量以单批次费用结算，结算总价不高于人民币   元整(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2</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抽样</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3</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抽样</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4</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抽样</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5</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抽样</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抽样</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1" w:hRule="atLeas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1</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检测</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2</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检测</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3</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检测</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4</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检测</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5</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检测</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jc w:val="center"/>
              <w:rPr>
                <w:rFonts w:ascii="宋体" w:hAnsi="宋体" w:cs="宋体"/>
                <w:sz w:val="18"/>
                <w:szCs w:val="18"/>
              </w:rPr>
            </w:pPr>
            <w:r>
              <w:rPr>
                <w:rFonts w:hint="eastAsia" w:ascii="宋体" w:hAnsi="宋体" w:cs="宋体"/>
                <w:sz w:val="18"/>
                <w:szCs w:val="18"/>
              </w:rPr>
              <w:t>…</w:t>
            </w:r>
          </w:p>
        </w:tc>
        <w:tc>
          <w:tcPr>
            <w:tcW w:w="2154" w:type="dxa"/>
            <w:vAlign w:val="center"/>
          </w:tcPr>
          <w:p>
            <w:pPr>
              <w:widowControl/>
              <w:jc w:val="left"/>
              <w:textAlignment w:val="center"/>
              <w:rPr>
                <w:rFonts w:ascii="宋体" w:hAnsi="宋体" w:cs="宋体"/>
                <w:sz w:val="18"/>
                <w:szCs w:val="18"/>
              </w:rPr>
            </w:pPr>
          </w:p>
        </w:tc>
        <w:tc>
          <w:tcPr>
            <w:tcW w:w="938" w:type="dxa"/>
            <w:vAlign w:val="center"/>
          </w:tcPr>
          <w:p>
            <w:pPr>
              <w:widowControl/>
              <w:jc w:val="center"/>
              <w:textAlignment w:val="center"/>
              <w:rPr>
                <w:rFonts w:ascii="宋体" w:hAnsi="宋体" w:cs="宋体"/>
                <w:sz w:val="18"/>
                <w:szCs w:val="18"/>
              </w:rPr>
            </w:pPr>
            <w:r>
              <w:rPr>
                <w:rFonts w:hint="eastAsia" w:ascii="宋体" w:hAnsi="宋体" w:cs="宋体"/>
                <w:sz w:val="18"/>
                <w:szCs w:val="18"/>
              </w:rPr>
              <w:t>检测</w:t>
            </w:r>
          </w:p>
        </w:tc>
        <w:tc>
          <w:tcPr>
            <w:tcW w:w="3218" w:type="dxa"/>
            <w:vAlign w:val="center"/>
          </w:tcPr>
          <w:p>
            <w:pPr>
              <w:snapToGrid w:val="0"/>
              <w:jc w:val="center"/>
              <w:rPr>
                <w:rFonts w:ascii="宋体" w:hAnsi="宋体" w:cs="宋体"/>
                <w:sz w:val="18"/>
                <w:szCs w:val="18"/>
              </w:rPr>
            </w:pPr>
            <w:r>
              <w:rPr>
                <w:rFonts w:hint="eastAsia" w:ascii="宋体" w:hAnsi="宋体" w:cs="宋体"/>
                <w:sz w:val="18"/>
                <w:szCs w:val="18"/>
              </w:rPr>
              <w:t>计划 批次，最终以实际委托数量为准</w:t>
            </w:r>
          </w:p>
        </w:tc>
        <w:tc>
          <w:tcPr>
            <w:tcW w:w="1004" w:type="dxa"/>
            <w:vAlign w:val="bottom"/>
          </w:tcPr>
          <w:p>
            <w:pPr>
              <w:snapToGrid w:val="0"/>
              <w:jc w:val="center"/>
              <w:rPr>
                <w:rFonts w:ascii="宋体" w:hAnsi="宋体" w:cs="宋体"/>
                <w:sz w:val="18"/>
                <w:szCs w:val="18"/>
              </w:rPr>
            </w:pPr>
          </w:p>
        </w:tc>
        <w:tc>
          <w:tcPr>
            <w:tcW w:w="1673" w:type="dxa"/>
            <w:vMerge w:val="continue"/>
            <w:vAlign w:val="center"/>
          </w:tcPr>
          <w:p>
            <w:pPr>
              <w:snapToGrid w:val="0"/>
              <w:jc w:val="center"/>
              <w:rPr>
                <w:rFonts w:ascii="宋体" w:hAnsi="宋体" w:cs="宋体"/>
                <w:sz w:val="18"/>
                <w:szCs w:val="18"/>
              </w:rPr>
            </w:pPr>
          </w:p>
        </w:tc>
      </w:tr>
    </w:tbl>
    <w:p>
      <w:pPr>
        <w:snapToGrid w:val="0"/>
        <w:spacing w:line="360" w:lineRule="auto"/>
        <w:ind w:firstLine="480" w:firstLineChars="200"/>
        <w:rPr>
          <w:rFonts w:ascii="宋体" w:hAnsi="宋体" w:cs="宋体"/>
          <w:sz w:val="24"/>
          <w:szCs w:val="24"/>
        </w:rPr>
      </w:pPr>
      <w:r>
        <w:rPr>
          <w:rFonts w:hint="eastAsia" w:ascii="宋体" w:hAnsi="宋体" w:cs="宋体"/>
          <w:sz w:val="24"/>
          <w:szCs w:val="24"/>
        </w:rPr>
        <w:t>2、委托业务费由甲方</w:t>
      </w:r>
      <w:r>
        <w:rPr>
          <w:rFonts w:hint="eastAsia" w:ascii="宋体" w:hAnsi="宋体" w:cs="宋体"/>
          <w:sz w:val="24"/>
          <w:szCs w:val="24"/>
          <w:u w:val="single"/>
        </w:rPr>
        <w:t>分期</w:t>
      </w:r>
      <w:r>
        <w:rPr>
          <w:rFonts w:hint="eastAsia" w:ascii="宋体" w:hAnsi="宋体" w:cs="宋体"/>
          <w:sz w:val="24"/>
          <w:szCs w:val="24"/>
        </w:rPr>
        <w:t>支付乙方</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3、其他：</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具体支付方式和时间如下：</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（1）合同签订后15日内由</w:t>
      </w:r>
      <w:r>
        <w:rPr>
          <w:rFonts w:hint="eastAsia" w:ascii="宋体" w:hAnsi="宋体"/>
          <w:sz w:val="24"/>
        </w:rPr>
        <w:t>甲方</w:t>
      </w:r>
      <w:r>
        <w:rPr>
          <w:rFonts w:hint="eastAsia" w:ascii="宋体" w:hAnsi="宋体" w:cs="宋体"/>
          <w:sz w:val="24"/>
        </w:rPr>
        <w:t>支付合同对应标项预算金额的50%作为预付款。</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宋体" w:hAnsi="宋体" w:cs="宋体"/>
          <w:sz w:val="24"/>
        </w:rPr>
        <w:t>（2）合同履行结束验收合格，甲方收到乙方出具符合要求的正规发票与相关验收材料后十个工作日内一次性付清合同的剩余款项。</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乙方账户名称、开户银行和账号为：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账户名称：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开户银行： </w:t>
      </w:r>
    </w:p>
    <w:p>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 xml:space="preserve">帐    号： </w:t>
      </w:r>
    </w:p>
    <w:p>
      <w:pPr>
        <w:spacing w:line="360" w:lineRule="auto"/>
        <w:ind w:firstLine="482" w:firstLineChars="200"/>
        <w:rPr>
          <w:rFonts w:ascii="宋体" w:hAnsi="宋体" w:cs="宋体"/>
          <w:sz w:val="24"/>
          <w:szCs w:val="24"/>
        </w:rPr>
      </w:pPr>
      <w:r>
        <w:rPr>
          <w:rFonts w:hint="eastAsia" w:ascii="宋体" w:hAnsi="宋体" w:cs="宋体"/>
          <w:b/>
          <w:sz w:val="24"/>
          <w:szCs w:val="24"/>
        </w:rPr>
        <w:t>第四条：</w:t>
      </w:r>
      <w:r>
        <w:rPr>
          <w:rFonts w:hint="eastAsia" w:ascii="宋体" w:hAnsi="宋体" w:cs="宋体"/>
          <w:sz w:val="24"/>
          <w:szCs w:val="24"/>
        </w:rPr>
        <w:t>乙方必须在甲方规定的期限内完成委托业务，并保证工作质量符合甲方的质量要求。</w:t>
      </w:r>
    </w:p>
    <w:p>
      <w:pPr>
        <w:spacing w:line="360" w:lineRule="auto"/>
        <w:ind w:firstLine="480" w:firstLineChars="200"/>
        <w:rPr>
          <w:rFonts w:ascii="宋体" w:hAnsi="宋体" w:cs="宋体"/>
          <w:sz w:val="24"/>
          <w:szCs w:val="24"/>
        </w:rPr>
      </w:pPr>
      <w:r>
        <w:rPr>
          <w:rFonts w:hint="eastAsia" w:ascii="宋体" w:hAnsi="宋体" w:cs="宋体"/>
          <w:sz w:val="24"/>
          <w:szCs w:val="24"/>
        </w:rPr>
        <w:t>对抽样检测结果批次数与原计划有入出的，或乙方未在规定期限内完成任务、尚未超过10个工作日（含本数）的，甲方有权要求乙方按业务费用总额的</w:t>
      </w:r>
      <w:r>
        <w:rPr>
          <w:rFonts w:hint="eastAsia" w:ascii="宋体" w:hAnsi="宋体" w:cs="宋体"/>
          <w:sz w:val="24"/>
          <w:szCs w:val="24"/>
          <w:u w:val="single"/>
        </w:rPr>
        <w:t>5 %</w:t>
      </w:r>
      <w:r>
        <w:rPr>
          <w:rFonts w:hint="eastAsia" w:ascii="宋体" w:hAnsi="宋体" w:cs="宋体"/>
          <w:sz w:val="24"/>
          <w:szCs w:val="24"/>
        </w:rPr>
        <w:t xml:space="preserve"> 支付违约金。乙方未在规定期限内完成任务超过10个工作日以上的，甲方有权解除合同，并要求乙方按业务费用总额的</w:t>
      </w:r>
      <w:r>
        <w:rPr>
          <w:rFonts w:hint="eastAsia" w:ascii="宋体" w:hAnsi="宋体" w:cs="宋体"/>
          <w:sz w:val="24"/>
          <w:szCs w:val="24"/>
          <w:u w:val="single"/>
        </w:rPr>
        <w:t>20 %</w:t>
      </w:r>
      <w:r>
        <w:rPr>
          <w:rFonts w:hint="eastAsia" w:ascii="宋体" w:hAnsi="宋体" w:cs="宋体"/>
          <w:sz w:val="24"/>
          <w:szCs w:val="24"/>
        </w:rPr>
        <w:t xml:space="preserve"> 支付违约金。</w:t>
      </w:r>
    </w:p>
    <w:p>
      <w:pPr>
        <w:spacing w:line="360" w:lineRule="auto"/>
        <w:ind w:firstLine="480" w:firstLineChars="200"/>
        <w:rPr>
          <w:rFonts w:ascii="宋体" w:hAnsi="宋体" w:cs="宋体"/>
          <w:sz w:val="24"/>
          <w:szCs w:val="24"/>
        </w:rPr>
      </w:pPr>
      <w:r>
        <w:rPr>
          <w:rFonts w:hint="eastAsia" w:ascii="宋体" w:hAnsi="宋体" w:cs="宋体"/>
          <w:sz w:val="24"/>
          <w:szCs w:val="24"/>
        </w:rPr>
        <w:t>对发生工作质量问题的，视情况严重程度，甲方有权要求乙方按业务费用总额的</w:t>
      </w:r>
      <w:r>
        <w:rPr>
          <w:rFonts w:hint="eastAsia" w:ascii="宋体" w:hAnsi="宋体" w:cs="宋体"/>
          <w:sz w:val="24"/>
          <w:szCs w:val="24"/>
          <w:u w:val="single"/>
        </w:rPr>
        <w:t>15 %</w:t>
      </w:r>
      <w:r>
        <w:rPr>
          <w:rFonts w:hint="eastAsia" w:ascii="宋体" w:hAnsi="宋体" w:cs="宋体"/>
          <w:sz w:val="24"/>
          <w:szCs w:val="24"/>
        </w:rPr>
        <w:t xml:space="preserve"> 支付违约金。 经整改仍不能达到质量要求的，甲方有权解除合同，并要求乙方按业务费用总额的</w:t>
      </w:r>
      <w:r>
        <w:rPr>
          <w:rFonts w:hint="eastAsia" w:ascii="宋体" w:hAnsi="宋体" w:cs="宋体"/>
          <w:sz w:val="24"/>
          <w:szCs w:val="24"/>
          <w:u w:val="single"/>
        </w:rPr>
        <w:t>20 %</w:t>
      </w:r>
      <w:r>
        <w:rPr>
          <w:rFonts w:hint="eastAsia" w:ascii="宋体" w:hAnsi="宋体" w:cs="宋体"/>
          <w:sz w:val="24"/>
          <w:szCs w:val="24"/>
        </w:rPr>
        <w:t xml:space="preserve"> 支付违约金。</w:t>
      </w:r>
    </w:p>
    <w:p>
      <w:pPr>
        <w:snapToGrid w:val="0"/>
        <w:spacing w:line="360" w:lineRule="auto"/>
        <w:ind w:firstLine="482" w:firstLineChars="200"/>
        <w:rPr>
          <w:rFonts w:ascii="宋体" w:hAnsi="宋体" w:cs="宋体"/>
          <w:sz w:val="24"/>
          <w:szCs w:val="24"/>
        </w:rPr>
      </w:pPr>
      <w:r>
        <w:rPr>
          <w:rFonts w:hint="eastAsia" w:ascii="宋体" w:hAnsi="宋体" w:cs="宋体"/>
          <w:b/>
          <w:sz w:val="24"/>
          <w:szCs w:val="24"/>
        </w:rPr>
        <w:t>第五条：</w:t>
      </w:r>
      <w:r>
        <w:rPr>
          <w:rFonts w:hint="eastAsia" w:ascii="宋体" w:hAnsi="宋体" w:cs="宋体"/>
          <w:sz w:val="24"/>
          <w:szCs w:val="24"/>
        </w:rPr>
        <w:t>根据实际情况，甲方有权适当、合理调整有关委托事项，并以书面形式通知乙方。</w:t>
      </w:r>
    </w:p>
    <w:p>
      <w:pPr>
        <w:snapToGrid w:val="0"/>
        <w:spacing w:line="360" w:lineRule="auto"/>
        <w:ind w:firstLine="482" w:firstLineChars="200"/>
        <w:rPr>
          <w:rFonts w:ascii="宋体" w:hAnsi="宋体" w:cs="宋体"/>
          <w:sz w:val="24"/>
          <w:szCs w:val="24"/>
          <w:u w:val="single"/>
        </w:rPr>
      </w:pPr>
      <w:r>
        <w:rPr>
          <w:rFonts w:hint="eastAsia" w:ascii="宋体" w:hAnsi="宋体" w:cs="宋体"/>
          <w:b/>
          <w:sz w:val="24"/>
          <w:szCs w:val="24"/>
        </w:rPr>
        <w:t>第六条：</w:t>
      </w:r>
      <w:r>
        <w:rPr>
          <w:rFonts w:hint="eastAsia" w:ascii="宋体" w:hAnsi="宋体" w:cs="宋体"/>
          <w:sz w:val="24"/>
          <w:szCs w:val="24"/>
        </w:rPr>
        <w:t xml:space="preserve">双方约定本协议其他相关事项为： </w:t>
      </w:r>
      <w:r>
        <w:rPr>
          <w:rFonts w:hint="eastAsia" w:ascii="宋体" w:hAnsi="宋体" w:cs="宋体"/>
          <w:sz w:val="24"/>
          <w:szCs w:val="24"/>
          <w:u w:val="single"/>
        </w:rPr>
        <w:t>在协议执行中，遇见其他问题时，双方协商解决。如协商不成，双方同意将本合同引起的争议向杭州仲裁委员会申请仲裁。</w:t>
      </w:r>
    </w:p>
    <w:p>
      <w:pPr>
        <w:widowControl/>
        <w:spacing w:line="360" w:lineRule="auto"/>
        <w:rPr>
          <w:rFonts w:ascii="宋体" w:hAnsi="宋体" w:cs="宋体"/>
          <w:sz w:val="24"/>
          <w:szCs w:val="24"/>
        </w:rPr>
      </w:pPr>
      <w:r>
        <w:rPr>
          <w:rFonts w:hint="eastAsia" w:ascii="宋体" w:hAnsi="宋体" w:cs="宋体"/>
          <w:b/>
          <w:sz w:val="24"/>
          <w:szCs w:val="24"/>
        </w:rPr>
        <w:t xml:space="preserve">    第七条：</w:t>
      </w:r>
      <w:r>
        <w:rPr>
          <w:rFonts w:hint="eastAsia" w:ascii="宋体" w:hAnsi="宋体" w:cs="宋体"/>
          <w:sz w:val="24"/>
          <w:szCs w:val="24"/>
        </w:rPr>
        <w:t>本合同经甲方、乙方法定代表人或其委托代理人签字并加盖公章后生效。</w:t>
      </w:r>
      <w:r>
        <w:rPr>
          <w:rFonts w:hint="eastAsia" w:ascii="宋体" w:hAnsi="宋体" w:cs="宋体"/>
          <w:sz w:val="24"/>
          <w:szCs w:val="24"/>
        </w:rPr>
        <w:br w:type="textWrapping"/>
      </w:r>
      <w:r>
        <w:rPr>
          <w:rFonts w:hint="eastAsia" w:ascii="宋体" w:hAnsi="宋体" w:cs="宋体"/>
          <w:b/>
          <w:sz w:val="24"/>
          <w:szCs w:val="24"/>
        </w:rPr>
        <w:t xml:space="preserve">    第八条：</w:t>
      </w:r>
      <w:r>
        <w:rPr>
          <w:rFonts w:hint="eastAsia" w:ascii="宋体" w:hAnsi="宋体" w:cs="宋体"/>
          <w:sz w:val="24"/>
          <w:szCs w:val="24"/>
        </w:rPr>
        <w:t>本合同正本一式四份，甲、乙双方各执二份。</w:t>
      </w:r>
      <w:r>
        <w:rPr>
          <w:rFonts w:hint="eastAsia" w:ascii="宋体" w:hAnsi="宋体" w:cs="宋体"/>
          <w:sz w:val="24"/>
          <w:szCs w:val="24"/>
        </w:rPr>
        <w:br w:type="textWrapping"/>
      </w:r>
      <w:r>
        <w:rPr>
          <w:rFonts w:hint="eastAsia" w:ascii="宋体" w:hAnsi="宋体" w:cs="宋体"/>
          <w:b/>
          <w:sz w:val="24"/>
          <w:szCs w:val="24"/>
        </w:rPr>
        <w:t xml:space="preserve">    第九条：</w:t>
      </w:r>
      <w:r>
        <w:rPr>
          <w:rFonts w:hint="eastAsia" w:ascii="宋体" w:hAnsi="宋体" w:cs="宋体"/>
          <w:kern w:val="0"/>
          <w:sz w:val="24"/>
        </w:rPr>
        <w:t>招标文件（招标编号：       ）、投标文件及评标过程中形成的文字资料、询标纪要均作为本合同附件。</w:t>
      </w:r>
    </w:p>
    <w:p>
      <w:pPr>
        <w:snapToGrid w:val="0"/>
        <w:spacing w:line="360" w:lineRule="auto"/>
        <w:ind w:left="-260"/>
        <w:rPr>
          <w:rFonts w:ascii="宋体" w:hAnsi="宋体" w:cs="宋体"/>
          <w:sz w:val="24"/>
          <w:szCs w:val="24"/>
        </w:rPr>
      </w:pPr>
    </w:p>
    <w:p>
      <w:pPr>
        <w:widowControl/>
        <w:spacing w:line="360" w:lineRule="auto"/>
        <w:ind w:firstLine="141" w:firstLineChars="59"/>
        <w:jc w:val="left"/>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 w:val="24"/>
          <w:szCs w:val="24"/>
        </w:rPr>
        <w:t>甲方（盖章）：杭州市市场监督管理局   乙方（盖章）：</w:t>
      </w:r>
    </w:p>
    <w:p>
      <w:pPr>
        <w:snapToGrid w:val="0"/>
        <w:spacing w:line="360" w:lineRule="auto"/>
        <w:rPr>
          <w:rFonts w:ascii="宋体" w:hAnsi="宋体" w:cs="宋体"/>
          <w:sz w:val="24"/>
          <w:szCs w:val="24"/>
        </w:rPr>
      </w:pPr>
      <w:r>
        <w:rPr>
          <w:rFonts w:hint="eastAsia" w:ascii="宋体" w:hAnsi="宋体" w:cs="宋体"/>
          <w:sz w:val="24"/>
          <w:szCs w:val="24"/>
        </w:rPr>
        <w:t xml:space="preserve">法定代表人                           法定代表人                   </w:t>
      </w:r>
    </w:p>
    <w:p>
      <w:pPr>
        <w:snapToGrid w:val="0"/>
        <w:spacing w:line="360" w:lineRule="auto"/>
        <w:rPr>
          <w:rFonts w:ascii="宋体" w:hAnsi="宋体" w:cs="宋体"/>
          <w:sz w:val="24"/>
          <w:szCs w:val="24"/>
        </w:rPr>
      </w:pPr>
      <w:r>
        <w:rPr>
          <w:rFonts w:hint="eastAsia" w:ascii="宋体" w:hAnsi="宋体" w:cs="宋体"/>
          <w:sz w:val="24"/>
          <w:szCs w:val="24"/>
        </w:rPr>
        <w:t xml:space="preserve">或受委托人（签字）：                 或受委托人（签字）：                  </w:t>
      </w:r>
    </w:p>
    <w:p>
      <w:pPr>
        <w:snapToGrid w:val="0"/>
        <w:spacing w:line="360" w:lineRule="auto"/>
        <w:rPr>
          <w:rFonts w:ascii="宋体" w:hAnsi="宋体" w:cs="宋体"/>
          <w:sz w:val="24"/>
          <w:szCs w:val="24"/>
        </w:rPr>
      </w:pPr>
      <w:r>
        <w:rPr>
          <w:rFonts w:hint="eastAsia" w:ascii="宋体" w:hAnsi="宋体" w:cs="宋体"/>
          <w:sz w:val="24"/>
          <w:szCs w:val="24"/>
        </w:rPr>
        <w:t xml:space="preserve">联系人：                             联系人： </w:t>
      </w:r>
    </w:p>
    <w:p>
      <w:pPr>
        <w:snapToGrid w:val="0"/>
        <w:spacing w:line="360" w:lineRule="auto"/>
        <w:rPr>
          <w:rFonts w:ascii="宋体" w:hAnsi="宋体" w:cs="宋体"/>
          <w:sz w:val="24"/>
          <w:szCs w:val="24"/>
        </w:rPr>
      </w:pPr>
      <w:r>
        <w:rPr>
          <w:rFonts w:hint="eastAsia" w:ascii="宋体" w:hAnsi="宋体" w:cs="宋体"/>
          <w:sz w:val="24"/>
          <w:szCs w:val="24"/>
        </w:rPr>
        <w:t xml:space="preserve">地址：杭州市凤起东路109号           地址： </w:t>
      </w:r>
    </w:p>
    <w:p>
      <w:pPr>
        <w:snapToGrid w:val="0"/>
        <w:spacing w:line="360" w:lineRule="auto"/>
        <w:rPr>
          <w:rFonts w:ascii="宋体" w:hAnsi="宋体" w:cs="宋体"/>
          <w:sz w:val="24"/>
          <w:szCs w:val="24"/>
        </w:rPr>
      </w:pPr>
      <w:r>
        <w:rPr>
          <w:rFonts w:hint="eastAsia" w:ascii="宋体" w:hAnsi="宋体" w:cs="宋体"/>
          <w:sz w:val="24"/>
          <w:szCs w:val="24"/>
        </w:rPr>
        <w:t xml:space="preserve">电话：                               电话： </w:t>
      </w:r>
    </w:p>
    <w:p>
      <w:pPr>
        <w:snapToGrid w:val="0"/>
        <w:spacing w:line="360" w:lineRule="auto"/>
        <w:rPr>
          <w:rFonts w:ascii="宋体" w:hAnsi="宋体" w:cs="宋体"/>
          <w:sz w:val="24"/>
          <w:szCs w:val="24"/>
        </w:rPr>
      </w:pPr>
      <w:r>
        <w:rPr>
          <w:rFonts w:hint="eastAsia" w:ascii="宋体" w:hAnsi="宋体" w:cs="宋体"/>
          <w:sz w:val="24"/>
          <w:szCs w:val="24"/>
        </w:rPr>
        <w:t xml:space="preserve">传真：                               传真： </w:t>
      </w:r>
    </w:p>
    <w:p>
      <w:pPr>
        <w:spacing w:line="360" w:lineRule="auto"/>
        <w:rPr>
          <w:rFonts w:ascii="宋体" w:hAnsi="宋体" w:cs="宋体"/>
          <w:sz w:val="24"/>
          <w:szCs w:val="24"/>
        </w:rPr>
      </w:pPr>
    </w:p>
    <w:p>
      <w:pPr>
        <w:spacing w:line="360" w:lineRule="auto"/>
        <w:ind w:firstLine="5640" w:firstLineChars="2350"/>
        <w:rPr>
          <w:rFonts w:ascii="宋体" w:hAnsi="宋体" w:cs="宋体"/>
          <w:sz w:val="24"/>
          <w:szCs w:val="24"/>
        </w:rPr>
      </w:pPr>
      <w:r>
        <w:rPr>
          <w:rFonts w:hint="eastAsia" w:ascii="宋体" w:hAnsi="宋体" w:cs="宋体"/>
          <w:sz w:val="24"/>
          <w:szCs w:val="24"/>
        </w:rPr>
        <w:t>签 约 地：杭州市</w:t>
      </w:r>
    </w:p>
    <w:p>
      <w:r>
        <w:rPr>
          <w:rFonts w:hint="eastAsia" w:ascii="宋体" w:hAnsi="宋体" w:cs="宋体"/>
          <w:sz w:val="24"/>
          <w:szCs w:val="24"/>
        </w:rPr>
        <w:t xml:space="preserve">                                           签约日期：    年   月  日</w:t>
      </w:r>
    </w:p>
    <w:p>
      <w:pPr>
        <w:spacing w:line="360" w:lineRule="auto"/>
        <w:ind w:firstLine="5460" w:firstLineChars="2275"/>
        <w:rPr>
          <w:rFonts w:ascii="宋体" w:hAnsi="宋体"/>
          <w:sz w:val="24"/>
          <w:szCs w:val="24"/>
        </w:rPr>
        <w:sectPr>
          <w:pgSz w:w="11850" w:h="16783"/>
          <w:pgMar w:top="1021" w:right="1418" w:bottom="249" w:left="964" w:header="851" w:footer="992" w:gutter="0"/>
          <w:cols w:space="720" w:num="1"/>
          <w:titlePg/>
          <w:docGrid w:linePitch="312" w:charSpace="0"/>
        </w:sectPr>
      </w:pPr>
    </w:p>
    <w:p>
      <w:pPr>
        <w:spacing w:line="360" w:lineRule="auto"/>
        <w:rPr>
          <w:rFonts w:asciiTheme="minorEastAsia" w:hAnsiTheme="minorEastAsia" w:eastAsiaTheme="minorEastAsia"/>
          <w:sz w:val="24"/>
          <w:szCs w:val="24"/>
        </w:rPr>
      </w:pPr>
    </w:p>
    <w:bookmarkEnd w:id="86"/>
    <w:bookmarkEnd w:id="87"/>
    <w:bookmarkEnd w:id="88"/>
    <w:p>
      <w:pPr>
        <w:adjustRightInd w:val="0"/>
        <w:snapToGrid w:val="0"/>
        <w:spacing w:line="360" w:lineRule="auto"/>
        <w:jc w:val="center"/>
        <w:outlineLvl w:val="0"/>
        <w:rPr>
          <w:rFonts w:asciiTheme="minorEastAsia" w:hAnsiTheme="minorEastAsia" w:eastAsiaTheme="minorEastAsia"/>
          <w:b/>
          <w:sz w:val="28"/>
          <w:szCs w:val="28"/>
        </w:rPr>
      </w:pPr>
      <w:bookmarkStart w:id="90" w:name="_Toc86217003"/>
      <w:bookmarkStart w:id="91" w:name="_Toc26112"/>
      <w:r>
        <w:rPr>
          <w:rFonts w:hint="eastAsia" w:asciiTheme="minorEastAsia" w:hAnsiTheme="minorEastAsia" w:eastAsiaTheme="minorEastAsia"/>
          <w:b/>
          <w:sz w:val="28"/>
          <w:szCs w:val="28"/>
        </w:rPr>
        <w:t xml:space="preserve">第五部分 </w:t>
      </w:r>
      <w:bookmarkEnd w:id="90"/>
      <w:r>
        <w:rPr>
          <w:rFonts w:hint="eastAsia" w:asciiTheme="minorEastAsia" w:hAnsiTheme="minorEastAsia" w:eastAsiaTheme="minorEastAsia"/>
          <w:b/>
          <w:sz w:val="28"/>
          <w:szCs w:val="28"/>
        </w:rPr>
        <w:t>应提交的有关格式范例</w:t>
      </w:r>
      <w:bookmarkEnd w:id="91"/>
    </w:p>
    <w:p>
      <w:pPr>
        <w:pStyle w:val="4"/>
        <w:rPr>
          <w:rFonts w:asciiTheme="minorEastAsia" w:hAnsiTheme="minorEastAsia" w:eastAsiaTheme="minorEastAsia"/>
          <w:szCs w:val="24"/>
        </w:rPr>
      </w:pPr>
      <w:bookmarkStart w:id="92" w:name="_Toc28011"/>
      <w:r>
        <w:rPr>
          <w:rFonts w:hint="eastAsia" w:asciiTheme="minorEastAsia" w:hAnsiTheme="minorEastAsia" w:eastAsiaTheme="minorEastAsia"/>
          <w:szCs w:val="24"/>
        </w:rPr>
        <w:t>一、投标人提交投标文件须知：</w:t>
      </w:r>
      <w:bookmarkEnd w:id="92"/>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1、投标人应严格按照以下顺序填写和提交下述规定的全部格式文件以及其他有关资料，混乱的编排导致投标文件被误读或评标委员会查找不到有效文件是投标人的风险。</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2、所附表格中要求回答的全部问题和/或信息都必须正面回答。</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3、本声明书的签字人应保证全部声明和问题的回答是真实的和准确的。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4、评标委员会将应用投标人提交的资料作出自己的判断。</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5、投标人提交的材料将在一定期限内被保密保存，但不退还。</w:t>
      </w:r>
    </w:p>
    <w:p>
      <w:pPr>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rPr>
        <w:t>6、全部文件应按投标人须知中规定的语言和份数提交。</w:t>
      </w:r>
      <w:r>
        <w:rPr>
          <w:rFonts w:hint="eastAsia" w:cs="仿宋_GB2312" w:asciiTheme="minorEastAsia" w:hAnsiTheme="minorEastAsia" w:eastAsiaTheme="minorEastAsia"/>
          <w:sz w:val="24"/>
          <w:szCs w:val="24"/>
        </w:rPr>
        <w:t>投标文件组成漏项或未按规定的格式编制或投标文件正、副本份数不足，内容不全或内容字迹模糊辨认不清的情况，</w:t>
      </w:r>
      <w:r>
        <w:rPr>
          <w:rFonts w:hint="eastAsia" w:cs="仿宋_GB2312" w:asciiTheme="minorEastAsia" w:hAnsiTheme="minorEastAsia" w:eastAsiaTheme="minorEastAsia"/>
          <w:b/>
          <w:sz w:val="24"/>
          <w:szCs w:val="24"/>
        </w:rPr>
        <w:t>将有可能被评标委员会认定为投标无效。</w:t>
      </w:r>
    </w:p>
    <w:p>
      <w:pPr>
        <w:pStyle w:val="4"/>
        <w:rPr>
          <w:rFonts w:asciiTheme="minorEastAsia" w:hAnsiTheme="minorEastAsia" w:eastAsiaTheme="minorEastAsia"/>
          <w:szCs w:val="24"/>
        </w:rPr>
      </w:pPr>
      <w:bookmarkStart w:id="93" w:name="_Toc10247"/>
      <w:r>
        <w:rPr>
          <w:rFonts w:hint="eastAsia" w:asciiTheme="minorEastAsia" w:hAnsiTheme="minorEastAsia" w:eastAsiaTheme="minorEastAsia"/>
          <w:szCs w:val="24"/>
        </w:rPr>
        <w:t>二、投标文件编制格式及规范要求：</w:t>
      </w:r>
      <w:bookmarkEnd w:id="93"/>
    </w:p>
    <w:p>
      <w:pPr>
        <w:spacing w:line="360" w:lineRule="auto"/>
        <w:ind w:firstLine="480" w:firstLineChars="200"/>
        <w:rPr>
          <w:rFonts w:asciiTheme="minorEastAsia" w:hAnsiTheme="minorEastAsia" w:eastAsiaTheme="minorEastAsia"/>
          <w:bCs/>
          <w:sz w:val="24"/>
          <w:szCs w:val="24"/>
        </w:rPr>
        <w:sectPr>
          <w:pgSz w:w="11850" w:h="16783"/>
          <w:pgMar w:top="1021" w:right="1418" w:bottom="249" w:left="964" w:header="851" w:footer="992" w:gutter="0"/>
          <w:cols w:space="720" w:num="1"/>
          <w:titlePg/>
          <w:docGrid w:linePitch="312" w:charSpace="0"/>
        </w:sectPr>
      </w:pPr>
      <w:r>
        <w:rPr>
          <w:rFonts w:hint="eastAsia" w:ascii="宋体" w:hAnsi="宋体" w:cs="宋体"/>
          <w:bCs/>
          <w:sz w:val="24"/>
        </w:rPr>
        <w:t>资格文件[</w:t>
      </w:r>
      <w:r>
        <w:rPr>
          <w:rFonts w:hint="eastAsia" w:ascii="宋体" w:hAnsi="宋体" w:cs="宋体"/>
          <w:bCs/>
          <w:kern w:val="0"/>
          <w:sz w:val="24"/>
        </w:rPr>
        <w:t>证明其符合《中华人民共和国政府采购法》规定的供应商基本条件和采购项目对供应商的特定条件</w:t>
      </w:r>
      <w:r>
        <w:rPr>
          <w:rFonts w:hint="eastAsia" w:ascii="宋体" w:hAnsi="宋体" w:cs="宋体"/>
          <w:bCs/>
          <w:sz w:val="24"/>
        </w:rPr>
        <w:t>（如果项目要求）</w:t>
      </w:r>
      <w:r>
        <w:rPr>
          <w:rFonts w:hint="eastAsia" w:ascii="宋体" w:hAnsi="宋体" w:cs="宋体"/>
          <w:bCs/>
          <w:kern w:val="0"/>
          <w:sz w:val="24"/>
        </w:rPr>
        <w:t>的有关资格证明文件]、</w:t>
      </w:r>
      <w:r>
        <w:rPr>
          <w:rFonts w:hint="eastAsia" w:asciiTheme="minorEastAsia" w:hAnsiTheme="minorEastAsia" w:eastAsiaTheme="minorEastAsia"/>
          <w:bCs/>
          <w:sz w:val="24"/>
          <w:szCs w:val="24"/>
        </w:rPr>
        <w:t>商务报价文件[</w:t>
      </w:r>
      <w:r>
        <w:rPr>
          <w:rFonts w:hint="eastAsia" w:asciiTheme="minorEastAsia" w:hAnsiTheme="minorEastAsia" w:eastAsiaTheme="minorEastAsia"/>
          <w:bCs/>
          <w:kern w:val="0"/>
          <w:sz w:val="24"/>
          <w:szCs w:val="24"/>
        </w:rPr>
        <w:t>投标响应函、</w:t>
      </w:r>
      <w:r>
        <w:rPr>
          <w:rFonts w:hint="eastAsia" w:asciiTheme="minorEastAsia" w:hAnsiTheme="minorEastAsia" w:eastAsiaTheme="minorEastAsia"/>
          <w:bCs/>
          <w:sz w:val="24"/>
          <w:szCs w:val="24"/>
        </w:rPr>
        <w:t>投标（开标）一览表和相关的报价明细清单]、技术文件（技术和服务方案等）、商务文件（商务资格等）四部分，各投标人在编制投标文件时请按照以下格式进行。</w:t>
      </w:r>
    </w:p>
    <w:p>
      <w:pPr>
        <w:spacing w:line="360" w:lineRule="auto"/>
        <w:jc w:val="center"/>
        <w:rPr>
          <w:rFonts w:cs="宋体" w:asciiTheme="minorEastAsia" w:hAnsiTheme="minorEastAsia" w:eastAsiaTheme="minorEastAsia"/>
          <w:b/>
          <w:kern w:val="0"/>
          <w:sz w:val="24"/>
          <w:szCs w:val="24"/>
        </w:rPr>
      </w:pPr>
      <w:r>
        <w:rPr>
          <w:rFonts w:hint="eastAsia" w:asciiTheme="minorEastAsia" w:hAnsiTheme="minorEastAsia" w:eastAsiaTheme="minorEastAsia"/>
          <w:sz w:val="24"/>
          <w:szCs w:val="24"/>
          <w:lang w:val="zh-CN"/>
        </w:rPr>
        <w:t>▲</w:t>
      </w:r>
      <w:r>
        <w:rPr>
          <w:rFonts w:hint="eastAsia" w:cs="宋体" w:asciiTheme="minorEastAsia" w:hAnsiTheme="minorEastAsia" w:eastAsiaTheme="minorEastAsia"/>
          <w:b/>
          <w:kern w:val="0"/>
          <w:sz w:val="24"/>
          <w:szCs w:val="24"/>
          <w:lang w:val="zh-CN"/>
        </w:rPr>
        <w:t>资格文件</w:t>
      </w:r>
      <w:r>
        <w:rPr>
          <w:rFonts w:hint="eastAsia" w:cs="宋体" w:asciiTheme="minorEastAsia" w:hAnsiTheme="minorEastAsia" w:eastAsiaTheme="minorEastAsia"/>
          <w:b/>
          <w:kern w:val="0"/>
          <w:sz w:val="24"/>
          <w:szCs w:val="24"/>
        </w:rPr>
        <w:t>部分</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（1）有效的企业法人营业执照或事业单位法人证书………………………………（页码）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附：法定代表人授权书（如法定代表人直接参加投标并对相应文件签字的，只需提供其身份证复印件正反面；如以联合体形式参加政府采购活动的，按招标文件有关格式范例提供联合体投标授权书）…………………</w:t>
      </w:r>
      <w:r>
        <w:rPr>
          <w:rFonts w:hint="eastAsia" w:cs="宋体" w:asciiTheme="minorEastAsia" w:hAnsiTheme="minorEastAsia" w:eastAsiaTheme="minorEastAsia"/>
          <w:kern w:val="0"/>
          <w:sz w:val="24"/>
          <w:szCs w:val="24"/>
        </w:rPr>
        <w:t>……………</w:t>
      </w:r>
      <w:r>
        <w:rPr>
          <w:rFonts w:hint="eastAsia" w:asciiTheme="minorEastAsia" w:hAnsiTheme="minorEastAsia" w:eastAsiaTheme="minorEastAsia"/>
          <w:sz w:val="24"/>
          <w:szCs w:val="24"/>
        </w:rPr>
        <w:t>……………………………………（页码）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（2）</w:t>
      </w:r>
      <w:r>
        <w:rPr>
          <w:rFonts w:hint="eastAsia" w:cs="宋体" w:asciiTheme="minorEastAsia" w:hAnsiTheme="minorEastAsia" w:eastAsiaTheme="minorEastAsia"/>
          <w:kern w:val="0"/>
          <w:sz w:val="24"/>
          <w:szCs w:val="24"/>
        </w:rPr>
        <w:t>上一年度资产负债表等财务报表资料文件……………………………………（页码）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（3）</w:t>
      </w:r>
      <w:r>
        <w:rPr>
          <w:rFonts w:hint="eastAsia" w:cs="宋体" w:asciiTheme="minorEastAsia" w:hAnsiTheme="minorEastAsia" w:eastAsiaTheme="minorEastAsia"/>
          <w:kern w:val="0"/>
          <w:sz w:val="24"/>
          <w:szCs w:val="24"/>
        </w:rPr>
        <w:t>具有履行合同所必需的设备和专业技术能力的承诺函………………………（页码）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w:t>
      </w:r>
      <w:r>
        <w:rPr>
          <w:rFonts w:hint="eastAsia"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lang w:val="zh-CN"/>
        </w:rPr>
        <w:t>有依法缴纳税收和社会保障资金的良好记录</w:t>
      </w:r>
      <w:r>
        <w:rPr>
          <w:rFonts w:hint="eastAsia" w:cs="宋体" w:asciiTheme="minorEastAsia" w:hAnsiTheme="minorEastAsia" w:eastAsiaTheme="minorEastAsia"/>
          <w:kern w:val="0"/>
          <w:sz w:val="24"/>
          <w:szCs w:val="24"/>
        </w:rPr>
        <w:t>的证明材料……………………（页码）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w:t>
      </w:r>
      <w:r>
        <w:rPr>
          <w:rFonts w:hint="eastAsia" w:cs="宋体" w:asciiTheme="minorEastAsia" w:hAnsiTheme="minorEastAsia" w:eastAsiaTheme="minorEastAsia"/>
          <w:kern w:val="0"/>
          <w:sz w:val="24"/>
          <w:szCs w:val="24"/>
        </w:rPr>
        <w:t>5</w:t>
      </w:r>
      <w:r>
        <w:rPr>
          <w:rFonts w:hint="eastAsia" w:cs="宋体" w:asciiTheme="minorEastAsia" w:hAnsiTheme="minorEastAsia" w:eastAsiaTheme="minorEastAsia"/>
          <w:kern w:val="0"/>
          <w:sz w:val="24"/>
          <w:szCs w:val="24"/>
          <w:lang w:val="zh-CN"/>
        </w:rPr>
        <w:t>）</w:t>
      </w:r>
      <w:r>
        <w:rPr>
          <w:rFonts w:hint="eastAsia" w:cs="宋体" w:asciiTheme="minorEastAsia" w:hAnsiTheme="minorEastAsia" w:eastAsiaTheme="minorEastAsia"/>
          <w:kern w:val="0"/>
          <w:sz w:val="24"/>
          <w:szCs w:val="24"/>
        </w:rPr>
        <w:t>在经营活动中没有重大违法记录的声明………………………………………（页码）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w:t>
      </w:r>
      <w:r>
        <w:rPr>
          <w:rFonts w:hint="eastAsia" w:cs="宋体" w:asciiTheme="minorEastAsia" w:hAnsiTheme="minorEastAsia" w:eastAsiaTheme="minorEastAsia"/>
          <w:kern w:val="0"/>
          <w:sz w:val="24"/>
          <w:szCs w:val="24"/>
        </w:rPr>
        <w:t>6</w:t>
      </w:r>
      <w:r>
        <w:rPr>
          <w:rFonts w:hint="eastAsia" w:cs="宋体" w:asciiTheme="minorEastAsia" w:hAnsiTheme="minorEastAsia" w:eastAsiaTheme="minorEastAsia"/>
          <w:kern w:val="0"/>
          <w:sz w:val="24"/>
          <w:szCs w:val="24"/>
          <w:lang w:val="zh-CN"/>
        </w:rPr>
        <w:t>）</w:t>
      </w:r>
      <w:r>
        <w:rPr>
          <w:rFonts w:hint="eastAsia" w:cs="宋体" w:asciiTheme="minorEastAsia" w:hAnsiTheme="minorEastAsia" w:eastAsiaTheme="minorEastAsia"/>
          <w:kern w:val="0"/>
          <w:sz w:val="24"/>
          <w:szCs w:val="24"/>
        </w:rPr>
        <w:t>具有良好商业信誉的特别声明…………………………………………………（页码）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w:t>
      </w:r>
      <w:r>
        <w:rPr>
          <w:rFonts w:hint="eastAsia" w:cs="宋体" w:asciiTheme="minorEastAsia" w:hAnsiTheme="minorEastAsia" w:eastAsiaTheme="minorEastAsia"/>
          <w:kern w:val="0"/>
          <w:sz w:val="24"/>
          <w:szCs w:val="24"/>
        </w:rPr>
        <w:t>7</w:t>
      </w:r>
      <w:r>
        <w:rPr>
          <w:rFonts w:hint="eastAsia" w:cs="宋体" w:asciiTheme="minorEastAsia" w:hAnsiTheme="minorEastAsia" w:eastAsiaTheme="minorEastAsia"/>
          <w:kern w:val="0"/>
          <w:sz w:val="24"/>
          <w:szCs w:val="24"/>
          <w:lang w:val="zh-CN"/>
        </w:rPr>
        <w:t>）</w:t>
      </w:r>
      <w:r>
        <w:rPr>
          <w:rFonts w:hint="eastAsia" w:cs="宋体" w:asciiTheme="minorEastAsia" w:hAnsiTheme="minorEastAsia" w:eastAsiaTheme="minorEastAsia"/>
          <w:kern w:val="0"/>
          <w:sz w:val="24"/>
          <w:szCs w:val="24"/>
        </w:rPr>
        <w:t>符合特定资格条件（如果项目要求）的有关证明材料……………………（页码）</w:t>
      </w:r>
    </w:p>
    <w:p>
      <w:pPr>
        <w:pStyle w:val="18"/>
      </w:pPr>
    </w:p>
    <w:p>
      <w:pPr>
        <w:snapToGrid w:val="0"/>
        <w:spacing w:line="360" w:lineRule="auto"/>
        <w:jc w:val="center"/>
        <w:rPr>
          <w:rFonts w:asciiTheme="minorEastAsia" w:hAnsiTheme="minorEastAsia" w:eastAsiaTheme="minorEastAsia"/>
          <w:b/>
          <w:kern w:val="0"/>
          <w:sz w:val="24"/>
          <w:szCs w:val="24"/>
          <w:lang w:val="zh-CN"/>
        </w:rPr>
      </w:pPr>
      <w:r>
        <w:rPr>
          <w:rFonts w:hint="eastAsia" w:asciiTheme="minorEastAsia" w:hAnsiTheme="minorEastAsia" w:eastAsiaTheme="minorEastAsia"/>
          <w:b/>
          <w:kern w:val="0"/>
          <w:sz w:val="24"/>
          <w:szCs w:val="24"/>
          <w:lang w:val="zh-CN"/>
        </w:rPr>
        <w:t>一、营业执照或事业法人登记证证明材料</w:t>
      </w:r>
    </w:p>
    <w:p>
      <w:pPr>
        <w:spacing w:line="360" w:lineRule="auto"/>
        <w:jc w:val="center"/>
        <w:rPr>
          <w:rFonts w:ascii="仿宋" w:hAnsi="仿宋" w:eastAsia="仿宋" w:cs="仿宋_GB2312"/>
          <w:b/>
          <w:sz w:val="30"/>
          <w:szCs w:val="30"/>
        </w:rPr>
      </w:pPr>
    </w:p>
    <w:p>
      <w:pPr>
        <w:snapToGrid w:val="0"/>
        <w:spacing w:line="360" w:lineRule="auto"/>
        <w:jc w:val="center"/>
        <w:rPr>
          <w:rFonts w:ascii="宋体" w:hAnsi="宋体" w:cs="宋体"/>
          <w:b/>
          <w:kern w:val="0"/>
          <w:sz w:val="24"/>
          <w:szCs w:val="24"/>
          <w:lang w:val="zh-CN"/>
        </w:rPr>
      </w:pPr>
      <w:r>
        <w:rPr>
          <w:rFonts w:hint="eastAsia" w:ascii="宋体" w:hAnsi="宋体" w:cs="宋体"/>
          <w:b/>
          <w:kern w:val="0"/>
          <w:sz w:val="24"/>
          <w:szCs w:val="24"/>
          <w:lang w:val="zh-CN"/>
        </w:rPr>
        <w:t>二、法定代表人授权书</w:t>
      </w:r>
    </w:p>
    <w:p>
      <w:pPr>
        <w:snapToGrid w:val="0"/>
        <w:spacing w:line="360" w:lineRule="auto"/>
        <w:rPr>
          <w:rFonts w:ascii="宋体" w:hAnsi="宋体" w:cs="宋体"/>
          <w:kern w:val="0"/>
          <w:sz w:val="24"/>
        </w:rPr>
      </w:pPr>
      <w:r>
        <w:rPr>
          <w:rFonts w:hint="eastAsia" w:ascii="宋体" w:hAnsi="宋体" w:cs="宋体"/>
          <w:sz w:val="24"/>
        </w:rPr>
        <w:t>杭州市市场监督管理局、浙江中诺招标代理有限公司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lang w:val="zh-CN"/>
        </w:rPr>
        <w:t>兹委派我公司</w:t>
      </w:r>
      <w:r>
        <w:rPr>
          <w:rFonts w:hint="eastAsia" w:ascii="宋体" w:hAnsi="宋体" w:cs="宋体"/>
          <w:kern w:val="0"/>
          <w:sz w:val="24"/>
          <w:u w:val="single"/>
          <w:lang w:val="zh-CN"/>
        </w:rPr>
        <w:t xml:space="preserve">                </w:t>
      </w:r>
      <w:r>
        <w:rPr>
          <w:rFonts w:hint="eastAsia" w:ascii="宋体" w:hAnsi="宋体" w:cs="宋体"/>
          <w:kern w:val="0"/>
          <w:sz w:val="24"/>
          <w:lang w:val="zh-CN"/>
        </w:rPr>
        <w:t>先生/女士(其在本公司的职务是：</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，联系电话：</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传真：</w:t>
      </w:r>
      <w:r>
        <w:rPr>
          <w:rFonts w:hint="eastAsia" w:ascii="宋体" w:hAnsi="宋体" w:cs="宋体"/>
          <w:kern w:val="0"/>
          <w:sz w:val="24"/>
          <w:u w:val="single"/>
          <w:lang w:val="zh-CN"/>
        </w:rPr>
        <w:t xml:space="preserve">           </w:t>
      </w:r>
      <w:r>
        <w:rPr>
          <w:rFonts w:hint="eastAsia" w:ascii="宋体" w:hAnsi="宋体" w:cs="宋体"/>
          <w:kern w:val="0"/>
          <w:sz w:val="24"/>
          <w:lang w:val="zh-CN"/>
        </w:rPr>
        <w:t>)，代表我公司全权处理</w:t>
      </w:r>
      <w:r>
        <w:rPr>
          <w:rFonts w:hint="eastAsia" w:ascii="宋体" w:hAnsi="宋体" w:cs="宋体"/>
          <w:sz w:val="24"/>
        </w:rPr>
        <w:t>杭州市市场监督管理局2021年上半年食品生产环节监督抽检项目</w:t>
      </w:r>
      <w:r>
        <w:rPr>
          <w:rFonts w:hint="eastAsia" w:ascii="宋体" w:hAnsi="宋体" w:cs="宋体"/>
          <w:kern w:val="0"/>
          <w:sz w:val="24"/>
          <w:lang w:val="zh-CN"/>
        </w:rPr>
        <w:t>【编号：ZJZN-20951-SJ36】政府采购投标的一切事项，若中标则全权代表本公司签订相关合同，并负责处理合同履行等事宜。</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本授权书有效期：自   年 月  日起至  年  月  日止。</w:t>
      </w:r>
    </w:p>
    <w:p>
      <w:pPr>
        <w:snapToGrid w:val="0"/>
        <w:spacing w:line="360" w:lineRule="auto"/>
        <w:rPr>
          <w:rFonts w:ascii="宋体" w:hAnsi="宋体" w:cs="宋体"/>
          <w:kern w:val="0"/>
          <w:sz w:val="24"/>
        </w:rPr>
      </w:pPr>
      <w:r>
        <w:rPr>
          <w:rFonts w:hint="eastAsia" w:ascii="宋体" w:hAnsi="宋体" w:cs="宋体"/>
          <w:kern w:val="0"/>
          <w:sz w:val="24"/>
          <w:lang w:val="zh-CN"/>
        </w:rPr>
        <w:t xml:space="preserve">    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投标人名称(公章)：</w:t>
      </w:r>
    </w:p>
    <w:p>
      <w:pPr>
        <w:snapToGrid w:val="0"/>
        <w:spacing w:line="360" w:lineRule="auto"/>
        <w:rPr>
          <w:rFonts w:ascii="宋体" w:hAnsi="宋体" w:cs="宋体"/>
          <w:kern w:val="0"/>
          <w:sz w:val="24"/>
        </w:rPr>
      </w:pPr>
      <w:r>
        <w:rPr>
          <w:rFonts w:hint="eastAsia" w:ascii="宋体" w:hAnsi="宋体" w:cs="宋体"/>
          <w:kern w:val="0"/>
          <w:sz w:val="24"/>
          <w:lang w:val="zh-CN"/>
        </w:rPr>
        <w:t xml:space="preserve">                                                  法定代表人(签字或盖章)：</w:t>
      </w:r>
    </w:p>
    <w:p>
      <w:pPr>
        <w:snapToGrid w:val="0"/>
        <w:spacing w:line="360" w:lineRule="auto"/>
        <w:ind w:right="240"/>
        <w:jc w:val="right"/>
        <w:rPr>
          <w:rFonts w:ascii="宋体" w:hAnsi="宋体" w:cs="宋体"/>
          <w:kern w:val="0"/>
          <w:sz w:val="24"/>
          <w:lang w:val="zh-CN"/>
        </w:rPr>
      </w:pPr>
      <w:r>
        <w:rPr>
          <w:rFonts w:hint="eastAsia" w:ascii="宋体" w:hAnsi="宋体" w:cs="宋体"/>
          <w:kern w:val="0"/>
          <w:sz w:val="24"/>
          <w:lang w:val="zh-CN"/>
        </w:rPr>
        <w:t>签发日期：  年  月   日</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24"/>
          <w:szCs w:val="24"/>
          <w:lang w:val="zh-CN"/>
        </w:rPr>
      </w:pPr>
      <w:r>
        <w:rPr>
          <w:rFonts w:hint="eastAsia" w:ascii="宋体" w:hAnsi="宋体" w:cs="宋体"/>
          <w:b/>
          <w:kern w:val="0"/>
          <w:sz w:val="32"/>
          <w:szCs w:val="32"/>
          <w:lang w:val="zh-CN"/>
        </w:rPr>
        <w:br w:type="page"/>
      </w:r>
      <w:r>
        <w:rPr>
          <w:rFonts w:hint="eastAsia" w:ascii="宋体" w:hAnsi="宋体" w:cs="宋体"/>
          <w:b/>
          <w:kern w:val="0"/>
          <w:sz w:val="24"/>
          <w:szCs w:val="24"/>
          <w:lang w:val="zh-CN"/>
        </w:rPr>
        <w:t>联合体投标授权书（适用联合体投标）</w:t>
      </w:r>
    </w:p>
    <w:p>
      <w:pPr>
        <w:snapToGrid w:val="0"/>
        <w:spacing w:line="360" w:lineRule="auto"/>
        <w:ind w:firstLine="576"/>
        <w:rPr>
          <w:rFonts w:ascii="宋体" w:hAnsi="宋体" w:cs="宋体"/>
          <w:kern w:val="0"/>
          <w:sz w:val="24"/>
        </w:rPr>
      </w:pPr>
      <w:r>
        <w:rPr>
          <w:rFonts w:hint="eastAsia" w:ascii="宋体" w:hAnsi="宋体" w:cs="宋体"/>
          <w:kern w:val="0"/>
          <w:sz w:val="24"/>
          <w:lang w:val="zh-CN"/>
        </w:rPr>
        <w:t>兹委派</w:t>
      </w:r>
      <w:r>
        <w:rPr>
          <w:rFonts w:hint="eastAsia" w:ascii="宋体" w:hAnsi="宋体" w:cs="宋体"/>
          <w:kern w:val="0"/>
          <w:sz w:val="24"/>
          <w:u w:val="single"/>
          <w:lang w:val="zh-CN"/>
        </w:rPr>
        <w:t xml:space="preserve">    </w:t>
      </w:r>
      <w:r>
        <w:rPr>
          <w:rFonts w:hint="eastAsia" w:ascii="宋体" w:hAnsi="宋体" w:cs="宋体"/>
          <w:kern w:val="0"/>
          <w:sz w:val="24"/>
          <w:lang w:val="zh-CN"/>
        </w:rPr>
        <w:t>公司</w:t>
      </w:r>
      <w:r>
        <w:rPr>
          <w:rFonts w:hint="eastAsia" w:ascii="宋体" w:hAnsi="宋体" w:cs="宋体"/>
          <w:kern w:val="0"/>
          <w:sz w:val="24"/>
          <w:u w:val="single"/>
          <w:lang w:val="zh-CN"/>
        </w:rPr>
        <w:t xml:space="preserve">       </w:t>
      </w:r>
      <w:r>
        <w:rPr>
          <w:rFonts w:hint="eastAsia" w:ascii="宋体" w:hAnsi="宋体" w:cs="宋体"/>
          <w:kern w:val="0"/>
          <w:sz w:val="24"/>
          <w:lang w:val="zh-CN"/>
        </w:rPr>
        <w:t>先生/女士(其在该公司的职务是：</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，联系电话：</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传真：</w:t>
      </w:r>
      <w:r>
        <w:rPr>
          <w:rFonts w:hint="eastAsia" w:ascii="宋体" w:hAnsi="宋体" w:cs="宋体"/>
          <w:kern w:val="0"/>
          <w:sz w:val="24"/>
          <w:u w:val="single"/>
          <w:lang w:val="zh-CN"/>
        </w:rPr>
        <w:t xml:space="preserve">           </w:t>
      </w:r>
      <w:r>
        <w:rPr>
          <w:rFonts w:hint="eastAsia" w:ascii="宋体" w:hAnsi="宋体" w:cs="宋体"/>
          <w:kern w:val="0"/>
          <w:sz w:val="24"/>
          <w:lang w:val="zh-CN"/>
        </w:rPr>
        <w:t>)；</w:t>
      </w:r>
      <w:r>
        <w:rPr>
          <w:rFonts w:hint="eastAsia" w:ascii="宋体" w:hAnsi="宋体" w:cs="宋体"/>
          <w:kern w:val="0"/>
          <w:sz w:val="24"/>
          <w:u w:val="single"/>
          <w:lang w:val="zh-CN"/>
        </w:rPr>
        <w:t xml:space="preserve">      </w:t>
      </w:r>
      <w:r>
        <w:rPr>
          <w:rFonts w:hint="eastAsia" w:ascii="宋体" w:hAnsi="宋体" w:cs="宋体"/>
          <w:kern w:val="0"/>
          <w:sz w:val="24"/>
          <w:lang w:val="zh-CN"/>
        </w:rPr>
        <w:t>公司</w:t>
      </w:r>
      <w:r>
        <w:rPr>
          <w:rFonts w:hint="eastAsia" w:ascii="宋体" w:hAnsi="宋体" w:cs="宋体"/>
          <w:kern w:val="0"/>
          <w:sz w:val="24"/>
          <w:u w:val="single"/>
          <w:lang w:val="zh-CN"/>
        </w:rPr>
        <w:t xml:space="preserve">       </w:t>
      </w:r>
      <w:r>
        <w:rPr>
          <w:rFonts w:hint="eastAsia" w:ascii="宋体" w:hAnsi="宋体" w:cs="宋体"/>
          <w:kern w:val="0"/>
          <w:sz w:val="24"/>
          <w:lang w:val="zh-CN"/>
        </w:rPr>
        <w:t>先生/女士(其在该公司的职务是：</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，联系电话：</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传真：</w:t>
      </w:r>
      <w:r>
        <w:rPr>
          <w:rFonts w:hint="eastAsia" w:ascii="宋体" w:hAnsi="宋体" w:cs="宋体"/>
          <w:kern w:val="0"/>
          <w:sz w:val="24"/>
          <w:u w:val="single"/>
          <w:lang w:val="zh-CN"/>
        </w:rPr>
        <w:t xml:space="preserve">           </w:t>
      </w:r>
      <w:r>
        <w:rPr>
          <w:rFonts w:hint="eastAsia" w:ascii="宋体" w:hAnsi="宋体" w:cs="宋体"/>
          <w:kern w:val="0"/>
          <w:sz w:val="24"/>
          <w:lang w:val="zh-CN"/>
        </w:rPr>
        <w:t>)；……，代表本联合体全权处理</w:t>
      </w:r>
      <w:r>
        <w:rPr>
          <w:rFonts w:hint="eastAsia" w:ascii="宋体" w:hAnsi="宋体" w:cs="宋体"/>
          <w:sz w:val="24"/>
        </w:rPr>
        <w:t>杭州市市场监督管理局2021年上半年食品生产环节监督抽检项目</w:t>
      </w:r>
      <w:r>
        <w:rPr>
          <w:rFonts w:hint="eastAsia" w:ascii="宋体" w:hAnsi="宋体" w:cs="宋体"/>
          <w:kern w:val="0"/>
          <w:sz w:val="24"/>
          <w:lang w:val="zh-CN"/>
        </w:rPr>
        <w:t>【编号：ZJZN-20951-SJ36】政府采购投标的一切事项，若中标则全权代表本联合体签订相关合同，并负责处理合同履行等事宜。</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本授权书有效期：自   年 月  日起至  年  月  日止。</w:t>
      </w:r>
    </w:p>
    <w:p>
      <w:pPr>
        <w:snapToGrid w:val="0"/>
        <w:spacing w:line="360" w:lineRule="auto"/>
        <w:rPr>
          <w:rFonts w:ascii="宋体" w:hAnsi="宋体" w:cs="宋体"/>
          <w:kern w:val="0"/>
          <w:sz w:val="24"/>
        </w:rPr>
      </w:pPr>
      <w:r>
        <w:rPr>
          <w:rFonts w:hint="eastAsia" w:ascii="宋体" w:hAnsi="宋体" w:cs="宋体"/>
          <w:kern w:val="0"/>
          <w:sz w:val="24"/>
          <w:lang w:val="zh-CN"/>
        </w:rPr>
        <w:t xml:space="preserve">    特此告知。</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单位：            （公章）         单位：          （公章）</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法定代表人：（签字或盖章）         法定代表人：（签字或盖章）</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日期：    年   月   日             日期：    年   月   日</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pacing w:line="360" w:lineRule="auto"/>
        <w:rPr>
          <w:rFonts w:ascii="宋体" w:hAnsi="宋体" w:cs="宋体"/>
          <w:sz w:val="28"/>
          <w:szCs w:val="28"/>
        </w:rPr>
      </w:pPr>
    </w:p>
    <w:p>
      <w:pPr>
        <w:spacing w:line="360" w:lineRule="auto"/>
        <w:rPr>
          <w:rFonts w:ascii="宋体" w:hAnsi="宋体" w:cs="宋体"/>
          <w:sz w:val="28"/>
          <w:szCs w:val="28"/>
        </w:rPr>
      </w:pPr>
    </w:p>
    <w:p>
      <w:pPr>
        <w:autoSpaceDE w:val="0"/>
        <w:autoSpaceDN w:val="0"/>
        <w:spacing w:line="360" w:lineRule="auto"/>
        <w:jc w:val="center"/>
        <w:rPr>
          <w:rFonts w:ascii="宋体" w:hAnsi="宋体" w:cs="宋体"/>
          <w:b/>
          <w:kern w:val="0"/>
          <w:sz w:val="24"/>
          <w:szCs w:val="24"/>
        </w:rPr>
      </w:pPr>
      <w:r>
        <w:rPr>
          <w:rFonts w:hint="eastAsia" w:ascii="宋体" w:hAnsi="宋体" w:cs="宋体"/>
          <w:b/>
          <w:bCs/>
          <w:sz w:val="30"/>
          <w:szCs w:val="30"/>
        </w:rPr>
        <w:br w:type="page"/>
      </w:r>
      <w:r>
        <w:rPr>
          <w:rFonts w:hint="eastAsia" w:ascii="宋体" w:hAnsi="宋体" w:cs="宋体"/>
          <w:b/>
          <w:kern w:val="0"/>
          <w:sz w:val="24"/>
          <w:szCs w:val="24"/>
        </w:rPr>
        <w:t>三、法定代表人及其授权代表的身份证</w:t>
      </w:r>
    </w:p>
    <w:p>
      <w:pPr>
        <w:pStyle w:val="150"/>
        <w:spacing w:line="360" w:lineRule="auto"/>
        <w:rPr>
          <w:rFonts w:hAnsi="宋体" w:cs="宋体"/>
          <w:bCs/>
          <w:sz w:val="24"/>
        </w:rPr>
      </w:pPr>
      <w:r>
        <w:rPr>
          <w:rFonts w:hint="eastAsia" w:hAnsi="宋体" w:cs="宋体"/>
          <w:bCs/>
          <w:sz w:val="24"/>
        </w:rPr>
        <w:t>法定代表人身份证件扫描件：</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spacing w:line="360" w:lineRule="auto"/>
              <w:rPr>
                <w:rFonts w:hAnsi="宋体" w:cs="宋体"/>
                <w:bCs/>
                <w:sz w:val="24"/>
              </w:rPr>
            </w:pPr>
            <w:r>
              <w:rPr>
                <w:rFonts w:hint="eastAsia" w:hAnsi="宋体" w:cs="宋体"/>
                <w:bCs/>
                <w:sz w:val="24"/>
              </w:rPr>
              <w:t>正面：                                 反面：</w:t>
            </w:r>
          </w:p>
          <w:p>
            <w:pPr>
              <w:pStyle w:val="150"/>
              <w:spacing w:line="360" w:lineRule="auto"/>
              <w:rPr>
                <w:rFonts w:hAnsi="宋体" w:cs="宋体"/>
                <w:bCs/>
                <w:sz w:val="24"/>
              </w:rPr>
            </w:pPr>
          </w:p>
        </w:tc>
      </w:tr>
    </w:tbl>
    <w:p>
      <w:pPr>
        <w:pStyle w:val="150"/>
        <w:spacing w:line="360" w:lineRule="auto"/>
        <w:rPr>
          <w:rFonts w:hAnsi="宋体" w:cs="宋体"/>
          <w:bCs/>
          <w:sz w:val="24"/>
        </w:rPr>
      </w:pPr>
      <w:r>
        <w:rPr>
          <w:rFonts w:hint="eastAsia" w:hAnsi="宋体" w:cs="宋体"/>
          <w:bCs/>
          <w:sz w:val="24"/>
        </w:rPr>
        <w:t>授权代表身份证件扫描件：</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0"/>
              <w:spacing w:line="360" w:lineRule="auto"/>
              <w:rPr>
                <w:rFonts w:hAnsi="宋体" w:cs="宋体"/>
                <w:bCs/>
                <w:sz w:val="24"/>
              </w:rPr>
            </w:pPr>
            <w:r>
              <w:rPr>
                <w:rFonts w:hint="eastAsia" w:hAnsi="宋体" w:cs="宋体"/>
                <w:bCs/>
                <w:sz w:val="24"/>
              </w:rPr>
              <w:t>正面：                                 反面：</w:t>
            </w:r>
          </w:p>
          <w:p>
            <w:pPr>
              <w:pStyle w:val="15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投标人名称(公章)：</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 xml:space="preserve">      日期：  年  月</w:t>
      </w:r>
    </w:p>
    <w:p>
      <w:pPr>
        <w:spacing w:line="360" w:lineRule="auto"/>
        <w:jc w:val="center"/>
        <w:rPr>
          <w:rFonts w:ascii="宋体" w:hAnsi="宋体" w:cs="宋体"/>
          <w:kern w:val="0"/>
          <w:sz w:val="24"/>
          <w:lang w:val="zh-CN"/>
        </w:rPr>
      </w:pPr>
    </w:p>
    <w:p>
      <w:pPr>
        <w:spacing w:line="360" w:lineRule="auto"/>
        <w:jc w:val="center"/>
        <w:rPr>
          <w:rFonts w:ascii="宋体" w:hAnsi="宋体" w:cs="宋体"/>
          <w:b/>
          <w:sz w:val="30"/>
          <w:szCs w:val="30"/>
        </w:rPr>
      </w:pPr>
    </w:p>
    <w:p>
      <w:pPr>
        <w:snapToGrid w:val="0"/>
        <w:spacing w:line="360" w:lineRule="auto"/>
        <w:jc w:val="center"/>
        <w:rPr>
          <w:rFonts w:ascii="宋体" w:hAnsi="宋体" w:cs="宋体"/>
          <w:b/>
          <w:kern w:val="0"/>
          <w:sz w:val="24"/>
          <w:szCs w:val="24"/>
        </w:rPr>
      </w:pPr>
      <w:r>
        <w:rPr>
          <w:rFonts w:hint="eastAsia" w:ascii="宋体" w:hAnsi="宋体" w:cs="宋体"/>
          <w:b/>
          <w:kern w:val="0"/>
          <w:sz w:val="24"/>
          <w:szCs w:val="24"/>
        </w:rPr>
        <w:t>四、上一年度资产负债表等财务报表资料文件</w:t>
      </w:r>
    </w:p>
    <w:p>
      <w:pPr>
        <w:spacing w:line="360" w:lineRule="auto"/>
        <w:rPr>
          <w:rFonts w:ascii="宋体" w:hAnsi="宋体" w:cs="宋体"/>
          <w:b/>
          <w:sz w:val="30"/>
          <w:szCs w:val="30"/>
        </w:rPr>
      </w:pPr>
    </w:p>
    <w:p>
      <w:pPr>
        <w:snapToGrid w:val="0"/>
        <w:spacing w:line="360" w:lineRule="auto"/>
        <w:ind w:right="480"/>
        <w:jc w:val="center"/>
        <w:rPr>
          <w:rFonts w:ascii="宋体" w:hAnsi="宋体" w:cs="宋体"/>
          <w:b/>
          <w:kern w:val="0"/>
          <w:sz w:val="32"/>
          <w:szCs w:val="32"/>
          <w:lang w:val="zh-CN"/>
        </w:rPr>
      </w:pPr>
    </w:p>
    <w:p>
      <w:pPr>
        <w:snapToGrid w:val="0"/>
        <w:spacing w:line="360" w:lineRule="auto"/>
        <w:jc w:val="center"/>
        <w:rPr>
          <w:rFonts w:ascii="宋体" w:hAnsi="宋体" w:cs="宋体"/>
          <w:b/>
          <w:kern w:val="0"/>
          <w:sz w:val="24"/>
          <w:szCs w:val="24"/>
        </w:rPr>
      </w:pPr>
      <w:r>
        <w:rPr>
          <w:rFonts w:hint="eastAsia" w:ascii="宋体" w:hAnsi="宋体" w:cs="宋体"/>
          <w:b/>
          <w:kern w:val="0"/>
          <w:sz w:val="24"/>
          <w:szCs w:val="24"/>
        </w:rPr>
        <w:t>五、具有履行合同所必需的设备和专业技术能力的承诺函</w:t>
      </w:r>
    </w:p>
    <w:p>
      <w:pPr>
        <w:snapToGrid w:val="0"/>
        <w:spacing w:line="360" w:lineRule="auto"/>
        <w:rPr>
          <w:rFonts w:ascii="宋体" w:hAnsi="宋体" w:cs="宋体"/>
          <w:sz w:val="24"/>
        </w:rPr>
      </w:pPr>
      <w:r>
        <w:rPr>
          <w:rFonts w:hint="eastAsia" w:ascii="宋体" w:hAnsi="宋体" w:cs="宋体"/>
          <w:sz w:val="24"/>
        </w:rPr>
        <w:t>杭州市市场监督管理局、浙江中诺招标代理有限公司：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我方郑重承诺，我方具有履行杭州市市场监督管理局2021年上半年食品生产环节监督抽检项目【招标编号：</w:t>
      </w:r>
      <w:r>
        <w:rPr>
          <w:rFonts w:hint="eastAsia" w:ascii="宋体" w:hAnsi="宋体" w:cs="宋体"/>
          <w:sz w:val="24"/>
          <w:lang w:eastAsia="zh-CN"/>
        </w:rPr>
        <w:t>ZJZN-20951-SJ36</w:t>
      </w:r>
      <w:r>
        <w:rPr>
          <w:rFonts w:hint="eastAsia" w:ascii="宋体" w:hAnsi="宋体" w:cs="宋体"/>
          <w:sz w:val="24"/>
        </w:rPr>
        <w:t>】合同所必需的设备和专业技术能力。如中标，我方将保证合同顺利履行。</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18"/>
        <w:rPr>
          <w:rFonts w:hAnsi="宋体" w:cs="宋体"/>
          <w:kern w:val="0"/>
        </w:rPr>
      </w:pPr>
    </w:p>
    <w:p>
      <w:pPr>
        <w:snapToGrid w:val="0"/>
        <w:spacing w:line="360" w:lineRule="auto"/>
        <w:jc w:val="center"/>
        <w:rPr>
          <w:rFonts w:ascii="宋体" w:hAnsi="宋体" w:cs="宋体"/>
          <w:b/>
          <w:kern w:val="0"/>
          <w:sz w:val="24"/>
          <w:szCs w:val="24"/>
          <w:lang w:val="zh-CN"/>
        </w:rPr>
      </w:pPr>
      <w:r>
        <w:rPr>
          <w:rFonts w:hint="eastAsia" w:ascii="宋体" w:hAnsi="宋体" w:cs="宋体"/>
          <w:b/>
          <w:kern w:val="0"/>
          <w:sz w:val="24"/>
          <w:szCs w:val="24"/>
        </w:rPr>
        <w:t>六、有依法缴纳税收和社会保障资金的良好记录的证明材料</w:t>
      </w:r>
    </w:p>
    <w:p>
      <w:pPr>
        <w:snapToGrid w:val="0"/>
        <w:spacing w:line="360" w:lineRule="auto"/>
        <w:ind w:firstLine="480" w:firstLineChars="200"/>
        <w:rPr>
          <w:rFonts w:ascii="宋体" w:hAnsi="宋体" w:cs="宋体"/>
          <w:kern w:val="0"/>
          <w:sz w:val="24"/>
          <w:lang w:val="zh-CN"/>
        </w:rPr>
      </w:pPr>
    </w:p>
    <w:p>
      <w:pPr>
        <w:spacing w:line="360" w:lineRule="auto"/>
        <w:jc w:val="center"/>
        <w:rPr>
          <w:rFonts w:ascii="宋体" w:hAnsi="宋体" w:cs="宋体"/>
          <w:b/>
          <w:kern w:val="0"/>
          <w:sz w:val="32"/>
          <w:szCs w:val="32"/>
        </w:rPr>
      </w:pPr>
    </w:p>
    <w:p>
      <w:pPr>
        <w:snapToGrid w:val="0"/>
        <w:spacing w:line="360" w:lineRule="auto"/>
        <w:jc w:val="center"/>
        <w:rPr>
          <w:rFonts w:ascii="宋体" w:hAnsi="宋体" w:cs="宋体"/>
          <w:b/>
          <w:kern w:val="0"/>
          <w:sz w:val="24"/>
          <w:szCs w:val="24"/>
          <w:lang w:val="zh-CN"/>
        </w:rPr>
      </w:pPr>
      <w:r>
        <w:rPr>
          <w:rFonts w:hint="eastAsia" w:ascii="宋体" w:hAnsi="宋体" w:cs="宋体"/>
          <w:b/>
          <w:kern w:val="0"/>
          <w:sz w:val="24"/>
          <w:szCs w:val="24"/>
        </w:rPr>
        <w:t>七、参加政府采购活动前三年内，在经营活动中没有重大违法记录的声明</w:t>
      </w:r>
    </w:p>
    <w:p>
      <w:pPr>
        <w:snapToGrid w:val="0"/>
        <w:spacing w:line="360" w:lineRule="auto"/>
        <w:rPr>
          <w:rFonts w:ascii="宋体" w:hAnsi="宋体" w:cs="宋体"/>
          <w:kern w:val="0"/>
          <w:sz w:val="24"/>
        </w:rPr>
      </w:pPr>
      <w:r>
        <w:rPr>
          <w:rFonts w:hint="eastAsia" w:ascii="宋体" w:hAnsi="宋体" w:cs="宋体"/>
          <w:sz w:val="24"/>
        </w:rPr>
        <w:t>杭州市市场监督管理局、浙江中诺招标代理有限公司</w:t>
      </w:r>
      <w:r>
        <w:rPr>
          <w:rFonts w:hint="eastAsia" w:ascii="宋体" w:hAnsi="宋体" w:cs="宋体"/>
          <w:kern w:val="0"/>
          <w:sz w:val="24"/>
          <w:lang w:val="zh-CN"/>
        </w:rPr>
        <w:t>：</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声明投标截止时间前三年，在</w:t>
      </w:r>
      <w:r>
        <w:rPr>
          <w:rFonts w:hint="eastAsia" w:ascii="宋体" w:hAnsi="宋体" w:cs="宋体"/>
          <w:kern w:val="0"/>
          <w:sz w:val="24"/>
        </w:rPr>
        <w:t>经营活动中</w:t>
      </w:r>
      <w:r>
        <w:rPr>
          <w:rFonts w:hint="eastAsia" w:ascii="宋体" w:hAnsi="宋体" w:cs="宋体"/>
          <w:sz w:val="24"/>
        </w:rPr>
        <w:t xml:space="preserve">没有重大违法记录。 </w:t>
      </w:r>
    </w:p>
    <w:p>
      <w:pPr>
        <w:spacing w:line="360" w:lineRule="auto"/>
        <w:ind w:firstLine="480" w:firstLineChars="200"/>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firstLine="5160" w:firstLineChars="2150"/>
        <w:rPr>
          <w:rFonts w:ascii="宋体" w:hAnsi="宋体" w:cs="宋体"/>
          <w:kern w:val="0"/>
          <w:sz w:val="24"/>
          <w:lang w:val="zh-CN"/>
        </w:rPr>
      </w:pPr>
    </w:p>
    <w:p>
      <w:pPr>
        <w:snapToGrid w:val="0"/>
        <w:spacing w:line="360" w:lineRule="auto"/>
        <w:ind w:firstLine="5160" w:firstLineChars="2150"/>
        <w:rPr>
          <w:rFonts w:ascii="宋体" w:hAnsi="宋体" w:cs="宋体"/>
          <w:kern w:val="0"/>
          <w:sz w:val="24"/>
          <w:lang w:val="zh-CN"/>
        </w:rPr>
      </w:pPr>
    </w:p>
    <w:p>
      <w:pPr>
        <w:snapToGrid w:val="0"/>
        <w:spacing w:line="360" w:lineRule="auto"/>
        <w:jc w:val="center"/>
        <w:rPr>
          <w:rFonts w:ascii="宋体" w:hAnsi="宋体" w:cs="宋体"/>
          <w:b/>
          <w:kern w:val="0"/>
          <w:sz w:val="24"/>
          <w:szCs w:val="24"/>
        </w:rPr>
      </w:pPr>
      <w:r>
        <w:rPr>
          <w:rFonts w:hint="eastAsia" w:ascii="宋体" w:hAnsi="宋体" w:cs="宋体"/>
          <w:b/>
          <w:kern w:val="0"/>
          <w:sz w:val="32"/>
          <w:szCs w:val="32"/>
        </w:rPr>
        <w:br w:type="page"/>
      </w:r>
      <w:r>
        <w:rPr>
          <w:rFonts w:hint="eastAsia" w:ascii="宋体" w:hAnsi="宋体" w:cs="宋体"/>
          <w:b/>
          <w:kern w:val="0"/>
          <w:sz w:val="24"/>
          <w:szCs w:val="24"/>
        </w:rPr>
        <w:t>八、具有良好商业信誉特别声明</w:t>
      </w:r>
    </w:p>
    <w:p>
      <w:pPr>
        <w:snapToGrid w:val="0"/>
        <w:spacing w:line="360" w:lineRule="auto"/>
        <w:rPr>
          <w:rFonts w:ascii="宋体" w:hAnsi="宋体" w:cs="宋体"/>
          <w:kern w:val="0"/>
          <w:sz w:val="24"/>
        </w:rPr>
      </w:pPr>
      <w:r>
        <w:rPr>
          <w:rFonts w:hint="eastAsia" w:ascii="宋体" w:hAnsi="宋体" w:cs="宋体"/>
          <w:sz w:val="24"/>
        </w:rPr>
        <w:t>杭州市市场监督管理局、浙江中诺招标代理有限公司</w:t>
      </w:r>
      <w:r>
        <w:rPr>
          <w:rFonts w:hint="eastAsia" w:ascii="宋体" w:hAnsi="宋体" w:cs="宋体"/>
          <w:kern w:val="0"/>
          <w:sz w:val="24"/>
          <w:lang w:val="zh-CN"/>
        </w:rPr>
        <w:t>：</w:t>
      </w:r>
    </w:p>
    <w:p>
      <w:pPr>
        <w:snapToGrid w:val="0"/>
        <w:spacing w:line="360" w:lineRule="auto"/>
        <w:ind w:firstLine="480"/>
        <w:rPr>
          <w:rFonts w:ascii="宋体" w:hAnsi="宋体" w:cs="宋体"/>
          <w:kern w:val="0"/>
          <w:sz w:val="24"/>
          <w:lang w:val="zh-CN"/>
        </w:rPr>
      </w:pPr>
      <w:r>
        <w:rPr>
          <w:rFonts w:hint="eastAsia" w:ascii="宋体" w:hAnsi="宋体" w:cs="宋体"/>
          <w:sz w:val="24"/>
        </w:rPr>
        <w:t>截至投标截止时间，我方具有良好的商业信誉，不存在下列情形（包括但不限于）。否则，我方将承担在资格审查时不被通过的后果。</w:t>
      </w:r>
    </w:p>
    <w:p>
      <w:pPr>
        <w:pStyle w:val="73"/>
        <w:spacing w:before="0"/>
        <w:ind w:firstLine="495" w:firstLineChars="0"/>
        <w:rPr>
          <w:rFonts w:ascii="宋体" w:hAnsi="宋体" w:cs="宋体"/>
        </w:rPr>
      </w:pPr>
      <w:r>
        <w:rPr>
          <w:rFonts w:hint="eastAsia" w:ascii="宋体" w:hAnsi="宋体" w:cs="宋体"/>
        </w:rPr>
        <w:t>1</w:t>
      </w:r>
      <w:r>
        <w:rPr>
          <w:rFonts w:hint="eastAsia" w:ascii="宋体" w:hAnsi="宋体" w:cs="宋体"/>
          <w:b/>
          <w:szCs w:val="24"/>
        </w:rPr>
        <w:t>、</w:t>
      </w:r>
      <w:r>
        <w:rPr>
          <w:rFonts w:hint="eastAsia" w:ascii="宋体" w:hAnsi="宋体" w:cs="宋体"/>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宋体" w:hAnsi="宋体" w:cs="宋体"/>
          <w:sz w:val="24"/>
        </w:rPr>
      </w:pPr>
      <w:r>
        <w:rPr>
          <w:rFonts w:hint="eastAsia" w:ascii="宋体" w:hAnsi="宋体" w:cs="宋体"/>
          <w:sz w:val="24"/>
        </w:rPr>
        <w:t xml:space="preserve">2、截至投标截止时间，因违反《浙江省政府采购供应商注册及诚信管理暂行办法》而被列入‘黑名单’，在处罚有效期内。 </w:t>
      </w:r>
    </w:p>
    <w:p>
      <w:pPr>
        <w:spacing w:line="360" w:lineRule="auto"/>
        <w:ind w:firstLine="480" w:firstLineChars="200"/>
        <w:rPr>
          <w:rFonts w:ascii="宋体" w:hAnsi="宋体" w:cs="宋体"/>
          <w:sz w:val="24"/>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tabs>
          <w:tab w:val="left" w:pos="540"/>
        </w:tabs>
        <w:snapToGrid w:val="0"/>
        <w:spacing w:line="360" w:lineRule="auto"/>
        <w:ind w:firstLine="510"/>
        <w:rPr>
          <w:rFonts w:ascii="宋体" w:hAnsi="宋体" w:cs="宋体"/>
          <w:sz w:val="24"/>
        </w:rPr>
      </w:pPr>
    </w:p>
    <w:p>
      <w:pPr>
        <w:snapToGrid w:val="0"/>
        <w:spacing w:line="360" w:lineRule="auto"/>
        <w:ind w:firstLine="5160" w:firstLineChars="2150"/>
        <w:rPr>
          <w:rFonts w:ascii="宋体" w:hAnsi="宋体" w:cs="宋体"/>
          <w:kern w:val="0"/>
          <w:sz w:val="24"/>
        </w:rPr>
      </w:pPr>
    </w:p>
    <w:p>
      <w:pPr>
        <w:spacing w:line="360" w:lineRule="auto"/>
        <w:jc w:val="center"/>
        <w:rPr>
          <w:rFonts w:ascii="宋体" w:hAnsi="宋体" w:cs="宋体"/>
          <w:b/>
          <w:sz w:val="30"/>
          <w:szCs w:val="30"/>
        </w:rPr>
      </w:pPr>
    </w:p>
    <w:p>
      <w:pPr>
        <w:spacing w:line="360" w:lineRule="auto"/>
        <w:jc w:val="center"/>
        <w:rPr>
          <w:rFonts w:ascii="宋体" w:hAnsi="宋体" w:cs="宋体"/>
          <w:b/>
          <w:sz w:val="32"/>
          <w:szCs w:val="32"/>
        </w:rPr>
      </w:pPr>
    </w:p>
    <w:p>
      <w:pPr>
        <w:spacing w:line="360" w:lineRule="auto"/>
        <w:jc w:val="center"/>
        <w:rPr>
          <w:rFonts w:ascii="宋体" w:hAnsi="宋体" w:cs="宋体"/>
          <w:b/>
          <w:kern w:val="0"/>
          <w:sz w:val="24"/>
          <w:szCs w:val="24"/>
        </w:rPr>
      </w:pPr>
      <w:r>
        <w:rPr>
          <w:rFonts w:hint="eastAsia" w:ascii="宋体" w:hAnsi="宋体" w:cs="宋体"/>
          <w:b/>
          <w:kern w:val="0"/>
          <w:sz w:val="24"/>
          <w:szCs w:val="24"/>
        </w:rPr>
        <w:t>九、特定资格条件要求的资质文件</w:t>
      </w:r>
    </w:p>
    <w:p>
      <w:pPr>
        <w:widowControl/>
        <w:spacing w:line="360" w:lineRule="auto"/>
        <w:ind w:firstLine="480" w:firstLineChars="200"/>
        <w:jc w:val="left"/>
        <w:rPr>
          <w:rFonts w:ascii="宋体" w:hAnsi="宋体" w:cs="宋体"/>
          <w:sz w:val="24"/>
        </w:rPr>
      </w:pPr>
      <w:r>
        <w:rPr>
          <w:rFonts w:hint="eastAsia" w:ascii="宋体" w:hAnsi="宋体" w:cs="宋体"/>
          <w:sz w:val="24"/>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ascii="宋体" w:hAnsi="宋体" w:cs="宋体"/>
          <w:sz w:val="24"/>
        </w:rPr>
      </w:pPr>
    </w:p>
    <w:p>
      <w:pPr>
        <w:spacing w:line="360" w:lineRule="auto"/>
        <w:ind w:firstLine="480" w:firstLineChars="200"/>
        <w:rPr>
          <w:rFonts w:ascii="宋体" w:hAnsi="宋体" w:cs="宋体"/>
          <w:sz w:val="24"/>
        </w:rPr>
      </w:pPr>
    </w:p>
    <w:p>
      <w:pPr>
        <w:spacing w:line="360" w:lineRule="auto"/>
        <w:jc w:val="left"/>
        <w:rPr>
          <w:rFonts w:ascii="宋体" w:hAnsi="宋体" w:cs="宋体"/>
          <w:b/>
          <w:kern w:val="0"/>
          <w:sz w:val="24"/>
          <w:szCs w:val="24"/>
        </w:rPr>
      </w:pPr>
      <w:r>
        <w:rPr>
          <w:rFonts w:hint="eastAsia" w:ascii="宋体" w:hAnsi="宋体" w:cs="宋体"/>
          <w:b/>
          <w:kern w:val="0"/>
          <w:sz w:val="24"/>
          <w:szCs w:val="24"/>
        </w:rPr>
        <w:t>附：法定代表人授权书（如法定代表人直接参加投标并对相应文件签字的，只需提供其身份证复印件正反面；如以联合体形式参加政府采购活动的，按招标文件有关格式范例提供联合体投标授权书）</w:t>
      </w:r>
    </w:p>
    <w:p>
      <w:pPr>
        <w:spacing w:line="360" w:lineRule="auto"/>
        <w:jc w:val="left"/>
        <w:rPr>
          <w:rFonts w:ascii="宋体" w:hAnsi="宋体" w:cs="宋体"/>
          <w:b/>
          <w:kern w:val="0"/>
          <w:sz w:val="24"/>
          <w:szCs w:val="24"/>
        </w:rPr>
        <w:sectPr>
          <w:pgSz w:w="11850" w:h="16783"/>
          <w:pgMar w:top="1021" w:right="1418" w:bottom="249" w:left="964" w:header="851" w:footer="992" w:gutter="0"/>
          <w:cols w:space="720" w:num="1"/>
          <w:titlePg/>
          <w:docGrid w:linePitch="312" w:charSpace="0"/>
        </w:sectPr>
      </w:pPr>
    </w:p>
    <w:p>
      <w:pPr>
        <w:pStyle w:val="2"/>
      </w:pP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jc w:val="center"/>
        <w:rPr>
          <w:rFonts w:cs="宋体" w:asciiTheme="minorEastAsia" w:hAnsiTheme="minorEastAsia" w:eastAsiaTheme="minorEastAsia"/>
          <w:b/>
          <w:kern w:val="0"/>
          <w:sz w:val="24"/>
          <w:szCs w:val="24"/>
        </w:rPr>
      </w:pPr>
      <w:r>
        <w:rPr>
          <w:rFonts w:hint="eastAsia" w:asciiTheme="minorEastAsia" w:hAnsiTheme="minorEastAsia" w:eastAsiaTheme="minorEastAsia"/>
          <w:sz w:val="24"/>
          <w:szCs w:val="24"/>
          <w:lang w:val="zh-CN"/>
        </w:rPr>
        <w:t>▲</w:t>
      </w:r>
      <w:r>
        <w:rPr>
          <w:rFonts w:hint="eastAsia" w:cs="宋体" w:asciiTheme="minorEastAsia" w:hAnsiTheme="minorEastAsia" w:eastAsiaTheme="minorEastAsia"/>
          <w:b/>
          <w:kern w:val="0"/>
          <w:sz w:val="24"/>
          <w:szCs w:val="24"/>
        </w:rPr>
        <w:t>商务报价部分</w:t>
      </w:r>
    </w:p>
    <w:p>
      <w:pPr>
        <w:spacing w:line="360" w:lineRule="auto"/>
        <w:jc w:val="center"/>
        <w:rPr>
          <w:rFonts w:cs="宋体" w:asciiTheme="minorEastAsia" w:hAnsiTheme="minorEastAsia" w:eastAsiaTheme="minorEastAsia"/>
          <w:b/>
          <w:kern w:val="0"/>
          <w:sz w:val="24"/>
          <w:szCs w:val="24"/>
        </w:rPr>
      </w:pPr>
    </w:p>
    <w:p>
      <w:pPr>
        <w:spacing w:line="360" w:lineRule="auto"/>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目录</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（1）投标响应函……………………………………………………（页码）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（2）投标（开标）一览表…………………………………………（页码）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（3）报价明细清单…………………………………………………（页码）</w:t>
      </w:r>
    </w:p>
    <w:p>
      <w:pPr>
        <w:adjustRightInd w:val="0"/>
        <w:snapToGrid w:val="0"/>
        <w:spacing w:line="360" w:lineRule="auto"/>
        <w:jc w:val="center"/>
        <w:rPr>
          <w:rFonts w:asciiTheme="minorEastAsia" w:hAnsiTheme="minorEastAsia" w:eastAsiaTheme="minorEastAsia"/>
          <w:sz w:val="24"/>
          <w:szCs w:val="24"/>
        </w:rPr>
      </w:pPr>
    </w:p>
    <w:p>
      <w:pPr>
        <w:adjustRightInd w:val="0"/>
        <w:snapToGrid w:val="0"/>
        <w:spacing w:line="360" w:lineRule="auto"/>
        <w:rPr>
          <w:rFonts w:asciiTheme="minorEastAsia" w:hAnsiTheme="minorEastAsia" w:eastAsiaTheme="minorEastAsia"/>
          <w:sz w:val="24"/>
          <w:szCs w:val="24"/>
        </w:rPr>
        <w:sectPr>
          <w:pgSz w:w="11850" w:h="16783"/>
          <w:pgMar w:top="1021" w:right="1418" w:bottom="249" w:left="964" w:header="851" w:footer="992" w:gutter="0"/>
          <w:cols w:space="720" w:num="1"/>
          <w:titlePg/>
          <w:docGrid w:linePitch="312" w:charSpace="0"/>
        </w:sectPr>
      </w:pPr>
    </w:p>
    <w:p>
      <w:pPr>
        <w:adjustRightInd w:val="0"/>
        <w:snapToGrid w:val="0"/>
        <w:spacing w:line="360" w:lineRule="auto"/>
        <w:rPr>
          <w:rFonts w:asciiTheme="minorEastAsia" w:hAnsiTheme="minorEastAsia" w:eastAsiaTheme="minorEastAsia"/>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kern w:val="0"/>
          <w:sz w:val="24"/>
          <w:szCs w:val="24"/>
        </w:rPr>
        <w:t>一、投标响应</w:t>
      </w:r>
      <w:r>
        <w:rPr>
          <w:rFonts w:hint="eastAsia" w:asciiTheme="minorEastAsia" w:hAnsiTheme="minorEastAsia" w:eastAsiaTheme="minorEastAsia"/>
          <w:b/>
          <w:sz w:val="24"/>
          <w:szCs w:val="24"/>
        </w:rPr>
        <w:t>函</w:t>
      </w:r>
    </w:p>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杭州市市场监督管理局、浙江中诺招标代理有限公司：</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(投标人全称)授权(全权代表姓名)(职务、职称)为全权代表，参加贵方组织的</w:t>
      </w:r>
      <w:bookmarkStart w:id="94" w:name="OLE_LINK2"/>
      <w:bookmarkStart w:id="95" w:name="OLE_LINK3"/>
      <w:r>
        <w:rPr>
          <w:rFonts w:hint="eastAsia" w:asciiTheme="minorEastAsia" w:hAnsiTheme="minorEastAsia" w:eastAsiaTheme="minorEastAsia"/>
          <w:sz w:val="24"/>
          <w:szCs w:val="24"/>
        </w:rPr>
        <w:t>杭州市市场监督管理局2021年上半年食品生产环节监督抽检项目(招标编号：</w:t>
      </w:r>
      <w:r>
        <w:rPr>
          <w:rFonts w:hint="eastAsia" w:asciiTheme="minorEastAsia" w:hAnsiTheme="minorEastAsia" w:eastAsiaTheme="minorEastAsia"/>
          <w:sz w:val="24"/>
          <w:szCs w:val="24"/>
          <w:lang w:eastAsia="zh-CN"/>
        </w:rPr>
        <w:t>ZJZN-20951-SJ36</w:t>
      </w:r>
      <w:r>
        <w:rPr>
          <w:rFonts w:hint="eastAsia" w:asciiTheme="minorEastAsia" w:hAnsiTheme="minorEastAsia" w:eastAsiaTheme="minorEastAsia"/>
          <w:sz w:val="24"/>
          <w:szCs w:val="24"/>
        </w:rPr>
        <w:t>)</w:t>
      </w:r>
      <w:bookmarkEnd w:id="94"/>
      <w:bookmarkEnd w:id="95"/>
      <w:r>
        <w:rPr>
          <w:rFonts w:hint="eastAsia" w:asciiTheme="minorEastAsia" w:hAnsiTheme="minorEastAsia" w:eastAsiaTheme="minorEastAsia"/>
          <w:sz w:val="24"/>
          <w:szCs w:val="24"/>
        </w:rPr>
        <w:t>招标的有关活动，并对此项目进行投标。为此：</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1、我方同意在投标人</w:t>
      </w:r>
      <w:r>
        <w:rPr>
          <w:rFonts w:hint="eastAsia" w:asciiTheme="minorEastAsia" w:hAnsiTheme="minorEastAsia" w:eastAsiaTheme="minorEastAsia"/>
          <w:kern w:val="44"/>
          <w:sz w:val="24"/>
          <w:szCs w:val="24"/>
        </w:rPr>
        <w:t>编制和提交采购响应文件须知</w:t>
      </w:r>
      <w:r>
        <w:rPr>
          <w:rFonts w:hint="eastAsia" w:asciiTheme="minorEastAsia" w:hAnsiTheme="minorEastAsia" w:eastAsiaTheme="minorEastAsia"/>
          <w:sz w:val="24"/>
          <w:szCs w:val="24"/>
        </w:rPr>
        <w:t>规定的开标日期起遵守本投标书中的承诺且在投标有效期满之前均具有约束力。</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2、我方承诺已经具备《中华人民共和国政府采购法》中规定的参加政府采购活动的供应商应当具备的条件：</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(1)具有独立承担民事责任的能力；</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(2)遵守国家法律、行政法规，具有良好的信誉和商业道德；</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(3)具有履行合同的能力和良好的履行合同记录；</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(4)良好的资金、财务状况；</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(5)产品及生产所需装备符合中国政府规定的相应技术标准和环保标准；</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(6)没有违反政府采购法规、政策的记录；</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(7)没有发生重大经济纠纷和走私犯罪记录。</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3、提供</w:t>
      </w:r>
      <w:r>
        <w:rPr>
          <w:rFonts w:hint="eastAsia" w:asciiTheme="minorEastAsia" w:hAnsiTheme="minorEastAsia" w:eastAsiaTheme="minorEastAsia"/>
          <w:kern w:val="44"/>
          <w:sz w:val="24"/>
          <w:szCs w:val="24"/>
        </w:rPr>
        <w:t>编制和提交采购响应文件须知</w:t>
      </w:r>
      <w:r>
        <w:rPr>
          <w:rFonts w:hint="eastAsia" w:asciiTheme="minorEastAsia" w:hAnsiTheme="minorEastAsia" w:eastAsiaTheme="minorEastAsia"/>
          <w:sz w:val="24"/>
          <w:szCs w:val="24"/>
        </w:rPr>
        <w:t>规定的全部投标文件，包括</w:t>
      </w:r>
      <w:r>
        <w:rPr>
          <w:rFonts w:hint="eastAsia" w:ascii="宋体" w:hAnsi="宋体"/>
          <w:sz w:val="24"/>
          <w:szCs w:val="24"/>
          <w:u w:val="single"/>
        </w:rPr>
        <w:t>电子投标文件、</w:t>
      </w:r>
      <w:r>
        <w:rPr>
          <w:rFonts w:hint="eastAsia" w:ascii="宋体" w:hAnsi="宋体"/>
          <w:sz w:val="24"/>
          <w:szCs w:val="24"/>
          <w:u w:val="single"/>
        </w:rPr>
        <w:fldChar w:fldCharType="begin">
          <w:ffData>
            <w:name w:val="CheckBox1"/>
            <w:enabled/>
            <w:calcOnExit w:val="0"/>
            <w:checkBox>
              <w:sizeAuto/>
              <w:default w:val="0"/>
              <w:checked w:val="0"/>
            </w:checkBox>
          </w:ffData>
        </w:fldChar>
      </w:r>
      <w:bookmarkStart w:id="96" w:name="CheckBox1"/>
      <w:r>
        <w:rPr>
          <w:rFonts w:hint="eastAsia" w:ascii="宋体" w:hAnsi="宋体"/>
          <w:sz w:val="24"/>
          <w:szCs w:val="24"/>
          <w:u w:val="single"/>
        </w:rPr>
        <w:instrText xml:space="preserve">FORMCHECKBOX</w:instrText>
      </w:r>
      <w:r>
        <w:rPr>
          <w:rFonts w:hint="eastAsia" w:ascii="宋体" w:hAnsi="宋体"/>
          <w:sz w:val="24"/>
          <w:szCs w:val="24"/>
          <w:u w:val="single"/>
        </w:rPr>
        <w:fldChar w:fldCharType="separate"/>
      </w:r>
      <w:r>
        <w:rPr>
          <w:rFonts w:hint="eastAsia" w:ascii="宋体" w:hAnsi="宋体"/>
          <w:sz w:val="24"/>
          <w:szCs w:val="24"/>
          <w:u w:val="single"/>
        </w:rPr>
        <w:fldChar w:fldCharType="end"/>
      </w:r>
      <w:bookmarkEnd w:id="96"/>
      <w:r>
        <w:rPr>
          <w:rFonts w:hint="eastAsia" w:ascii="宋体" w:hAnsi="宋体"/>
          <w:sz w:val="24"/>
          <w:szCs w:val="24"/>
          <w:u w:val="single"/>
        </w:rPr>
        <w:t>以介质存储的数据电文形式的备份投标文件</w:t>
      </w:r>
      <w:r>
        <w:rPr>
          <w:rFonts w:hint="eastAsia" w:asciiTheme="minorEastAsia" w:hAnsiTheme="minorEastAsia" w:eastAsiaTheme="minorEastAsia"/>
          <w:sz w:val="24"/>
          <w:szCs w:val="24"/>
        </w:rPr>
        <w:t>。具体内容为：</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(1)投标(开标)一览表及投标报价明细清单；</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(2)投标</w:t>
      </w:r>
      <w:r>
        <w:rPr>
          <w:rFonts w:hint="eastAsia" w:asciiTheme="minorEastAsia" w:hAnsiTheme="minorEastAsia" w:eastAsiaTheme="minorEastAsia"/>
          <w:kern w:val="0"/>
          <w:sz w:val="24"/>
          <w:szCs w:val="24"/>
          <w:lang w:val="zh-CN"/>
        </w:rPr>
        <w:t>技术文件和</w:t>
      </w:r>
      <w:r>
        <w:rPr>
          <w:rFonts w:hint="eastAsia" w:asciiTheme="minorEastAsia" w:hAnsiTheme="minorEastAsia" w:eastAsiaTheme="minorEastAsia"/>
          <w:sz w:val="24"/>
          <w:szCs w:val="24"/>
          <w:lang w:val="zh-CN"/>
        </w:rPr>
        <w:t>商务文件</w:t>
      </w:r>
      <w:r>
        <w:rPr>
          <w:rFonts w:hint="eastAsia" w:asciiTheme="minorEastAsia" w:hAnsiTheme="minorEastAsia" w:eastAsiaTheme="minorEastAsia"/>
          <w:sz w:val="24"/>
          <w:szCs w:val="24"/>
        </w:rPr>
        <w:t>；</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kern w:val="44"/>
          <w:sz w:val="24"/>
          <w:szCs w:val="24"/>
        </w:rPr>
        <w:t>编制和提交采购响应文件须知</w:t>
      </w:r>
      <w:r>
        <w:rPr>
          <w:rFonts w:hint="eastAsia" w:asciiTheme="minorEastAsia" w:hAnsiTheme="minorEastAsia" w:eastAsiaTheme="minorEastAsia"/>
          <w:sz w:val="24"/>
          <w:szCs w:val="24"/>
        </w:rPr>
        <w:t>要求投标人提交的全部文件；</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(4)由</w:t>
      </w:r>
      <w:r>
        <w:rPr>
          <w:rFonts w:hint="eastAsia" w:asciiTheme="minorEastAsia" w:hAnsiTheme="minorEastAsia" w:eastAsiaTheme="minorEastAsia"/>
          <w:sz w:val="24"/>
          <w:szCs w:val="24"/>
          <w:u w:val="single"/>
        </w:rPr>
        <w:t xml:space="preserve"> / </w:t>
      </w:r>
      <w:r>
        <w:rPr>
          <w:rFonts w:hint="eastAsia" w:asciiTheme="minorEastAsia" w:hAnsiTheme="minorEastAsia" w:eastAsiaTheme="minorEastAsia"/>
          <w:sz w:val="24"/>
          <w:szCs w:val="24"/>
        </w:rPr>
        <w:t>银行出具的金额为</w:t>
      </w:r>
      <w:r>
        <w:rPr>
          <w:rFonts w:hint="eastAsia" w:asciiTheme="minorEastAsia" w:hAnsiTheme="minorEastAsia" w:eastAsiaTheme="minorEastAsia"/>
          <w:sz w:val="24"/>
          <w:szCs w:val="24"/>
          <w:u w:val="single"/>
        </w:rPr>
        <w:t xml:space="preserve"> / </w:t>
      </w:r>
      <w:r>
        <w:rPr>
          <w:rFonts w:hint="eastAsia" w:asciiTheme="minorEastAsia" w:hAnsiTheme="minorEastAsia" w:eastAsiaTheme="minorEastAsia"/>
          <w:sz w:val="24"/>
          <w:szCs w:val="24"/>
        </w:rPr>
        <w:t>的投标保证金；</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(5)按招标文件要求提供和交付的货物和服务的投标报价详见投标(开标)一览表；</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(6)保证忠实地执行双方所签订的合同，并承担合同规定的责任和义务；</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(7)保证遵守招标文件中的其他有关规定。</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4、如果在开标后规定的投标有效期内撤回投标，我方的投标保证金可被贵方没收。</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5、我方完全理解贵方不一定要接受最低价的投标。</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6、我方愿意向贵方提供任何与该项投标有关的数据、情况和技术资料。若贵方需要，我方愿意提供我方作出的一切承诺的证明材料。</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7、我方已详细审核全部招标文件，包括招标文件修改书(如果有)、参考资料及有关附件，确认无误。</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a)提供虚假材料谋取中标、成交的；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b)采取不正当手段诋毁、排挤其他供应商的；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c)与采购人、其他供应商或者采购代理机构恶意串通的；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d)向采购人、采购代理机构行贿或者提供其他不正当利益的；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e)在招标采购过程中与采购人进行协商谈判的；</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f)拒绝有关部门监督检查或提供虚假情况的。</w:t>
      </w:r>
    </w:p>
    <w:p>
      <w:pPr>
        <w:adjustRightInd w:val="0"/>
        <w:snapToGrid w:val="0"/>
        <w:spacing w:line="360" w:lineRule="auto"/>
        <w:ind w:left="420" w:left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供应商有前款第a)至e)项情形之一的，中标、成交无效。</w:t>
      </w:r>
    </w:p>
    <w:p>
      <w:pPr>
        <w:adjustRightInd w:val="0"/>
        <w:snapToGrid w:val="0"/>
        <w:spacing w:line="360" w:lineRule="auto"/>
        <w:ind w:left="420" w:leftChars="200" w:firstLine="3240" w:firstLineChars="135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 xml:space="preserve">法定代表人签章：  </w:t>
      </w:r>
      <w:r>
        <w:rPr>
          <w:rFonts w:hint="eastAsia" w:asciiTheme="minorEastAsia" w:hAnsiTheme="minorEastAsia" w:eastAsiaTheme="minorEastAsia"/>
          <w:kern w:val="0"/>
          <w:sz w:val="24"/>
          <w:szCs w:val="24"/>
        </w:rPr>
        <w:tab/>
      </w:r>
    </w:p>
    <w:p>
      <w:pPr>
        <w:adjustRightInd w:val="0"/>
        <w:snapToGrid w:val="0"/>
        <w:spacing w:line="360" w:lineRule="auto"/>
        <w:ind w:left="420" w:leftChars="200" w:firstLine="3240" w:firstLineChars="1350"/>
        <w:rPr>
          <w:rFonts w:asciiTheme="minorEastAsia" w:hAnsiTheme="minorEastAsia" w:eastAsiaTheme="minorEastAsia"/>
          <w:kern w:val="0"/>
          <w:sz w:val="24"/>
          <w:szCs w:val="24"/>
          <w:u w:val="single"/>
          <w:lang w:val="zh-CN"/>
        </w:rPr>
      </w:pPr>
      <w:r>
        <w:rPr>
          <w:rFonts w:hint="eastAsia" w:asciiTheme="minorEastAsia" w:hAnsiTheme="minorEastAsia" w:eastAsiaTheme="minorEastAsia"/>
          <w:kern w:val="0"/>
          <w:sz w:val="24"/>
          <w:szCs w:val="24"/>
          <w:lang w:val="zh-CN"/>
        </w:rPr>
        <w:t>授权委托人签字：</w:t>
      </w:r>
    </w:p>
    <w:p>
      <w:pPr>
        <w:adjustRightInd w:val="0"/>
        <w:snapToGrid w:val="0"/>
        <w:spacing w:line="360" w:lineRule="auto"/>
        <w:ind w:left="420" w:leftChars="200" w:firstLine="3240" w:firstLineChars="1350"/>
        <w:rPr>
          <w:rFonts w:asciiTheme="minorEastAsia" w:hAnsiTheme="minorEastAsia" w:eastAsiaTheme="minorEastAsia"/>
          <w:kern w:val="0"/>
          <w:sz w:val="24"/>
          <w:szCs w:val="24"/>
          <w:u w:val="single"/>
          <w:lang w:val="zh-CN"/>
        </w:rPr>
      </w:pPr>
      <w:r>
        <w:rPr>
          <w:rFonts w:hint="eastAsia" w:asciiTheme="minorEastAsia" w:hAnsiTheme="minorEastAsia" w:eastAsiaTheme="minorEastAsia"/>
          <w:kern w:val="0"/>
          <w:sz w:val="24"/>
          <w:szCs w:val="24"/>
          <w:lang w:val="zh-CN"/>
        </w:rPr>
        <w:t xml:space="preserve">公 司 盖 章：  </w:t>
      </w:r>
    </w:p>
    <w:p>
      <w:pPr>
        <w:adjustRightInd w:val="0"/>
        <w:snapToGrid w:val="0"/>
        <w:spacing w:line="360" w:lineRule="auto"/>
        <w:ind w:left="420" w:left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 xml:space="preserve">联系人：           联系电话： </w:t>
      </w:r>
    </w:p>
    <w:p>
      <w:pPr>
        <w:adjustRightInd w:val="0"/>
        <w:snapToGrid w:val="0"/>
        <w:spacing w:line="360" w:lineRule="auto"/>
        <w:ind w:left="420" w:left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联系地址：</w:t>
      </w:r>
    </w:p>
    <w:p>
      <w:pPr>
        <w:adjustRightInd w:val="0"/>
        <w:snapToGrid w:val="0"/>
        <w:spacing w:line="360" w:lineRule="auto"/>
        <w:ind w:left="420" w:left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邮政编码：         传真号码：</w:t>
      </w:r>
    </w:p>
    <w:p>
      <w:pPr>
        <w:adjustRightInd w:val="0"/>
        <w:snapToGrid w:val="0"/>
        <w:spacing w:line="360" w:lineRule="auto"/>
        <w:ind w:left="420" w:leftChars="200" w:firstLine="4" w:firstLineChars="2"/>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lang w:val="zh-CN"/>
        </w:rPr>
        <w:t>日期</w:t>
      </w:r>
      <w:r>
        <w:rPr>
          <w:rFonts w:hint="eastAsia"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lang w:val="zh-CN"/>
        </w:rPr>
        <w:t>年  月  日</w:t>
      </w:r>
    </w:p>
    <w:p>
      <w:pPr>
        <w:adjustRightInd w:val="0"/>
        <w:snapToGrid w:val="0"/>
        <w:spacing w:line="360" w:lineRule="auto"/>
        <w:rPr>
          <w:rFonts w:asciiTheme="minorEastAsia" w:hAnsiTheme="minorEastAsia" w:eastAsiaTheme="minorEastAsia"/>
          <w:b/>
          <w:kern w:val="0"/>
          <w:sz w:val="24"/>
          <w:szCs w:val="24"/>
          <w:lang w:val="zh-CN"/>
        </w:rPr>
      </w:pPr>
      <w:r>
        <w:rPr>
          <w:rFonts w:hint="eastAsia" w:asciiTheme="minorEastAsia" w:hAnsiTheme="minorEastAsia" w:eastAsiaTheme="minorEastAsia"/>
          <w:b/>
          <w:kern w:val="0"/>
          <w:sz w:val="24"/>
          <w:szCs w:val="24"/>
          <w:lang w:val="zh-CN"/>
        </w:rPr>
        <w:t>注：未按照本投标响应函要求填报的将被视为非实质性响应投标，从而可能导致该投标被拒绝。</w:t>
      </w:r>
    </w:p>
    <w:p>
      <w:pPr>
        <w:adjustRightInd w:val="0"/>
        <w:snapToGrid w:val="0"/>
        <w:spacing w:line="360" w:lineRule="auto"/>
        <w:rPr>
          <w:rFonts w:asciiTheme="minorEastAsia" w:hAnsiTheme="minorEastAsia" w:eastAsiaTheme="minorEastAsia"/>
          <w:kern w:val="0"/>
          <w:sz w:val="24"/>
          <w:szCs w:val="24"/>
          <w:lang w:val="zh-CN"/>
        </w:rPr>
      </w:pPr>
    </w:p>
    <w:p>
      <w:pPr>
        <w:adjustRightInd w:val="0"/>
        <w:snapToGrid w:val="0"/>
        <w:spacing w:line="360" w:lineRule="auto"/>
        <w:rPr>
          <w:rFonts w:asciiTheme="minorEastAsia" w:hAnsiTheme="minorEastAsia" w:eastAsiaTheme="minorEastAsia"/>
          <w:sz w:val="24"/>
          <w:szCs w:val="24"/>
        </w:rPr>
        <w:sectPr>
          <w:pgSz w:w="11850" w:h="16783"/>
          <w:pgMar w:top="1440" w:right="1800" w:bottom="1440" w:left="1800" w:header="851" w:footer="992" w:gutter="0"/>
          <w:cols w:space="720" w:num="1"/>
          <w:titlePg/>
          <w:docGrid w:linePitch="312" w:charSpace="0"/>
        </w:sectPr>
      </w:pPr>
    </w:p>
    <w:p>
      <w:pPr>
        <w:adjustRightInd w:val="0"/>
        <w:snapToGrid w:val="0"/>
        <w:spacing w:line="360" w:lineRule="auto"/>
        <w:rPr>
          <w:rFonts w:asciiTheme="minorEastAsia" w:hAnsiTheme="minorEastAsia" w:eastAsiaTheme="minorEastAsia"/>
          <w:sz w:val="24"/>
          <w:szCs w:val="24"/>
        </w:rPr>
      </w:pPr>
    </w:p>
    <w:p>
      <w:pPr>
        <w:spacing w:line="360" w:lineRule="auto"/>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二、投标(开标)一览表</w:t>
      </w:r>
    </w:p>
    <w:p>
      <w:pPr>
        <w:adjustRightInd w:val="0"/>
        <w:snapToGrid w:val="0"/>
        <w:spacing w:line="360" w:lineRule="auto"/>
        <w:rPr>
          <w:rFonts w:asciiTheme="minorEastAsia" w:hAnsiTheme="minorEastAsia" w:eastAsiaTheme="minorEastAsia"/>
          <w:kern w:val="0"/>
          <w:sz w:val="24"/>
          <w:szCs w:val="24"/>
        </w:rPr>
      </w:pPr>
      <w:bookmarkStart w:id="97" w:name="_Toc86217005"/>
      <w:r>
        <w:rPr>
          <w:rFonts w:hint="eastAsia" w:asciiTheme="minorEastAsia" w:hAnsiTheme="minorEastAsia" w:eastAsiaTheme="minorEastAsia"/>
          <w:sz w:val="24"/>
          <w:szCs w:val="24"/>
        </w:rPr>
        <w:t>杭州市市场监督管理局、浙江中诺招标代理有限公司</w:t>
      </w:r>
      <w:r>
        <w:rPr>
          <w:rFonts w:hint="eastAsia" w:asciiTheme="minorEastAsia" w:hAnsiTheme="minorEastAsia" w:eastAsiaTheme="minorEastAsia"/>
          <w:kern w:val="0"/>
          <w:sz w:val="24"/>
          <w:szCs w:val="24"/>
          <w:lang w:val="zh-CN"/>
        </w:rPr>
        <w:t>：</w:t>
      </w:r>
    </w:p>
    <w:p>
      <w:pPr>
        <w:adjustRightInd w:val="0"/>
        <w:snapToGrid w:val="0"/>
        <w:spacing w:line="360" w:lineRule="auto"/>
        <w:ind w:firstLine="48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按你方招标文件要求，我们         ，本标书签字方，谨此向你方发出要约如下：如你方接受本投标，我方承诺按照如下投标(开标)一览表的价格完成编号为ZJZN-20951-SJ36的招标文件[项目名称：</w:t>
      </w:r>
      <w:r>
        <w:rPr>
          <w:rFonts w:hint="eastAsia" w:asciiTheme="minorEastAsia" w:hAnsiTheme="minorEastAsia" w:eastAsiaTheme="minorEastAsia"/>
          <w:sz w:val="24"/>
          <w:szCs w:val="24"/>
        </w:rPr>
        <w:t>杭州市市场监督管理局2021年上半年食品生产环节监督抽检项目]</w:t>
      </w:r>
      <w:r>
        <w:rPr>
          <w:rFonts w:hint="eastAsia" w:asciiTheme="minorEastAsia" w:hAnsiTheme="minorEastAsia" w:eastAsiaTheme="minorEastAsia"/>
          <w:kern w:val="0"/>
          <w:sz w:val="24"/>
          <w:szCs w:val="24"/>
          <w:lang w:val="zh-CN"/>
        </w:rPr>
        <w:t>的实施。</w:t>
      </w:r>
    </w:p>
    <w:p>
      <w:pPr>
        <w:autoSpaceDE w:val="0"/>
        <w:autoSpaceDN w:val="0"/>
        <w:adjustRightInd w:val="0"/>
        <w:spacing w:line="360" w:lineRule="auto"/>
        <w:ind w:firstLine="2361" w:firstLineChars="980"/>
        <w:rPr>
          <w:rFonts w:cs="仿宋_GB2312" w:asciiTheme="minorEastAsia" w:hAnsiTheme="minorEastAsia" w:eastAsiaTheme="minorEastAsia"/>
          <w:b/>
          <w:bCs/>
          <w:kern w:val="0"/>
          <w:sz w:val="24"/>
          <w:szCs w:val="24"/>
        </w:rPr>
      </w:pPr>
      <w:r>
        <w:rPr>
          <w:rFonts w:hint="eastAsia" w:cs="仿宋_GB2312" w:asciiTheme="minorEastAsia" w:hAnsiTheme="minorEastAsia" w:eastAsiaTheme="minorEastAsia"/>
          <w:b/>
          <w:bCs/>
          <w:kern w:val="0"/>
          <w:sz w:val="24"/>
          <w:szCs w:val="24"/>
          <w:lang w:val="zh-CN"/>
        </w:rPr>
        <w:t>投标（开标）一览表（单位均为人民币元）</w:t>
      </w:r>
      <w:r>
        <w:rPr>
          <w:rFonts w:hint="eastAsia" w:cs="仿宋_GB2312" w:asciiTheme="minorEastAsia" w:hAnsiTheme="minorEastAsia" w:eastAsiaTheme="minorEastAsia"/>
          <w:b/>
          <w:bCs/>
          <w:kern w:val="0"/>
          <w:sz w:val="24"/>
          <w:szCs w:val="24"/>
        </w:rPr>
        <w:t xml:space="preserve">       标项：</w:t>
      </w:r>
    </w:p>
    <w:tbl>
      <w:tblPr>
        <w:tblStyle w:val="3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3"/>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51" w:type="pct"/>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投标总价</w:t>
            </w:r>
          </w:p>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448" w:type="pct"/>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1" w:type="pct"/>
            <w:vAlign w:val="center"/>
          </w:tcPr>
          <w:p>
            <w:pPr>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大写：</w:t>
            </w:r>
          </w:p>
          <w:p>
            <w:pPr>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小写： </w:t>
            </w:r>
          </w:p>
        </w:tc>
        <w:tc>
          <w:tcPr>
            <w:tcW w:w="1448" w:type="pct"/>
            <w:vAlign w:val="center"/>
          </w:tcPr>
          <w:p>
            <w:pPr>
              <w:snapToGrid w:val="0"/>
              <w:jc w:val="left"/>
              <w:rPr>
                <w:rFonts w:asciiTheme="minorEastAsia" w:hAnsiTheme="minorEastAsia" w:eastAsiaTheme="minorEastAsia"/>
                <w:sz w:val="24"/>
                <w:szCs w:val="24"/>
              </w:rPr>
            </w:pPr>
          </w:p>
        </w:tc>
      </w:tr>
    </w:tbl>
    <w:p>
      <w:pPr>
        <w:autoSpaceDE w:val="0"/>
        <w:autoSpaceDN w:val="0"/>
        <w:adjustRightInd w:val="0"/>
        <w:spacing w:line="360" w:lineRule="auto"/>
        <w:ind w:firstLine="2361" w:firstLineChars="980"/>
        <w:rPr>
          <w:rFonts w:cs="仿宋_GB2312" w:asciiTheme="minorEastAsia" w:hAnsiTheme="minorEastAsia" w:eastAsiaTheme="minorEastAsia"/>
          <w:b/>
          <w:bCs/>
          <w:kern w:val="0"/>
          <w:sz w:val="24"/>
          <w:szCs w:val="24"/>
          <w:lang w:val="zh-CN"/>
        </w:rPr>
      </w:pPr>
    </w:p>
    <w:p>
      <w:pPr>
        <w:adjustRightInd w:val="0"/>
        <w:snapToGrid w:val="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1、本投标文件及其所附文件涵盖了我方要约的全部内容。</w:t>
      </w:r>
    </w:p>
    <w:p>
      <w:pPr>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(1)我方要约有效期为自投标截止日起60天；</w:t>
      </w:r>
    </w:p>
    <w:p>
      <w:pPr>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(2)我方同意标期可作延长；</w:t>
      </w:r>
    </w:p>
    <w:p>
      <w:pPr>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(3)在标期内，我方受投标文件之价目表上我方要约金额的约束。</w:t>
      </w:r>
    </w:p>
    <w:p>
      <w:pPr>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2、本投标文件，你方之接受函，包括条款栏，标的规格要求栏和其他有关文件在内的投标文件对我们双方均具约束力。</w:t>
      </w:r>
    </w:p>
    <w:p>
      <w:pPr>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w:t>
      </w:r>
      <w:r>
        <w:rPr>
          <w:rFonts w:hint="eastAsia" w:asciiTheme="minorEastAsia" w:hAnsiTheme="minorEastAsia" w:eastAsiaTheme="minorEastAsia"/>
          <w:kern w:val="0"/>
          <w:sz w:val="24"/>
          <w:szCs w:val="24"/>
          <w:lang w:val="zh-CN"/>
        </w:rPr>
        <w:t>、根据具体情况而拒绝任一或所有标书完全取决于你方。你方没有义务一定要接受最低报价的标书或某一特定标书，也不需为拒绝某一标书作出任何解释。</w:t>
      </w:r>
    </w:p>
    <w:p>
      <w:pPr>
        <w:adjustRightInd w:val="0"/>
        <w:snapToGrid w:val="0"/>
        <w:spacing w:line="360" w:lineRule="auto"/>
        <w:ind w:left="719" w:hanging="240"/>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rPr>
        <w:t>4</w:t>
      </w:r>
      <w:r>
        <w:rPr>
          <w:rFonts w:hint="eastAsia" w:asciiTheme="minorEastAsia" w:hAnsiTheme="minorEastAsia" w:eastAsiaTheme="minorEastAsia"/>
          <w:kern w:val="0"/>
          <w:sz w:val="24"/>
          <w:szCs w:val="24"/>
          <w:lang w:val="zh-CN"/>
        </w:rPr>
        <w:t>、另外，我方承诺还将就你方所要求的进一步信息提供给你方。</w:t>
      </w:r>
    </w:p>
    <w:p>
      <w:pPr>
        <w:tabs>
          <w:tab w:val="left" w:pos="720"/>
        </w:tabs>
        <w:autoSpaceDE w:val="0"/>
        <w:autoSpaceDN w:val="0"/>
        <w:adjustRightInd w:val="0"/>
        <w:spacing w:line="360" w:lineRule="auto"/>
        <w:ind w:left="719" w:hanging="240"/>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5．如果我方中标，我方愿意提供如下优惠条件：</w:t>
      </w:r>
    </w:p>
    <w:p>
      <w:pPr>
        <w:tabs>
          <w:tab w:val="left" w:pos="720"/>
        </w:tabs>
        <w:autoSpaceDE w:val="0"/>
        <w:autoSpaceDN w:val="0"/>
        <w:adjustRightInd w:val="0"/>
        <w:spacing w:line="360" w:lineRule="auto"/>
        <w:ind w:firstLine="480"/>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(1)</w:t>
      </w:r>
    </w:p>
    <w:p>
      <w:pPr>
        <w:tabs>
          <w:tab w:val="left" w:pos="720"/>
        </w:tabs>
        <w:autoSpaceDE w:val="0"/>
        <w:autoSpaceDN w:val="0"/>
        <w:adjustRightInd w:val="0"/>
        <w:spacing w:line="360" w:lineRule="auto"/>
        <w:ind w:firstLine="480"/>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(2)</w:t>
      </w:r>
    </w:p>
    <w:p>
      <w:pPr>
        <w:tabs>
          <w:tab w:val="left" w:pos="720"/>
        </w:tabs>
        <w:autoSpaceDE w:val="0"/>
        <w:autoSpaceDN w:val="0"/>
        <w:adjustRightInd w:val="0"/>
        <w:spacing w:line="360" w:lineRule="auto"/>
        <w:ind w:firstLine="480"/>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(3)</w:t>
      </w:r>
    </w:p>
    <w:p>
      <w:pPr>
        <w:autoSpaceDE w:val="0"/>
        <w:autoSpaceDN w:val="0"/>
        <w:adjustRightInd w:val="0"/>
        <w:spacing w:line="360" w:lineRule="auto"/>
        <w:ind w:firstLine="4111"/>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 xml:space="preserve">法定代表人签章：  </w:t>
      </w:r>
      <w:r>
        <w:rPr>
          <w:rFonts w:hint="eastAsia" w:asciiTheme="minorEastAsia" w:hAnsiTheme="minorEastAsia" w:eastAsiaTheme="minorEastAsia"/>
          <w:kern w:val="0"/>
          <w:sz w:val="24"/>
          <w:szCs w:val="24"/>
        </w:rPr>
        <w:tab/>
      </w:r>
    </w:p>
    <w:p>
      <w:pPr>
        <w:autoSpaceDE w:val="0"/>
        <w:autoSpaceDN w:val="0"/>
        <w:adjustRightInd w:val="0"/>
        <w:spacing w:line="360" w:lineRule="auto"/>
        <w:ind w:firstLine="4111"/>
        <w:rPr>
          <w:rFonts w:cs="仿宋_GB2312" w:asciiTheme="minorEastAsia" w:hAnsiTheme="minorEastAsia" w:eastAsiaTheme="minorEastAsia"/>
          <w:kern w:val="0"/>
          <w:sz w:val="24"/>
          <w:szCs w:val="24"/>
          <w:u w:val="single"/>
          <w:lang w:val="zh-CN"/>
        </w:rPr>
      </w:pPr>
      <w:r>
        <w:rPr>
          <w:rFonts w:hint="eastAsia" w:cs="仿宋_GB2312" w:asciiTheme="minorEastAsia" w:hAnsiTheme="minorEastAsia" w:eastAsiaTheme="minorEastAsia"/>
          <w:kern w:val="0"/>
          <w:sz w:val="24"/>
          <w:szCs w:val="24"/>
          <w:lang w:val="zh-CN"/>
        </w:rPr>
        <w:t>授权委托人签字：</w:t>
      </w:r>
    </w:p>
    <w:p>
      <w:pPr>
        <w:autoSpaceDE w:val="0"/>
        <w:autoSpaceDN w:val="0"/>
        <w:adjustRightInd w:val="0"/>
        <w:spacing w:line="360" w:lineRule="auto"/>
        <w:ind w:firstLine="4111"/>
        <w:rPr>
          <w:rFonts w:cs="仿宋_GB2312" w:asciiTheme="minorEastAsia" w:hAnsiTheme="minorEastAsia" w:eastAsiaTheme="minorEastAsia"/>
          <w:kern w:val="0"/>
          <w:sz w:val="24"/>
          <w:szCs w:val="24"/>
          <w:u w:val="single"/>
          <w:lang w:val="zh-CN"/>
        </w:rPr>
      </w:pPr>
      <w:r>
        <w:rPr>
          <w:rFonts w:hint="eastAsia" w:cs="仿宋_GB2312" w:asciiTheme="minorEastAsia" w:hAnsiTheme="minorEastAsia" w:eastAsiaTheme="minorEastAsia"/>
          <w:kern w:val="0"/>
          <w:sz w:val="24"/>
          <w:szCs w:val="24"/>
          <w:lang w:val="zh-CN"/>
        </w:rPr>
        <w:t xml:space="preserve">公 司 盖 章:  </w:t>
      </w:r>
    </w:p>
    <w:p>
      <w:pPr>
        <w:autoSpaceDE w:val="0"/>
        <w:autoSpaceDN w:val="0"/>
        <w:adjustRightInd w:val="0"/>
        <w:spacing w:line="360" w:lineRule="auto"/>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 xml:space="preserve">联系人：          联系电话: </w:t>
      </w:r>
    </w:p>
    <w:p>
      <w:pPr>
        <w:autoSpaceDE w:val="0"/>
        <w:autoSpaceDN w:val="0"/>
        <w:adjustRightInd w:val="0"/>
        <w:spacing w:line="360" w:lineRule="auto"/>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联系地址：</w:t>
      </w:r>
    </w:p>
    <w:p>
      <w:pPr>
        <w:autoSpaceDE w:val="0"/>
        <w:autoSpaceDN w:val="0"/>
        <w:adjustRightInd w:val="0"/>
        <w:spacing w:line="360" w:lineRule="auto"/>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邮政编码：        传真号码：</w:t>
      </w:r>
    </w:p>
    <w:p>
      <w:pPr>
        <w:adjustRightInd w:val="0"/>
        <w:snapToGrid w:val="0"/>
        <w:spacing w:line="360" w:lineRule="auto"/>
        <w:rPr>
          <w:rFonts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日期</w:t>
      </w:r>
      <w:r>
        <w:rPr>
          <w:rFonts w:hint="eastAsia" w:cs="仿宋_GB2312" w:asciiTheme="minorEastAsia" w:hAnsiTheme="minorEastAsia" w:eastAsiaTheme="minorEastAsia"/>
          <w:kern w:val="0"/>
          <w:sz w:val="24"/>
          <w:szCs w:val="24"/>
        </w:rPr>
        <w:t xml:space="preserve">： </w:t>
      </w:r>
      <w:r>
        <w:rPr>
          <w:rFonts w:hint="eastAsia" w:cs="仿宋_GB2312" w:asciiTheme="minorEastAsia" w:hAnsiTheme="minorEastAsia" w:eastAsiaTheme="minorEastAsia"/>
          <w:kern w:val="0"/>
          <w:sz w:val="24"/>
          <w:szCs w:val="24"/>
          <w:lang w:val="zh-CN"/>
        </w:rPr>
        <w:t>年   月   日</w:t>
      </w:r>
    </w:p>
    <w:p>
      <w:pPr>
        <w:adjustRightInd w:val="0"/>
        <w:snapToGrid w:val="0"/>
        <w:spacing w:line="360" w:lineRule="auto"/>
        <w:ind w:right="480"/>
        <w:rPr>
          <w:rFonts w:asciiTheme="minorEastAsia" w:hAnsiTheme="minorEastAsia" w:eastAsiaTheme="minorEastAsia"/>
          <w:kern w:val="0"/>
          <w:sz w:val="24"/>
          <w:szCs w:val="24"/>
          <w:lang w:val="zh-CN"/>
        </w:rPr>
      </w:pPr>
    </w:p>
    <w:p>
      <w:pPr>
        <w:spacing w:line="360" w:lineRule="auto"/>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三、报价明细清单</w:t>
      </w:r>
    </w:p>
    <w:tbl>
      <w:tblPr>
        <w:tblStyle w:val="39"/>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3"/>
        <w:gridCol w:w="1423"/>
        <w:gridCol w:w="1778"/>
        <w:gridCol w:w="1811"/>
        <w:gridCol w:w="2169"/>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r>
              <w:rPr>
                <w:rFonts w:hint="eastAsia" w:ascii="宋体" w:hAnsi="宋体"/>
                <w:sz w:val="24"/>
                <w:szCs w:val="24"/>
              </w:rPr>
              <w:t>序号</w:t>
            </w:r>
          </w:p>
        </w:tc>
        <w:tc>
          <w:tcPr>
            <w:tcW w:w="1423" w:type="dxa"/>
            <w:vAlign w:val="center"/>
          </w:tcPr>
          <w:p>
            <w:pPr>
              <w:snapToGrid w:val="0"/>
              <w:spacing w:line="360" w:lineRule="auto"/>
              <w:jc w:val="center"/>
              <w:rPr>
                <w:rFonts w:ascii="宋体" w:hAnsi="宋体"/>
                <w:sz w:val="24"/>
                <w:szCs w:val="24"/>
              </w:rPr>
            </w:pPr>
            <w:r>
              <w:rPr>
                <w:rFonts w:hint="eastAsia" w:ascii="宋体" w:hAnsi="宋体"/>
                <w:sz w:val="24"/>
                <w:szCs w:val="24"/>
              </w:rPr>
              <w:t>食品品种</w:t>
            </w:r>
          </w:p>
        </w:tc>
        <w:tc>
          <w:tcPr>
            <w:tcW w:w="1778" w:type="dxa"/>
            <w:vAlign w:val="center"/>
          </w:tcPr>
          <w:p>
            <w:pPr>
              <w:snapToGrid w:val="0"/>
              <w:spacing w:line="360" w:lineRule="auto"/>
              <w:jc w:val="center"/>
              <w:rPr>
                <w:rFonts w:ascii="宋体" w:hAnsi="宋体"/>
                <w:sz w:val="24"/>
                <w:szCs w:val="24"/>
              </w:rPr>
            </w:pPr>
            <w:r>
              <w:rPr>
                <w:rFonts w:hint="eastAsia" w:ascii="宋体" w:hAnsi="宋体"/>
                <w:sz w:val="24"/>
                <w:szCs w:val="24"/>
              </w:rPr>
              <w:t>任务类型</w:t>
            </w:r>
          </w:p>
        </w:tc>
        <w:tc>
          <w:tcPr>
            <w:tcW w:w="1811" w:type="dxa"/>
            <w:vAlign w:val="center"/>
          </w:tcPr>
          <w:p>
            <w:pPr>
              <w:snapToGrid w:val="0"/>
              <w:spacing w:line="360" w:lineRule="auto"/>
              <w:jc w:val="center"/>
              <w:rPr>
                <w:rFonts w:ascii="宋体" w:hAnsi="宋体"/>
                <w:sz w:val="24"/>
                <w:szCs w:val="24"/>
              </w:rPr>
            </w:pPr>
            <w:r>
              <w:rPr>
                <w:rFonts w:hint="eastAsia" w:ascii="宋体" w:hAnsi="宋体"/>
                <w:sz w:val="24"/>
                <w:szCs w:val="24"/>
              </w:rPr>
              <w:t>计划批次数</w:t>
            </w:r>
          </w:p>
        </w:tc>
        <w:tc>
          <w:tcPr>
            <w:tcW w:w="2169" w:type="dxa"/>
            <w:vAlign w:val="center"/>
          </w:tcPr>
          <w:p>
            <w:pPr>
              <w:snapToGrid w:val="0"/>
              <w:spacing w:line="360" w:lineRule="auto"/>
              <w:jc w:val="center"/>
              <w:rPr>
                <w:rFonts w:ascii="宋体" w:hAnsi="宋体"/>
                <w:sz w:val="24"/>
                <w:szCs w:val="24"/>
              </w:rPr>
            </w:pPr>
            <w:r>
              <w:rPr>
                <w:rFonts w:hint="eastAsia" w:ascii="宋体" w:hAnsi="宋体"/>
                <w:sz w:val="24"/>
                <w:szCs w:val="24"/>
              </w:rPr>
              <w:t>单批次费用</w:t>
            </w:r>
          </w:p>
        </w:tc>
        <w:tc>
          <w:tcPr>
            <w:tcW w:w="1806" w:type="dxa"/>
            <w:vAlign w:val="center"/>
          </w:tcPr>
          <w:p>
            <w:pPr>
              <w:snapToGrid w:val="0"/>
              <w:spacing w:line="360" w:lineRule="auto"/>
              <w:jc w:val="center"/>
              <w:rPr>
                <w:rFonts w:ascii="宋体" w:hAnsi="宋体"/>
                <w:sz w:val="24"/>
                <w:szCs w:val="24"/>
              </w:rPr>
            </w:pPr>
            <w:r>
              <w:rPr>
                <w:rFonts w:hint="eastAsia" w:ascii="宋体" w:hAnsi="宋体"/>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p>
        </w:tc>
        <w:tc>
          <w:tcPr>
            <w:tcW w:w="1423" w:type="dxa"/>
            <w:vAlign w:val="center"/>
          </w:tcPr>
          <w:p>
            <w:pPr>
              <w:widowControl/>
              <w:spacing w:line="360" w:lineRule="auto"/>
              <w:jc w:val="center"/>
              <w:rPr>
                <w:rFonts w:ascii="宋体" w:hAnsi="宋体" w:cs="宋体"/>
                <w:sz w:val="24"/>
                <w:szCs w:val="24"/>
              </w:rPr>
            </w:pPr>
          </w:p>
        </w:tc>
        <w:tc>
          <w:tcPr>
            <w:tcW w:w="1778" w:type="dxa"/>
            <w:vAlign w:val="center"/>
          </w:tcPr>
          <w:p>
            <w:pPr>
              <w:spacing w:line="360" w:lineRule="auto"/>
              <w:jc w:val="center"/>
              <w:rPr>
                <w:rFonts w:ascii="宋体" w:hAnsi="宋体"/>
                <w:sz w:val="24"/>
                <w:szCs w:val="24"/>
              </w:rPr>
            </w:pPr>
            <w:r>
              <w:rPr>
                <w:rFonts w:hint="eastAsia" w:ascii="宋体" w:hAnsi="宋体"/>
                <w:i/>
                <w:iCs/>
                <w:sz w:val="24"/>
                <w:szCs w:val="24"/>
              </w:rPr>
              <w:t>抽样或检测</w:t>
            </w:r>
          </w:p>
        </w:tc>
        <w:tc>
          <w:tcPr>
            <w:tcW w:w="1811" w:type="dxa"/>
            <w:vAlign w:val="center"/>
          </w:tcPr>
          <w:p>
            <w:pPr>
              <w:spacing w:line="360" w:lineRule="auto"/>
              <w:jc w:val="center"/>
              <w:rPr>
                <w:rFonts w:ascii="宋体" w:hAnsi="宋体"/>
                <w:sz w:val="24"/>
                <w:szCs w:val="24"/>
              </w:rPr>
            </w:pPr>
          </w:p>
        </w:tc>
        <w:tc>
          <w:tcPr>
            <w:tcW w:w="2169" w:type="dxa"/>
            <w:vAlign w:val="bottom"/>
          </w:tcPr>
          <w:p>
            <w:pPr>
              <w:spacing w:line="360" w:lineRule="auto"/>
              <w:jc w:val="center"/>
              <w:rPr>
                <w:rFonts w:ascii="宋体" w:hAnsi="宋体" w:cs="宋体"/>
                <w:sz w:val="24"/>
                <w:szCs w:val="24"/>
              </w:rPr>
            </w:pPr>
          </w:p>
        </w:tc>
        <w:tc>
          <w:tcPr>
            <w:tcW w:w="1806"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p>
        </w:tc>
        <w:tc>
          <w:tcPr>
            <w:tcW w:w="1423" w:type="dxa"/>
            <w:vAlign w:val="center"/>
          </w:tcPr>
          <w:p>
            <w:pPr>
              <w:widowControl/>
              <w:spacing w:line="360" w:lineRule="auto"/>
              <w:rPr>
                <w:rFonts w:ascii="宋体" w:hAnsi="宋体" w:cs="宋体"/>
                <w:sz w:val="24"/>
                <w:szCs w:val="24"/>
              </w:rPr>
            </w:pPr>
          </w:p>
        </w:tc>
        <w:tc>
          <w:tcPr>
            <w:tcW w:w="1778" w:type="dxa"/>
            <w:vAlign w:val="center"/>
          </w:tcPr>
          <w:p>
            <w:pPr>
              <w:spacing w:line="360" w:lineRule="auto"/>
              <w:jc w:val="center"/>
              <w:rPr>
                <w:rFonts w:ascii="宋体" w:hAnsi="宋体"/>
                <w:sz w:val="24"/>
                <w:szCs w:val="24"/>
              </w:rPr>
            </w:pPr>
          </w:p>
        </w:tc>
        <w:tc>
          <w:tcPr>
            <w:tcW w:w="1811" w:type="dxa"/>
            <w:vAlign w:val="center"/>
          </w:tcPr>
          <w:p>
            <w:pPr>
              <w:spacing w:line="360" w:lineRule="auto"/>
              <w:jc w:val="center"/>
              <w:rPr>
                <w:rFonts w:ascii="宋体" w:hAnsi="宋体"/>
                <w:sz w:val="24"/>
                <w:szCs w:val="24"/>
              </w:rPr>
            </w:pPr>
          </w:p>
        </w:tc>
        <w:tc>
          <w:tcPr>
            <w:tcW w:w="2169" w:type="dxa"/>
            <w:vAlign w:val="bottom"/>
          </w:tcPr>
          <w:p>
            <w:pPr>
              <w:spacing w:line="360" w:lineRule="auto"/>
              <w:jc w:val="center"/>
              <w:rPr>
                <w:rFonts w:ascii="宋体" w:hAnsi="宋体" w:cs="宋体"/>
                <w:sz w:val="24"/>
                <w:szCs w:val="24"/>
              </w:rPr>
            </w:pPr>
          </w:p>
        </w:tc>
        <w:tc>
          <w:tcPr>
            <w:tcW w:w="1806"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p>
        </w:tc>
        <w:tc>
          <w:tcPr>
            <w:tcW w:w="1423" w:type="dxa"/>
            <w:vAlign w:val="center"/>
          </w:tcPr>
          <w:p>
            <w:pPr>
              <w:widowControl/>
              <w:spacing w:line="360" w:lineRule="auto"/>
              <w:jc w:val="center"/>
              <w:rPr>
                <w:rFonts w:ascii="宋体" w:hAnsi="宋体" w:cs="宋体"/>
                <w:sz w:val="24"/>
                <w:szCs w:val="24"/>
              </w:rPr>
            </w:pPr>
          </w:p>
        </w:tc>
        <w:tc>
          <w:tcPr>
            <w:tcW w:w="1778" w:type="dxa"/>
            <w:vAlign w:val="center"/>
          </w:tcPr>
          <w:p>
            <w:pPr>
              <w:spacing w:line="360" w:lineRule="auto"/>
              <w:jc w:val="center"/>
              <w:rPr>
                <w:rFonts w:ascii="宋体" w:hAnsi="宋体"/>
                <w:sz w:val="24"/>
                <w:szCs w:val="24"/>
              </w:rPr>
            </w:pPr>
          </w:p>
        </w:tc>
        <w:tc>
          <w:tcPr>
            <w:tcW w:w="1811" w:type="dxa"/>
            <w:vAlign w:val="center"/>
          </w:tcPr>
          <w:p>
            <w:pPr>
              <w:spacing w:line="360" w:lineRule="auto"/>
              <w:jc w:val="center"/>
              <w:rPr>
                <w:rFonts w:ascii="宋体" w:hAnsi="宋体"/>
                <w:sz w:val="24"/>
                <w:szCs w:val="24"/>
              </w:rPr>
            </w:pPr>
          </w:p>
        </w:tc>
        <w:tc>
          <w:tcPr>
            <w:tcW w:w="2169" w:type="dxa"/>
            <w:vAlign w:val="bottom"/>
          </w:tcPr>
          <w:p>
            <w:pPr>
              <w:spacing w:line="360" w:lineRule="auto"/>
              <w:jc w:val="center"/>
              <w:rPr>
                <w:rFonts w:ascii="宋体" w:hAnsi="宋体" w:cs="宋体"/>
                <w:sz w:val="24"/>
                <w:szCs w:val="24"/>
              </w:rPr>
            </w:pPr>
          </w:p>
        </w:tc>
        <w:tc>
          <w:tcPr>
            <w:tcW w:w="1806"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p>
        </w:tc>
        <w:tc>
          <w:tcPr>
            <w:tcW w:w="1423" w:type="dxa"/>
            <w:vAlign w:val="center"/>
          </w:tcPr>
          <w:p>
            <w:pPr>
              <w:widowControl/>
              <w:spacing w:line="360" w:lineRule="auto"/>
              <w:jc w:val="center"/>
              <w:rPr>
                <w:rFonts w:ascii="宋体" w:hAnsi="宋体" w:cs="宋体"/>
                <w:sz w:val="24"/>
                <w:szCs w:val="24"/>
              </w:rPr>
            </w:pPr>
          </w:p>
        </w:tc>
        <w:tc>
          <w:tcPr>
            <w:tcW w:w="1778" w:type="dxa"/>
            <w:vAlign w:val="center"/>
          </w:tcPr>
          <w:p>
            <w:pPr>
              <w:spacing w:line="360" w:lineRule="auto"/>
              <w:jc w:val="center"/>
              <w:rPr>
                <w:rFonts w:ascii="宋体" w:hAnsi="宋体"/>
                <w:sz w:val="24"/>
                <w:szCs w:val="24"/>
              </w:rPr>
            </w:pPr>
          </w:p>
        </w:tc>
        <w:tc>
          <w:tcPr>
            <w:tcW w:w="1811" w:type="dxa"/>
            <w:vAlign w:val="center"/>
          </w:tcPr>
          <w:p>
            <w:pPr>
              <w:spacing w:line="360" w:lineRule="auto"/>
              <w:jc w:val="center"/>
              <w:rPr>
                <w:rFonts w:ascii="宋体" w:hAnsi="宋体"/>
                <w:sz w:val="24"/>
                <w:szCs w:val="24"/>
              </w:rPr>
            </w:pPr>
          </w:p>
        </w:tc>
        <w:tc>
          <w:tcPr>
            <w:tcW w:w="2169" w:type="dxa"/>
            <w:vAlign w:val="bottom"/>
          </w:tcPr>
          <w:p>
            <w:pPr>
              <w:spacing w:line="360" w:lineRule="auto"/>
              <w:jc w:val="center"/>
              <w:rPr>
                <w:rFonts w:ascii="宋体" w:hAnsi="宋体" w:cs="宋体"/>
                <w:sz w:val="24"/>
                <w:szCs w:val="24"/>
              </w:rPr>
            </w:pPr>
          </w:p>
        </w:tc>
        <w:tc>
          <w:tcPr>
            <w:tcW w:w="1806"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p>
        </w:tc>
        <w:tc>
          <w:tcPr>
            <w:tcW w:w="1423" w:type="dxa"/>
            <w:vAlign w:val="center"/>
          </w:tcPr>
          <w:p>
            <w:pPr>
              <w:widowControl/>
              <w:spacing w:line="360" w:lineRule="auto"/>
              <w:jc w:val="center"/>
              <w:rPr>
                <w:rFonts w:ascii="宋体" w:hAnsi="宋体" w:cs="宋体"/>
                <w:sz w:val="24"/>
                <w:szCs w:val="24"/>
              </w:rPr>
            </w:pPr>
          </w:p>
        </w:tc>
        <w:tc>
          <w:tcPr>
            <w:tcW w:w="1778" w:type="dxa"/>
            <w:vAlign w:val="center"/>
          </w:tcPr>
          <w:p>
            <w:pPr>
              <w:spacing w:line="360" w:lineRule="auto"/>
              <w:jc w:val="center"/>
              <w:rPr>
                <w:rFonts w:ascii="宋体" w:hAnsi="宋体"/>
                <w:sz w:val="24"/>
                <w:szCs w:val="24"/>
              </w:rPr>
            </w:pPr>
          </w:p>
        </w:tc>
        <w:tc>
          <w:tcPr>
            <w:tcW w:w="1811" w:type="dxa"/>
            <w:vAlign w:val="center"/>
          </w:tcPr>
          <w:p>
            <w:pPr>
              <w:spacing w:line="360" w:lineRule="auto"/>
              <w:jc w:val="center"/>
              <w:rPr>
                <w:rFonts w:ascii="宋体" w:hAnsi="宋体"/>
                <w:sz w:val="24"/>
                <w:szCs w:val="24"/>
              </w:rPr>
            </w:pPr>
          </w:p>
        </w:tc>
        <w:tc>
          <w:tcPr>
            <w:tcW w:w="2169" w:type="dxa"/>
            <w:vAlign w:val="bottom"/>
          </w:tcPr>
          <w:p>
            <w:pPr>
              <w:spacing w:line="360" w:lineRule="auto"/>
              <w:jc w:val="center"/>
              <w:rPr>
                <w:rFonts w:ascii="宋体" w:hAnsi="宋体" w:cs="宋体"/>
                <w:sz w:val="24"/>
                <w:szCs w:val="24"/>
              </w:rPr>
            </w:pPr>
          </w:p>
        </w:tc>
        <w:tc>
          <w:tcPr>
            <w:tcW w:w="1806"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p>
        </w:tc>
        <w:tc>
          <w:tcPr>
            <w:tcW w:w="1423" w:type="dxa"/>
            <w:vAlign w:val="center"/>
          </w:tcPr>
          <w:p>
            <w:pPr>
              <w:widowControl/>
              <w:spacing w:line="360" w:lineRule="auto"/>
              <w:jc w:val="center"/>
              <w:rPr>
                <w:rFonts w:ascii="宋体" w:hAnsi="宋体" w:cs="宋体"/>
                <w:sz w:val="24"/>
                <w:szCs w:val="24"/>
              </w:rPr>
            </w:pPr>
          </w:p>
        </w:tc>
        <w:tc>
          <w:tcPr>
            <w:tcW w:w="1778" w:type="dxa"/>
            <w:vAlign w:val="center"/>
          </w:tcPr>
          <w:p>
            <w:pPr>
              <w:spacing w:line="360" w:lineRule="auto"/>
              <w:jc w:val="center"/>
              <w:rPr>
                <w:rFonts w:ascii="宋体" w:hAnsi="宋体"/>
                <w:sz w:val="24"/>
                <w:szCs w:val="24"/>
              </w:rPr>
            </w:pPr>
          </w:p>
        </w:tc>
        <w:tc>
          <w:tcPr>
            <w:tcW w:w="1811" w:type="dxa"/>
            <w:vAlign w:val="center"/>
          </w:tcPr>
          <w:p>
            <w:pPr>
              <w:spacing w:line="360" w:lineRule="auto"/>
              <w:jc w:val="center"/>
              <w:rPr>
                <w:rFonts w:ascii="宋体" w:hAnsi="宋体"/>
                <w:sz w:val="24"/>
                <w:szCs w:val="24"/>
              </w:rPr>
            </w:pPr>
          </w:p>
        </w:tc>
        <w:tc>
          <w:tcPr>
            <w:tcW w:w="2169" w:type="dxa"/>
            <w:vAlign w:val="bottom"/>
          </w:tcPr>
          <w:p>
            <w:pPr>
              <w:spacing w:line="360" w:lineRule="auto"/>
              <w:jc w:val="center"/>
              <w:rPr>
                <w:rFonts w:ascii="宋体" w:hAnsi="宋体" w:cs="宋体"/>
                <w:sz w:val="24"/>
                <w:szCs w:val="24"/>
              </w:rPr>
            </w:pPr>
          </w:p>
        </w:tc>
        <w:tc>
          <w:tcPr>
            <w:tcW w:w="1806"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p>
        </w:tc>
        <w:tc>
          <w:tcPr>
            <w:tcW w:w="1423" w:type="dxa"/>
            <w:vAlign w:val="center"/>
          </w:tcPr>
          <w:p>
            <w:pPr>
              <w:widowControl/>
              <w:spacing w:line="360" w:lineRule="auto"/>
              <w:jc w:val="center"/>
              <w:rPr>
                <w:rFonts w:ascii="宋体" w:hAnsi="宋体" w:cs="宋体"/>
                <w:sz w:val="24"/>
                <w:szCs w:val="24"/>
              </w:rPr>
            </w:pPr>
          </w:p>
        </w:tc>
        <w:tc>
          <w:tcPr>
            <w:tcW w:w="1778" w:type="dxa"/>
            <w:vAlign w:val="center"/>
          </w:tcPr>
          <w:p>
            <w:pPr>
              <w:spacing w:line="360" w:lineRule="auto"/>
              <w:jc w:val="center"/>
              <w:rPr>
                <w:rFonts w:ascii="宋体" w:hAnsi="宋体"/>
                <w:sz w:val="24"/>
                <w:szCs w:val="24"/>
              </w:rPr>
            </w:pPr>
          </w:p>
        </w:tc>
        <w:tc>
          <w:tcPr>
            <w:tcW w:w="1811" w:type="dxa"/>
            <w:vAlign w:val="center"/>
          </w:tcPr>
          <w:p>
            <w:pPr>
              <w:spacing w:line="360" w:lineRule="auto"/>
              <w:jc w:val="center"/>
              <w:rPr>
                <w:rFonts w:ascii="宋体" w:hAnsi="宋体"/>
                <w:sz w:val="24"/>
                <w:szCs w:val="24"/>
              </w:rPr>
            </w:pPr>
          </w:p>
        </w:tc>
        <w:tc>
          <w:tcPr>
            <w:tcW w:w="2169" w:type="dxa"/>
            <w:vAlign w:val="bottom"/>
          </w:tcPr>
          <w:p>
            <w:pPr>
              <w:spacing w:line="360" w:lineRule="auto"/>
              <w:jc w:val="center"/>
              <w:rPr>
                <w:rFonts w:ascii="宋体" w:hAnsi="宋体" w:cs="宋体"/>
                <w:sz w:val="24"/>
                <w:szCs w:val="24"/>
              </w:rPr>
            </w:pPr>
          </w:p>
        </w:tc>
        <w:tc>
          <w:tcPr>
            <w:tcW w:w="1806"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p>
        </w:tc>
        <w:tc>
          <w:tcPr>
            <w:tcW w:w="1423" w:type="dxa"/>
            <w:vAlign w:val="center"/>
          </w:tcPr>
          <w:p>
            <w:pPr>
              <w:widowControl/>
              <w:spacing w:line="360" w:lineRule="auto"/>
              <w:jc w:val="center"/>
              <w:rPr>
                <w:rFonts w:ascii="宋体" w:hAnsi="宋体" w:cs="宋体"/>
                <w:sz w:val="24"/>
                <w:szCs w:val="24"/>
              </w:rPr>
            </w:pPr>
          </w:p>
        </w:tc>
        <w:tc>
          <w:tcPr>
            <w:tcW w:w="1778" w:type="dxa"/>
            <w:vAlign w:val="center"/>
          </w:tcPr>
          <w:p>
            <w:pPr>
              <w:spacing w:line="360" w:lineRule="auto"/>
              <w:jc w:val="center"/>
              <w:rPr>
                <w:rFonts w:ascii="宋体" w:hAnsi="宋体"/>
                <w:sz w:val="24"/>
                <w:szCs w:val="24"/>
              </w:rPr>
            </w:pPr>
          </w:p>
        </w:tc>
        <w:tc>
          <w:tcPr>
            <w:tcW w:w="1811" w:type="dxa"/>
            <w:vAlign w:val="center"/>
          </w:tcPr>
          <w:p>
            <w:pPr>
              <w:spacing w:line="360" w:lineRule="auto"/>
              <w:jc w:val="center"/>
              <w:rPr>
                <w:rFonts w:ascii="宋体" w:hAnsi="宋体"/>
                <w:sz w:val="24"/>
                <w:szCs w:val="24"/>
              </w:rPr>
            </w:pPr>
          </w:p>
        </w:tc>
        <w:tc>
          <w:tcPr>
            <w:tcW w:w="2169" w:type="dxa"/>
            <w:vAlign w:val="center"/>
          </w:tcPr>
          <w:p>
            <w:pPr>
              <w:widowControl/>
              <w:spacing w:line="360" w:lineRule="auto"/>
              <w:jc w:val="center"/>
              <w:rPr>
                <w:rFonts w:ascii="宋体" w:hAnsi="宋体" w:cs="宋体"/>
                <w:sz w:val="24"/>
                <w:szCs w:val="24"/>
              </w:rPr>
            </w:pPr>
          </w:p>
        </w:tc>
        <w:tc>
          <w:tcPr>
            <w:tcW w:w="1806"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p>
        </w:tc>
        <w:tc>
          <w:tcPr>
            <w:tcW w:w="1423" w:type="dxa"/>
            <w:vAlign w:val="center"/>
          </w:tcPr>
          <w:p>
            <w:pPr>
              <w:widowControl/>
              <w:spacing w:line="360" w:lineRule="auto"/>
              <w:jc w:val="center"/>
              <w:rPr>
                <w:rFonts w:ascii="宋体" w:hAnsi="宋体" w:cs="宋体"/>
                <w:sz w:val="24"/>
                <w:szCs w:val="24"/>
              </w:rPr>
            </w:pPr>
          </w:p>
        </w:tc>
        <w:tc>
          <w:tcPr>
            <w:tcW w:w="1778" w:type="dxa"/>
            <w:vAlign w:val="center"/>
          </w:tcPr>
          <w:p>
            <w:pPr>
              <w:spacing w:line="360" w:lineRule="auto"/>
              <w:jc w:val="center"/>
              <w:rPr>
                <w:rFonts w:ascii="宋体" w:hAnsi="宋体"/>
                <w:sz w:val="24"/>
                <w:szCs w:val="24"/>
              </w:rPr>
            </w:pPr>
          </w:p>
        </w:tc>
        <w:tc>
          <w:tcPr>
            <w:tcW w:w="1811" w:type="dxa"/>
            <w:vAlign w:val="center"/>
          </w:tcPr>
          <w:p>
            <w:pPr>
              <w:spacing w:line="360" w:lineRule="auto"/>
              <w:jc w:val="center"/>
              <w:rPr>
                <w:rFonts w:ascii="宋体" w:hAnsi="宋体"/>
                <w:sz w:val="24"/>
                <w:szCs w:val="24"/>
              </w:rPr>
            </w:pPr>
          </w:p>
        </w:tc>
        <w:tc>
          <w:tcPr>
            <w:tcW w:w="2169" w:type="dxa"/>
            <w:vAlign w:val="center"/>
          </w:tcPr>
          <w:p>
            <w:pPr>
              <w:widowControl/>
              <w:spacing w:line="360" w:lineRule="auto"/>
              <w:jc w:val="center"/>
              <w:rPr>
                <w:rFonts w:ascii="宋体" w:hAnsi="宋体" w:cs="宋体"/>
                <w:sz w:val="24"/>
                <w:szCs w:val="24"/>
              </w:rPr>
            </w:pPr>
          </w:p>
        </w:tc>
        <w:tc>
          <w:tcPr>
            <w:tcW w:w="1806"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vAlign w:val="center"/>
          </w:tcPr>
          <w:p>
            <w:pPr>
              <w:snapToGrid w:val="0"/>
              <w:spacing w:line="360" w:lineRule="auto"/>
              <w:jc w:val="center"/>
              <w:rPr>
                <w:rFonts w:ascii="宋体" w:hAnsi="宋体"/>
                <w:sz w:val="24"/>
                <w:szCs w:val="24"/>
              </w:rPr>
            </w:pPr>
          </w:p>
        </w:tc>
        <w:tc>
          <w:tcPr>
            <w:tcW w:w="1423" w:type="dxa"/>
            <w:vAlign w:val="center"/>
          </w:tcPr>
          <w:p>
            <w:pPr>
              <w:widowControl/>
              <w:spacing w:line="360" w:lineRule="auto"/>
              <w:jc w:val="center"/>
              <w:rPr>
                <w:rFonts w:ascii="宋体" w:hAnsi="宋体" w:cs="宋体"/>
                <w:sz w:val="24"/>
                <w:szCs w:val="24"/>
              </w:rPr>
            </w:pPr>
          </w:p>
        </w:tc>
        <w:tc>
          <w:tcPr>
            <w:tcW w:w="1778" w:type="dxa"/>
            <w:vAlign w:val="center"/>
          </w:tcPr>
          <w:p>
            <w:pPr>
              <w:spacing w:line="360" w:lineRule="auto"/>
              <w:jc w:val="center"/>
              <w:rPr>
                <w:rFonts w:ascii="宋体" w:hAnsi="宋体"/>
                <w:sz w:val="24"/>
                <w:szCs w:val="24"/>
              </w:rPr>
            </w:pPr>
          </w:p>
        </w:tc>
        <w:tc>
          <w:tcPr>
            <w:tcW w:w="1811" w:type="dxa"/>
            <w:vAlign w:val="center"/>
          </w:tcPr>
          <w:p>
            <w:pPr>
              <w:spacing w:line="360" w:lineRule="auto"/>
              <w:jc w:val="center"/>
              <w:rPr>
                <w:rFonts w:ascii="宋体" w:hAnsi="宋体"/>
                <w:sz w:val="24"/>
                <w:szCs w:val="24"/>
              </w:rPr>
            </w:pPr>
          </w:p>
        </w:tc>
        <w:tc>
          <w:tcPr>
            <w:tcW w:w="2169" w:type="dxa"/>
            <w:vAlign w:val="center"/>
          </w:tcPr>
          <w:p>
            <w:pPr>
              <w:snapToGrid w:val="0"/>
              <w:spacing w:line="360" w:lineRule="auto"/>
              <w:jc w:val="center"/>
              <w:rPr>
                <w:rFonts w:ascii="宋体" w:hAnsi="宋体"/>
                <w:sz w:val="24"/>
                <w:szCs w:val="24"/>
              </w:rPr>
            </w:pPr>
          </w:p>
        </w:tc>
        <w:tc>
          <w:tcPr>
            <w:tcW w:w="1806"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6" w:hRule="atLeast"/>
        </w:trPr>
        <w:tc>
          <w:tcPr>
            <w:tcW w:w="9580" w:type="dxa"/>
            <w:gridSpan w:val="6"/>
            <w:vAlign w:val="center"/>
          </w:tcPr>
          <w:p>
            <w:pPr>
              <w:snapToGrid w:val="0"/>
              <w:spacing w:line="360" w:lineRule="auto"/>
              <w:ind w:firstLine="120" w:firstLineChars="50"/>
              <w:rPr>
                <w:rFonts w:ascii="宋体" w:hAnsi="宋体"/>
                <w:sz w:val="24"/>
                <w:szCs w:val="24"/>
              </w:rPr>
            </w:pPr>
            <w:r>
              <w:rPr>
                <w:rFonts w:hint="eastAsia" w:ascii="宋体" w:hAnsi="宋体"/>
                <w:sz w:val="24"/>
                <w:szCs w:val="24"/>
              </w:rPr>
              <w:t>经费总计： 万元 (大写：元整)</w:t>
            </w:r>
          </w:p>
        </w:tc>
      </w:tr>
    </w:tbl>
    <w:p>
      <w:pPr>
        <w:spacing w:line="360" w:lineRule="auto"/>
        <w:rPr>
          <w:rFonts w:asciiTheme="minorEastAsia" w:hAnsiTheme="minorEastAsia" w:eastAsiaTheme="minorEastAsia"/>
          <w:kern w:val="0"/>
          <w:sz w:val="24"/>
          <w:szCs w:val="24"/>
        </w:rPr>
      </w:pPr>
    </w:p>
    <w:p>
      <w:pPr>
        <w:pStyle w:val="2"/>
      </w:pPr>
    </w:p>
    <w:p>
      <w:pPr>
        <w:autoSpaceDE w:val="0"/>
        <w:autoSpaceDN w:val="0"/>
        <w:adjustRightInd w:val="0"/>
        <w:spacing w:line="360" w:lineRule="auto"/>
        <w:ind w:firstLine="5160" w:firstLineChars="2150"/>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 xml:space="preserve">                                           法定代表人或授权委托人（签字）：</w:t>
      </w:r>
    </w:p>
    <w:p>
      <w:pPr>
        <w:tabs>
          <w:tab w:val="left" w:pos="540"/>
        </w:tabs>
        <w:autoSpaceDE w:val="0"/>
        <w:autoSpaceDN w:val="0"/>
        <w:adjustRightInd w:val="0"/>
        <w:spacing w:line="360" w:lineRule="auto"/>
        <w:ind w:firstLine="480" w:firstLineChars="200"/>
        <w:rPr>
          <w:rFonts w:asciiTheme="minorEastAsia" w:hAnsiTheme="minorEastAsia" w:eastAsiaTheme="minorEastAsia"/>
          <w:b/>
          <w:kern w:val="0"/>
          <w:sz w:val="24"/>
          <w:szCs w:val="24"/>
          <w:lang w:val="zh-CN"/>
        </w:rPr>
      </w:pPr>
      <w:r>
        <w:rPr>
          <w:rFonts w:hint="eastAsia" w:cs="仿宋_GB2312" w:asciiTheme="minorEastAsia" w:hAnsiTheme="minorEastAsia" w:eastAsiaTheme="minorEastAsia"/>
          <w:kern w:val="0"/>
          <w:sz w:val="24"/>
          <w:szCs w:val="24"/>
          <w:lang w:val="zh-CN"/>
        </w:rPr>
        <w:t xml:space="preserve">                                       日期：202 年  月   日</w:t>
      </w:r>
    </w:p>
    <w:p>
      <w:pPr>
        <w:adjustRightInd w:val="0"/>
        <w:snapToGrid w:val="0"/>
        <w:spacing w:line="360" w:lineRule="auto"/>
        <w:ind w:firstLine="480"/>
        <w:jc w:val="center"/>
        <w:rPr>
          <w:rFonts w:asciiTheme="minorEastAsia" w:hAnsiTheme="minorEastAsia" w:eastAsiaTheme="minorEastAsia"/>
          <w:b/>
          <w:sz w:val="24"/>
          <w:szCs w:val="24"/>
          <w:lang w:val="zh-CN"/>
        </w:rPr>
        <w:sectPr>
          <w:pgSz w:w="11850" w:h="16783"/>
          <w:pgMar w:top="1021" w:right="1418" w:bottom="249" w:left="964" w:header="851" w:footer="992" w:gutter="0"/>
          <w:cols w:space="720" w:num="1"/>
          <w:titlePg/>
          <w:docGrid w:linePitch="312" w:charSpace="0"/>
        </w:sectPr>
      </w:pPr>
    </w:p>
    <w:bookmarkEnd w:id="97"/>
    <w:p>
      <w:pPr>
        <w:spacing w:line="360" w:lineRule="auto"/>
        <w:jc w:val="center"/>
        <w:rPr>
          <w:rFonts w:cs="宋体" w:asciiTheme="minorEastAsia" w:hAnsiTheme="minorEastAsia" w:eastAsiaTheme="minorEastAsia"/>
          <w:b/>
          <w:kern w:val="0"/>
          <w:sz w:val="24"/>
          <w:szCs w:val="24"/>
        </w:rPr>
      </w:pPr>
      <w:r>
        <w:rPr>
          <w:rFonts w:hint="eastAsia" w:asciiTheme="minorEastAsia" w:hAnsiTheme="minorEastAsia" w:eastAsiaTheme="minorEastAsia"/>
          <w:sz w:val="24"/>
          <w:szCs w:val="24"/>
          <w:lang w:val="zh-CN"/>
        </w:rPr>
        <w:t>▲</w:t>
      </w:r>
      <w:r>
        <w:rPr>
          <w:rFonts w:hint="eastAsia" w:cs="宋体" w:asciiTheme="minorEastAsia" w:hAnsiTheme="minorEastAsia" w:eastAsiaTheme="minorEastAsia"/>
          <w:b/>
          <w:kern w:val="0"/>
          <w:sz w:val="24"/>
          <w:szCs w:val="24"/>
        </w:rPr>
        <w:t>技术文件部分</w:t>
      </w:r>
    </w:p>
    <w:p>
      <w:pPr>
        <w:spacing w:line="360" w:lineRule="auto"/>
        <w:ind w:firstLine="4132" w:firstLineChars="1715"/>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目录</w:t>
      </w:r>
    </w:p>
    <w:p>
      <w:pPr>
        <w:spacing w:line="360" w:lineRule="auto"/>
        <w:jc w:val="distribute"/>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（1）单位基本情况……………………………………………………（页码）</w:t>
      </w:r>
    </w:p>
    <w:p>
      <w:pPr>
        <w:spacing w:line="360" w:lineRule="auto"/>
        <w:jc w:val="distribute"/>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（2）工作实施方案……………………………………………………（页码）</w:t>
      </w:r>
    </w:p>
    <w:p>
      <w:pPr>
        <w:spacing w:line="360" w:lineRule="auto"/>
        <w:jc w:val="distribute"/>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（3）技术响应表………………………………………………………（页码）</w:t>
      </w:r>
    </w:p>
    <w:p>
      <w:pPr>
        <w:spacing w:line="360" w:lineRule="auto"/>
        <w:jc w:val="distribute"/>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（4）</w:t>
      </w:r>
      <w:r>
        <w:rPr>
          <w:rFonts w:hint="eastAsia" w:cs="仿宋_GB2312" w:asciiTheme="minorEastAsia" w:hAnsiTheme="minorEastAsia" w:eastAsiaTheme="minorEastAsia"/>
          <w:b/>
          <w:kern w:val="0"/>
          <w:sz w:val="24"/>
          <w:szCs w:val="24"/>
          <w:lang w:val="zh-CN"/>
        </w:rPr>
        <w:t>拥有设备资源情况（须提供相关证明）……………………</w:t>
      </w:r>
      <w:r>
        <w:rPr>
          <w:rFonts w:hint="eastAsia" w:cs="宋体" w:asciiTheme="minorEastAsia" w:hAnsiTheme="minorEastAsia" w:eastAsiaTheme="minorEastAsia"/>
          <w:b/>
          <w:kern w:val="0"/>
          <w:sz w:val="24"/>
          <w:szCs w:val="24"/>
        </w:rPr>
        <w:t>（页码）</w:t>
      </w:r>
    </w:p>
    <w:p>
      <w:pPr>
        <w:spacing w:line="360" w:lineRule="auto"/>
        <w:jc w:val="distribute"/>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（5）对本项目服务工作的质量标准、质量保证</w:t>
      </w:r>
      <w:r>
        <w:rPr>
          <w:rFonts w:hint="eastAsia" w:cs="仿宋_GB2312" w:asciiTheme="minorEastAsia" w:hAnsiTheme="minorEastAsia" w:eastAsiaTheme="minorEastAsia"/>
          <w:b/>
          <w:kern w:val="0"/>
          <w:sz w:val="24"/>
          <w:szCs w:val="24"/>
          <w:lang w:val="zh-CN"/>
        </w:rPr>
        <w:t>………………</w:t>
      </w:r>
      <w:r>
        <w:rPr>
          <w:rFonts w:hint="eastAsia" w:cs="宋体" w:asciiTheme="minorEastAsia" w:hAnsiTheme="minorEastAsia" w:eastAsiaTheme="minorEastAsia"/>
          <w:b/>
          <w:kern w:val="0"/>
          <w:sz w:val="24"/>
          <w:szCs w:val="24"/>
        </w:rPr>
        <w:t>…（页码）</w:t>
      </w:r>
    </w:p>
    <w:p>
      <w:pPr>
        <w:spacing w:line="360" w:lineRule="auto"/>
        <w:jc w:val="distribute"/>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（6）</w:t>
      </w:r>
      <w:r>
        <w:rPr>
          <w:rFonts w:hint="eastAsia" w:cs="仿宋_GB2312" w:asciiTheme="minorEastAsia" w:hAnsiTheme="minorEastAsia" w:eastAsiaTheme="minorEastAsia"/>
          <w:b/>
          <w:kern w:val="0"/>
          <w:sz w:val="24"/>
          <w:szCs w:val="24"/>
          <w:lang w:val="zh-CN"/>
        </w:rPr>
        <w:t>服务计划和承诺……………………………………</w:t>
      </w:r>
      <w:r>
        <w:rPr>
          <w:rFonts w:hint="eastAsia" w:cs="宋体" w:asciiTheme="minorEastAsia" w:hAnsiTheme="minorEastAsia" w:eastAsiaTheme="minorEastAsia"/>
          <w:b/>
          <w:kern w:val="0"/>
          <w:sz w:val="24"/>
          <w:szCs w:val="24"/>
        </w:rPr>
        <w:t>…</w:t>
      </w:r>
      <w:r>
        <w:rPr>
          <w:rFonts w:hint="eastAsia" w:cs="仿宋_GB2312" w:asciiTheme="minorEastAsia" w:hAnsiTheme="minorEastAsia" w:eastAsiaTheme="minorEastAsia"/>
          <w:b/>
          <w:kern w:val="0"/>
          <w:sz w:val="24"/>
          <w:szCs w:val="24"/>
          <w:lang w:val="zh-CN"/>
        </w:rPr>
        <w:t>……</w:t>
      </w:r>
      <w:r>
        <w:rPr>
          <w:rFonts w:hint="eastAsia" w:cs="宋体" w:asciiTheme="minorEastAsia" w:hAnsiTheme="minorEastAsia" w:eastAsiaTheme="minorEastAsia"/>
          <w:b/>
          <w:kern w:val="0"/>
          <w:sz w:val="24"/>
          <w:szCs w:val="24"/>
        </w:rPr>
        <w:t>……（页码）</w:t>
      </w:r>
    </w:p>
    <w:p>
      <w:pPr>
        <w:spacing w:line="360" w:lineRule="auto"/>
        <w:jc w:val="distribute"/>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（7）投标人认为需要提供的其他技术文件或说明</w:t>
      </w:r>
      <w:r>
        <w:rPr>
          <w:rFonts w:hint="eastAsia" w:cs="仿宋_GB2312" w:asciiTheme="minorEastAsia" w:hAnsiTheme="minorEastAsia" w:eastAsiaTheme="minorEastAsia"/>
          <w:b/>
          <w:kern w:val="0"/>
          <w:sz w:val="24"/>
          <w:szCs w:val="24"/>
          <w:lang w:val="zh-CN"/>
        </w:rPr>
        <w:t>……………</w:t>
      </w:r>
      <w:r>
        <w:rPr>
          <w:rFonts w:hint="eastAsia" w:cs="宋体" w:asciiTheme="minorEastAsia" w:hAnsiTheme="minorEastAsia" w:eastAsiaTheme="minorEastAsia"/>
          <w:b/>
          <w:kern w:val="0"/>
          <w:sz w:val="24"/>
          <w:szCs w:val="24"/>
        </w:rPr>
        <w:t>……（页码）</w:t>
      </w: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注：以上目录是编制投标技术文件的基本格式要求，各投标人可根据自身情况进一步细化。</w:t>
      </w:r>
    </w:p>
    <w:p>
      <w:pPr>
        <w:spacing w:line="360" w:lineRule="auto"/>
        <w:rPr>
          <w:rFonts w:asciiTheme="minorEastAsia" w:hAnsiTheme="minorEastAsia" w:eastAsiaTheme="minorEastAsia"/>
          <w:b/>
          <w:bCs/>
          <w:sz w:val="24"/>
          <w:szCs w:val="24"/>
        </w:rPr>
      </w:pPr>
    </w:p>
    <w:p>
      <w:pPr>
        <w:spacing w:line="360" w:lineRule="auto"/>
        <w:jc w:val="center"/>
        <w:rPr>
          <w:rFonts w:asciiTheme="minorEastAsia" w:hAnsiTheme="minorEastAsia" w:eastAsiaTheme="minorEastAsia"/>
          <w:b/>
          <w:sz w:val="28"/>
          <w:szCs w:val="28"/>
        </w:rPr>
      </w:pPr>
      <w:r>
        <w:rPr>
          <w:rFonts w:hint="eastAsia" w:cs="仿宋_GB2312" w:asciiTheme="minorEastAsia" w:hAnsiTheme="minorEastAsia" w:eastAsiaTheme="minorEastAsia"/>
          <w:b/>
          <w:bCs/>
          <w:kern w:val="0"/>
          <w:sz w:val="24"/>
          <w:szCs w:val="24"/>
          <w:lang w:val="zh-CN"/>
        </w:rPr>
        <w:br w:type="page"/>
      </w:r>
      <w:r>
        <w:rPr>
          <w:rFonts w:hint="eastAsia" w:cs="仿宋_GB2312" w:asciiTheme="minorEastAsia" w:hAnsiTheme="minorEastAsia" w:eastAsiaTheme="minorEastAsia"/>
          <w:b/>
          <w:bCs/>
          <w:kern w:val="0"/>
          <w:sz w:val="28"/>
          <w:szCs w:val="28"/>
          <w:lang w:val="zh-CN"/>
        </w:rPr>
        <w:t>一、</w:t>
      </w:r>
      <w:r>
        <w:rPr>
          <w:rFonts w:hint="eastAsia" w:asciiTheme="minorEastAsia" w:hAnsiTheme="minorEastAsia" w:eastAsiaTheme="minorEastAsia"/>
          <w:b/>
          <w:sz w:val="28"/>
          <w:szCs w:val="28"/>
        </w:rPr>
        <w:t>单位基本情况</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p>
      <w:pPr>
        <w:snapToGrid w:val="0"/>
        <w:spacing w:before="50" w:after="120" w:afterLines="50" w:line="360" w:lineRule="auto"/>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招标编号：</w:t>
      </w:r>
    </w:p>
    <w:tbl>
      <w:tblPr>
        <w:tblStyle w:val="39"/>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2166"/>
        <w:gridCol w:w="1181"/>
        <w:gridCol w:w="134"/>
        <w:gridCol w:w="755"/>
        <w:gridCol w:w="1081"/>
        <w:gridCol w:w="1037"/>
        <w:gridCol w:w="538"/>
        <w:gridCol w:w="789"/>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单位名称</w:t>
            </w:r>
          </w:p>
        </w:tc>
        <w:tc>
          <w:tcPr>
            <w:tcW w:w="2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 w:val="24"/>
                <w:szCs w:val="24"/>
              </w:rPr>
            </w:pPr>
          </w:p>
        </w:tc>
        <w:tc>
          <w:tcPr>
            <w:tcW w:w="11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单位地址</w:t>
            </w:r>
          </w:p>
        </w:tc>
        <w:tc>
          <w:tcPr>
            <w:tcW w:w="19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1575"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159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注册资本</w:t>
            </w:r>
          </w:p>
        </w:tc>
        <w:tc>
          <w:tcPr>
            <w:tcW w:w="2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 w:val="24"/>
                <w:szCs w:val="24"/>
              </w:rPr>
            </w:pPr>
          </w:p>
        </w:tc>
        <w:tc>
          <w:tcPr>
            <w:tcW w:w="11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固定资产</w:t>
            </w:r>
          </w:p>
        </w:tc>
        <w:tc>
          <w:tcPr>
            <w:tcW w:w="19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1575"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办公用房规模(注明自有、租用)</w:t>
            </w:r>
          </w:p>
        </w:tc>
        <w:tc>
          <w:tcPr>
            <w:tcW w:w="159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资质情况</w:t>
            </w: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资质名称</w:t>
            </w: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颁布部门</w:t>
            </w: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资质等级（如有）</w:t>
            </w:r>
          </w:p>
        </w:tc>
        <w:tc>
          <w:tcPr>
            <w:tcW w:w="13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颁布时间</w:t>
            </w:r>
          </w:p>
        </w:tc>
        <w:tc>
          <w:tcPr>
            <w:tcW w:w="8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附件</w:t>
            </w:r>
          </w:p>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szCs w:val="24"/>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13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8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szCs w:val="24"/>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13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8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szCs w:val="24"/>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13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8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szCs w:val="24"/>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13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8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5"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从事类检验监测的人员情况</w:t>
            </w:r>
          </w:p>
          <w:p>
            <w:pPr>
              <w:adjustRightInd w:val="0"/>
              <w:snapToGrid w:val="0"/>
              <w:spacing w:line="360" w:lineRule="auto"/>
              <w:jc w:val="center"/>
              <w:rPr>
                <w:rFonts w:asciiTheme="minorEastAsia" w:hAnsiTheme="minorEastAsia" w:eastAsiaTheme="minorEastAsia"/>
                <w:sz w:val="24"/>
                <w:szCs w:val="24"/>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合计人数</w:t>
            </w: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w:t>
            </w:r>
          </w:p>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人数</w:t>
            </w: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w:t>
            </w:r>
          </w:p>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人数</w:t>
            </w:r>
          </w:p>
        </w:tc>
        <w:tc>
          <w:tcPr>
            <w:tcW w:w="213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具有专业资格</w:t>
            </w:r>
          </w:p>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szCs w:val="24"/>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213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近三年</w:t>
            </w:r>
          </w:p>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业务收入</w:t>
            </w:r>
          </w:p>
        </w:tc>
        <w:tc>
          <w:tcPr>
            <w:tcW w:w="348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年度</w:t>
            </w:r>
          </w:p>
        </w:tc>
        <w:tc>
          <w:tcPr>
            <w:tcW w:w="5004"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业务收入(万元)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szCs w:val="24"/>
              </w:rPr>
            </w:pPr>
          </w:p>
        </w:tc>
        <w:tc>
          <w:tcPr>
            <w:tcW w:w="348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5004"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szCs w:val="24"/>
              </w:rPr>
            </w:pPr>
          </w:p>
        </w:tc>
        <w:tc>
          <w:tcPr>
            <w:tcW w:w="348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5004"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szCs w:val="24"/>
              </w:rPr>
            </w:pPr>
          </w:p>
        </w:tc>
        <w:tc>
          <w:tcPr>
            <w:tcW w:w="348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c>
          <w:tcPr>
            <w:tcW w:w="5004"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szCs w:val="24"/>
              </w:rPr>
            </w:pPr>
          </w:p>
        </w:tc>
        <w:tc>
          <w:tcPr>
            <w:tcW w:w="348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合计</w:t>
            </w:r>
          </w:p>
        </w:tc>
        <w:tc>
          <w:tcPr>
            <w:tcW w:w="5004"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sz w:val="24"/>
                <w:szCs w:val="24"/>
              </w:rPr>
            </w:pPr>
          </w:p>
        </w:tc>
      </w:tr>
    </w:tbl>
    <w:p>
      <w:pPr>
        <w:snapToGrid w:val="0"/>
        <w:spacing w:before="50" w:after="120" w:afterLines="50" w:line="360" w:lineRule="auto"/>
        <w:jc w:val="left"/>
        <w:rPr>
          <w:rFonts w:asciiTheme="minorEastAsia" w:hAnsiTheme="minorEastAsia" w:eastAsiaTheme="minorEastAsia"/>
          <w:bCs/>
          <w:sz w:val="24"/>
          <w:szCs w:val="24"/>
        </w:rPr>
      </w:pPr>
    </w:p>
    <w:p>
      <w:pPr>
        <w:autoSpaceDE w:val="0"/>
        <w:autoSpaceDN w:val="0"/>
        <w:adjustRightInd w:val="0"/>
        <w:spacing w:line="360" w:lineRule="auto"/>
        <w:ind w:firstLine="5040" w:firstLineChars="2100"/>
        <w:jc w:val="left"/>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日期：202 年  月 日</w:t>
      </w:r>
    </w:p>
    <w:p>
      <w:pPr>
        <w:spacing w:line="360" w:lineRule="auto"/>
        <w:jc w:val="center"/>
        <w:rPr>
          <w:rFonts w:asciiTheme="minorEastAsia" w:hAnsiTheme="minorEastAsia" w:eastAsiaTheme="minorEastAsia"/>
          <w:b/>
          <w:bCs/>
          <w:sz w:val="24"/>
          <w:szCs w:val="24"/>
        </w:rPr>
      </w:pPr>
    </w:p>
    <w:p>
      <w:pPr>
        <w:spacing w:line="360" w:lineRule="auto"/>
        <w:jc w:val="center"/>
        <w:rPr>
          <w:rFonts w:cs="仿宋_GB2312" w:asciiTheme="minorEastAsia" w:hAnsiTheme="minorEastAsia" w:eastAsiaTheme="minorEastAsia"/>
          <w:b/>
          <w:bCs/>
          <w:kern w:val="0"/>
          <w:sz w:val="28"/>
          <w:szCs w:val="28"/>
          <w:lang w:val="zh-CN"/>
        </w:rPr>
      </w:pPr>
      <w:r>
        <w:rPr>
          <w:rFonts w:hint="eastAsia" w:asciiTheme="minorEastAsia" w:hAnsiTheme="minorEastAsia" w:eastAsiaTheme="minorEastAsia"/>
          <w:b/>
          <w:bCs/>
          <w:sz w:val="24"/>
          <w:szCs w:val="24"/>
        </w:rPr>
        <w:br w:type="page"/>
      </w:r>
      <w:r>
        <w:rPr>
          <w:rFonts w:hint="eastAsia" w:cs="仿宋_GB2312" w:asciiTheme="minorEastAsia" w:hAnsiTheme="minorEastAsia" w:eastAsiaTheme="minorEastAsia"/>
          <w:b/>
          <w:bCs/>
          <w:kern w:val="0"/>
          <w:sz w:val="28"/>
          <w:szCs w:val="28"/>
          <w:lang w:val="zh-CN"/>
        </w:rPr>
        <w:t>二、工作实施方案</w:t>
      </w:r>
    </w:p>
    <w:p>
      <w:pPr>
        <w:spacing w:line="360" w:lineRule="auto"/>
        <w:rPr>
          <w:rFonts w:asciiTheme="minorEastAsia" w:hAnsiTheme="minorEastAsia" w:eastAsiaTheme="minorEastAsia"/>
          <w:b/>
          <w:bCs/>
          <w:sz w:val="24"/>
          <w:szCs w:val="24"/>
        </w:rPr>
      </w:pP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sz w:val="24"/>
          <w:szCs w:val="24"/>
        </w:rPr>
        <w:t>（由投标人根据采购需求及招标文件要求编制）</w:t>
      </w:r>
    </w:p>
    <w:p>
      <w:pPr>
        <w:autoSpaceDE w:val="0"/>
        <w:autoSpaceDN w:val="0"/>
        <w:adjustRightInd w:val="0"/>
        <w:spacing w:line="360" w:lineRule="auto"/>
        <w:ind w:firstLine="5040" w:firstLineChars="2100"/>
        <w:jc w:val="left"/>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日期：202 年  月 日</w:t>
      </w:r>
    </w:p>
    <w:p>
      <w:pPr>
        <w:spacing w:line="360" w:lineRule="auto"/>
        <w:jc w:val="center"/>
        <w:rPr>
          <w:rFonts w:cs="仿宋_GB2312" w:asciiTheme="minorEastAsia" w:hAnsiTheme="minorEastAsia" w:eastAsiaTheme="minorEastAsia"/>
          <w:kern w:val="0"/>
          <w:sz w:val="24"/>
          <w:szCs w:val="24"/>
          <w:lang w:val="zh-CN"/>
        </w:rPr>
      </w:pPr>
    </w:p>
    <w:p>
      <w:pPr>
        <w:spacing w:line="360" w:lineRule="auto"/>
        <w:jc w:val="center"/>
        <w:rPr>
          <w:rFonts w:cs="仿宋_GB2312" w:asciiTheme="minorEastAsia" w:hAnsiTheme="minorEastAsia" w:eastAsiaTheme="minorEastAsia"/>
          <w:kern w:val="0"/>
          <w:sz w:val="24"/>
          <w:szCs w:val="24"/>
          <w:lang w:val="zh-CN"/>
        </w:rPr>
      </w:pPr>
    </w:p>
    <w:p>
      <w:pPr>
        <w:spacing w:line="360" w:lineRule="auto"/>
        <w:jc w:val="center"/>
        <w:rPr>
          <w:rFonts w:cs="仿宋_GB2312" w:asciiTheme="minorEastAsia" w:hAnsiTheme="minorEastAsia" w:eastAsiaTheme="minorEastAsia"/>
          <w:kern w:val="0"/>
          <w:sz w:val="24"/>
          <w:szCs w:val="24"/>
          <w:lang w:val="zh-CN"/>
        </w:rPr>
      </w:pPr>
    </w:p>
    <w:p>
      <w:pPr>
        <w:spacing w:line="360" w:lineRule="auto"/>
        <w:jc w:val="center"/>
        <w:rPr>
          <w:rFonts w:asciiTheme="minorEastAsia" w:hAnsiTheme="minorEastAsia" w:eastAsiaTheme="minorEastAsia"/>
          <w:b/>
          <w:bCs/>
          <w:sz w:val="24"/>
          <w:szCs w:val="24"/>
        </w:rPr>
      </w:pPr>
    </w:p>
    <w:p>
      <w:pPr>
        <w:snapToGrid w:val="0"/>
        <w:spacing w:before="50" w:after="120" w:afterLines="5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项目实施人员名单</w:t>
      </w:r>
    </w:p>
    <w:tbl>
      <w:tblPr>
        <w:tblStyle w:val="3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817"/>
        <w:gridCol w:w="1366"/>
        <w:gridCol w:w="986"/>
        <w:gridCol w:w="986"/>
        <w:gridCol w:w="986"/>
        <w:gridCol w:w="986"/>
        <w:gridCol w:w="98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vAlign w:val="center"/>
          </w:tcPr>
          <w:p>
            <w:pPr>
              <w:snapToGrid w:val="0"/>
              <w:spacing w:before="50" w:after="120" w:afterLines="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人员姓名</w:t>
            </w:r>
          </w:p>
        </w:tc>
        <w:tc>
          <w:tcPr>
            <w:tcW w:w="817" w:type="dxa"/>
            <w:vAlign w:val="center"/>
          </w:tcPr>
          <w:p>
            <w:pPr>
              <w:snapToGrid w:val="0"/>
              <w:spacing w:before="50" w:after="120" w:afterLines="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性别</w:t>
            </w:r>
          </w:p>
        </w:tc>
        <w:tc>
          <w:tcPr>
            <w:tcW w:w="1366" w:type="dxa"/>
            <w:vAlign w:val="center"/>
          </w:tcPr>
          <w:p>
            <w:pPr>
              <w:snapToGrid w:val="0"/>
              <w:spacing w:before="50" w:after="120" w:afterLines="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出生年月</w:t>
            </w:r>
          </w:p>
        </w:tc>
        <w:tc>
          <w:tcPr>
            <w:tcW w:w="986" w:type="dxa"/>
            <w:vAlign w:val="center"/>
          </w:tcPr>
          <w:p>
            <w:pPr>
              <w:snapToGrid w:val="0"/>
              <w:spacing w:before="50" w:after="120" w:afterLines="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文化程度</w:t>
            </w:r>
          </w:p>
        </w:tc>
        <w:tc>
          <w:tcPr>
            <w:tcW w:w="986" w:type="dxa"/>
            <w:vAlign w:val="center"/>
          </w:tcPr>
          <w:p>
            <w:pPr>
              <w:snapToGrid w:val="0"/>
              <w:spacing w:before="50" w:after="120" w:afterLines="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执业资格</w:t>
            </w:r>
          </w:p>
        </w:tc>
        <w:tc>
          <w:tcPr>
            <w:tcW w:w="986" w:type="dxa"/>
            <w:vAlign w:val="center"/>
          </w:tcPr>
          <w:p>
            <w:pPr>
              <w:snapToGrid w:val="0"/>
              <w:spacing w:before="50" w:after="120" w:afterLines="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工程专业技术职称</w:t>
            </w:r>
          </w:p>
        </w:tc>
        <w:tc>
          <w:tcPr>
            <w:tcW w:w="986" w:type="dxa"/>
            <w:vAlign w:val="center"/>
          </w:tcPr>
          <w:p>
            <w:pPr>
              <w:snapToGrid w:val="0"/>
              <w:spacing w:before="50" w:after="120" w:afterLines="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从业年限</w:t>
            </w:r>
          </w:p>
        </w:tc>
        <w:tc>
          <w:tcPr>
            <w:tcW w:w="986" w:type="dxa"/>
            <w:vAlign w:val="center"/>
          </w:tcPr>
          <w:p>
            <w:pPr>
              <w:snapToGrid w:val="0"/>
              <w:spacing w:before="50" w:after="120" w:afterLines="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专业</w:t>
            </w:r>
          </w:p>
        </w:tc>
        <w:tc>
          <w:tcPr>
            <w:tcW w:w="986" w:type="dxa"/>
            <w:vAlign w:val="center"/>
          </w:tcPr>
          <w:p>
            <w:pPr>
              <w:snapToGrid w:val="0"/>
              <w:spacing w:before="50" w:after="120" w:afterLines="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vAlign w:val="center"/>
          </w:tcPr>
          <w:p>
            <w:pPr>
              <w:snapToGrid w:val="0"/>
              <w:spacing w:before="50" w:after="120" w:afterLines="5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817"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（2）</w:t>
            </w:r>
          </w:p>
        </w:tc>
        <w:tc>
          <w:tcPr>
            <w:tcW w:w="136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（3）</w:t>
            </w:r>
          </w:p>
        </w:tc>
        <w:tc>
          <w:tcPr>
            <w:tcW w:w="98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（4）</w:t>
            </w:r>
          </w:p>
        </w:tc>
        <w:tc>
          <w:tcPr>
            <w:tcW w:w="98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（5）</w:t>
            </w:r>
          </w:p>
        </w:tc>
        <w:tc>
          <w:tcPr>
            <w:tcW w:w="98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（6）</w:t>
            </w:r>
          </w:p>
        </w:tc>
        <w:tc>
          <w:tcPr>
            <w:tcW w:w="98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（7）</w:t>
            </w:r>
          </w:p>
        </w:tc>
        <w:tc>
          <w:tcPr>
            <w:tcW w:w="98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（8）</w:t>
            </w:r>
          </w:p>
        </w:tc>
        <w:tc>
          <w:tcPr>
            <w:tcW w:w="98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tcPr>
          <w:p>
            <w:pPr>
              <w:snapToGrid w:val="0"/>
              <w:spacing w:before="50" w:after="120" w:afterLines="50" w:line="360" w:lineRule="auto"/>
              <w:jc w:val="left"/>
              <w:rPr>
                <w:rFonts w:asciiTheme="minorEastAsia" w:hAnsiTheme="minorEastAsia" w:eastAsiaTheme="minorEastAsia"/>
                <w:bCs/>
                <w:sz w:val="24"/>
                <w:szCs w:val="24"/>
              </w:rPr>
            </w:pPr>
          </w:p>
        </w:tc>
        <w:tc>
          <w:tcPr>
            <w:tcW w:w="817" w:type="dxa"/>
          </w:tcPr>
          <w:p>
            <w:pPr>
              <w:snapToGrid w:val="0"/>
              <w:spacing w:before="50" w:after="120" w:afterLines="50" w:line="360" w:lineRule="auto"/>
              <w:jc w:val="left"/>
              <w:rPr>
                <w:rFonts w:asciiTheme="minorEastAsia" w:hAnsiTheme="minorEastAsia" w:eastAsiaTheme="minorEastAsia"/>
                <w:bCs/>
                <w:sz w:val="24"/>
                <w:szCs w:val="24"/>
              </w:rPr>
            </w:pPr>
          </w:p>
        </w:tc>
        <w:tc>
          <w:tcPr>
            <w:tcW w:w="136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tcPr>
          <w:p>
            <w:pPr>
              <w:snapToGrid w:val="0"/>
              <w:spacing w:before="50" w:after="120" w:afterLines="50" w:line="360" w:lineRule="auto"/>
              <w:jc w:val="left"/>
              <w:rPr>
                <w:rFonts w:asciiTheme="minorEastAsia" w:hAnsiTheme="minorEastAsia" w:eastAsiaTheme="minorEastAsia"/>
                <w:bCs/>
                <w:sz w:val="24"/>
                <w:szCs w:val="24"/>
              </w:rPr>
            </w:pPr>
          </w:p>
        </w:tc>
        <w:tc>
          <w:tcPr>
            <w:tcW w:w="817" w:type="dxa"/>
          </w:tcPr>
          <w:p>
            <w:pPr>
              <w:snapToGrid w:val="0"/>
              <w:spacing w:before="50" w:after="120" w:afterLines="50" w:line="360" w:lineRule="auto"/>
              <w:jc w:val="left"/>
              <w:rPr>
                <w:rFonts w:asciiTheme="minorEastAsia" w:hAnsiTheme="minorEastAsia" w:eastAsiaTheme="minorEastAsia"/>
                <w:bCs/>
                <w:sz w:val="24"/>
                <w:szCs w:val="24"/>
              </w:rPr>
            </w:pPr>
          </w:p>
        </w:tc>
        <w:tc>
          <w:tcPr>
            <w:tcW w:w="136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87" w:type="dxa"/>
          </w:tcPr>
          <w:p>
            <w:pPr>
              <w:snapToGrid w:val="0"/>
              <w:spacing w:before="50" w:after="120" w:afterLines="50" w:line="360" w:lineRule="auto"/>
              <w:jc w:val="left"/>
              <w:rPr>
                <w:rFonts w:asciiTheme="minorEastAsia" w:hAnsiTheme="minorEastAsia" w:eastAsiaTheme="minorEastAsia"/>
                <w:bCs/>
                <w:sz w:val="24"/>
                <w:szCs w:val="24"/>
              </w:rPr>
            </w:pPr>
          </w:p>
        </w:tc>
        <w:tc>
          <w:tcPr>
            <w:tcW w:w="817" w:type="dxa"/>
          </w:tcPr>
          <w:p>
            <w:pPr>
              <w:snapToGrid w:val="0"/>
              <w:spacing w:before="50" w:after="120" w:afterLines="50" w:line="360" w:lineRule="auto"/>
              <w:jc w:val="left"/>
              <w:rPr>
                <w:rFonts w:asciiTheme="minorEastAsia" w:hAnsiTheme="minorEastAsia" w:eastAsiaTheme="minorEastAsia"/>
                <w:bCs/>
                <w:sz w:val="24"/>
                <w:szCs w:val="24"/>
              </w:rPr>
            </w:pPr>
          </w:p>
        </w:tc>
        <w:tc>
          <w:tcPr>
            <w:tcW w:w="136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tcPr>
          <w:p>
            <w:pPr>
              <w:snapToGrid w:val="0"/>
              <w:spacing w:before="50" w:after="120" w:afterLines="50" w:line="360" w:lineRule="auto"/>
              <w:jc w:val="left"/>
              <w:rPr>
                <w:rFonts w:asciiTheme="minorEastAsia" w:hAnsiTheme="minorEastAsia" w:eastAsiaTheme="minorEastAsia"/>
                <w:bCs/>
                <w:sz w:val="24"/>
                <w:szCs w:val="24"/>
              </w:rPr>
            </w:pPr>
          </w:p>
        </w:tc>
        <w:tc>
          <w:tcPr>
            <w:tcW w:w="817" w:type="dxa"/>
          </w:tcPr>
          <w:p>
            <w:pPr>
              <w:snapToGrid w:val="0"/>
              <w:spacing w:before="50" w:after="120" w:afterLines="50" w:line="360" w:lineRule="auto"/>
              <w:jc w:val="left"/>
              <w:rPr>
                <w:rFonts w:asciiTheme="minorEastAsia" w:hAnsiTheme="minorEastAsia" w:eastAsiaTheme="minorEastAsia"/>
                <w:bCs/>
                <w:sz w:val="24"/>
                <w:szCs w:val="24"/>
              </w:rPr>
            </w:pPr>
          </w:p>
        </w:tc>
        <w:tc>
          <w:tcPr>
            <w:tcW w:w="136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87" w:type="dxa"/>
          </w:tcPr>
          <w:p>
            <w:pPr>
              <w:snapToGrid w:val="0"/>
              <w:spacing w:before="50" w:after="120" w:afterLines="50" w:line="360" w:lineRule="auto"/>
              <w:jc w:val="left"/>
              <w:rPr>
                <w:rFonts w:asciiTheme="minorEastAsia" w:hAnsiTheme="minorEastAsia" w:eastAsiaTheme="minorEastAsia"/>
                <w:bCs/>
                <w:sz w:val="24"/>
                <w:szCs w:val="24"/>
              </w:rPr>
            </w:pPr>
          </w:p>
        </w:tc>
        <w:tc>
          <w:tcPr>
            <w:tcW w:w="817" w:type="dxa"/>
          </w:tcPr>
          <w:p>
            <w:pPr>
              <w:snapToGrid w:val="0"/>
              <w:spacing w:before="50" w:after="120" w:afterLines="50" w:line="360" w:lineRule="auto"/>
              <w:jc w:val="left"/>
              <w:rPr>
                <w:rFonts w:asciiTheme="minorEastAsia" w:hAnsiTheme="minorEastAsia" w:eastAsiaTheme="minorEastAsia"/>
                <w:bCs/>
                <w:sz w:val="24"/>
                <w:szCs w:val="24"/>
              </w:rPr>
            </w:pPr>
          </w:p>
        </w:tc>
        <w:tc>
          <w:tcPr>
            <w:tcW w:w="136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tcPr>
          <w:p>
            <w:pPr>
              <w:snapToGrid w:val="0"/>
              <w:spacing w:before="50" w:after="120" w:afterLines="50" w:line="360" w:lineRule="auto"/>
              <w:jc w:val="left"/>
              <w:rPr>
                <w:rFonts w:asciiTheme="minorEastAsia" w:hAnsiTheme="minorEastAsia" w:eastAsiaTheme="minorEastAsia"/>
                <w:bCs/>
                <w:sz w:val="24"/>
                <w:szCs w:val="24"/>
              </w:rPr>
            </w:pPr>
          </w:p>
        </w:tc>
        <w:tc>
          <w:tcPr>
            <w:tcW w:w="817" w:type="dxa"/>
          </w:tcPr>
          <w:p>
            <w:pPr>
              <w:snapToGrid w:val="0"/>
              <w:spacing w:before="50" w:after="120" w:afterLines="50" w:line="360" w:lineRule="auto"/>
              <w:jc w:val="left"/>
              <w:rPr>
                <w:rFonts w:asciiTheme="minorEastAsia" w:hAnsiTheme="minorEastAsia" w:eastAsiaTheme="minorEastAsia"/>
                <w:bCs/>
                <w:sz w:val="24"/>
                <w:szCs w:val="24"/>
              </w:rPr>
            </w:pPr>
          </w:p>
        </w:tc>
        <w:tc>
          <w:tcPr>
            <w:tcW w:w="136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c>
          <w:tcPr>
            <w:tcW w:w="986" w:type="dxa"/>
          </w:tcPr>
          <w:p>
            <w:pPr>
              <w:snapToGrid w:val="0"/>
              <w:spacing w:before="50" w:after="120" w:afterLines="50" w:line="360" w:lineRule="auto"/>
              <w:jc w:val="left"/>
              <w:rPr>
                <w:rFonts w:asciiTheme="minorEastAsia" w:hAnsiTheme="minorEastAsia" w:eastAsiaTheme="minorEastAsia"/>
                <w:bCs/>
                <w:sz w:val="24"/>
                <w:szCs w:val="24"/>
              </w:rPr>
            </w:pPr>
          </w:p>
        </w:tc>
      </w:tr>
    </w:tbl>
    <w:p>
      <w:pPr>
        <w:pStyle w:val="2"/>
      </w:pPr>
    </w:p>
    <w:p>
      <w:pPr>
        <w:snapToGrid w:val="0"/>
        <w:spacing w:before="50" w:after="120" w:afterLines="50"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说明：项目负责人及主要实施人员的相关证书等附后。</w:t>
      </w:r>
    </w:p>
    <w:p>
      <w:pPr>
        <w:autoSpaceDE w:val="0"/>
        <w:autoSpaceDN w:val="0"/>
        <w:adjustRightInd w:val="0"/>
        <w:spacing w:line="360" w:lineRule="auto"/>
        <w:ind w:firstLine="5040" w:firstLineChars="2100"/>
        <w:jc w:val="left"/>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日期：202 年  月 日</w:t>
      </w:r>
    </w:p>
    <w:p>
      <w:pPr>
        <w:spacing w:line="360" w:lineRule="auto"/>
        <w:jc w:val="center"/>
        <w:rPr>
          <w:rFonts w:asciiTheme="minorEastAsia" w:hAnsiTheme="minorEastAsia" w:eastAsiaTheme="minorEastAsia"/>
          <w:b/>
          <w:bCs/>
          <w:sz w:val="24"/>
          <w:szCs w:val="24"/>
        </w:rPr>
      </w:pPr>
    </w:p>
    <w:p>
      <w:pPr>
        <w:spacing w:line="360" w:lineRule="auto"/>
        <w:jc w:val="center"/>
        <w:rPr>
          <w:rFonts w:cs="仿宋_GB2312" w:asciiTheme="minorEastAsia" w:hAnsiTheme="minorEastAsia" w:eastAsiaTheme="minorEastAsia"/>
          <w:b/>
          <w:bCs/>
          <w:kern w:val="0"/>
          <w:sz w:val="28"/>
          <w:szCs w:val="28"/>
          <w:lang w:val="zh-CN"/>
        </w:rPr>
      </w:pPr>
      <w:r>
        <w:rPr>
          <w:rFonts w:hint="eastAsia" w:cs="仿宋_GB2312" w:asciiTheme="minorEastAsia" w:hAnsiTheme="minorEastAsia" w:eastAsiaTheme="minorEastAsia"/>
          <w:b/>
          <w:bCs/>
          <w:kern w:val="0"/>
          <w:sz w:val="28"/>
          <w:szCs w:val="28"/>
          <w:lang w:val="zh-CN"/>
        </w:rPr>
        <w:t>三、技术响应表</w:t>
      </w:r>
    </w:p>
    <w:p>
      <w:pPr>
        <w:spacing w:line="360" w:lineRule="auto"/>
        <w:ind w:left="-540" w:leftChars="-257" w:firstLine="1080" w:firstLineChars="450"/>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p>
      <w:pPr>
        <w:spacing w:line="360" w:lineRule="auto"/>
        <w:ind w:left="-540" w:leftChars="-257" w:firstLine="1080" w:firstLineChars="4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招标编号：  </w:t>
      </w:r>
    </w:p>
    <w:tbl>
      <w:tblPr>
        <w:tblStyle w:val="39"/>
        <w:tblpPr w:leftFromText="180" w:rightFromText="180" w:vertAnchor="text" w:horzAnchor="margin" w:tblpXSpec="center" w:tblpY="62"/>
        <w:tblW w:w="88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843"/>
        <w:gridCol w:w="1843"/>
        <w:gridCol w:w="3402"/>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序号</w:t>
            </w:r>
          </w:p>
        </w:tc>
        <w:tc>
          <w:tcPr>
            <w:tcW w:w="1843" w:type="dxa"/>
            <w:vAlign w:val="center"/>
          </w:tcPr>
          <w:p>
            <w:pPr>
              <w:snapToGrid w:val="0"/>
              <w:spacing w:line="360" w:lineRule="auto"/>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招标文件</w:t>
            </w:r>
          </w:p>
          <w:p>
            <w:pPr>
              <w:snapToGrid w:val="0"/>
              <w:spacing w:line="360" w:lineRule="auto"/>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要求</w:t>
            </w:r>
          </w:p>
        </w:tc>
        <w:tc>
          <w:tcPr>
            <w:tcW w:w="1843" w:type="dxa"/>
            <w:vAlign w:val="center"/>
          </w:tcPr>
          <w:p>
            <w:pPr>
              <w:snapToGrid w:val="0"/>
              <w:spacing w:line="360" w:lineRule="auto"/>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投标响应文件响应情况</w:t>
            </w:r>
          </w:p>
        </w:tc>
        <w:tc>
          <w:tcPr>
            <w:tcW w:w="3402" w:type="dxa"/>
            <w:vAlign w:val="center"/>
          </w:tcPr>
          <w:p>
            <w:pPr>
              <w:snapToGrid w:val="0"/>
              <w:spacing w:line="360" w:lineRule="auto"/>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偏离情况            （无偏离/正偏离/负偏离）</w:t>
            </w:r>
          </w:p>
        </w:tc>
        <w:tc>
          <w:tcPr>
            <w:tcW w:w="1134" w:type="dxa"/>
            <w:vAlign w:val="center"/>
          </w:tcPr>
          <w:p>
            <w:pPr>
              <w:snapToGrid w:val="0"/>
              <w:spacing w:line="360" w:lineRule="auto"/>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spacing w:val="20"/>
                <w:sz w:val="24"/>
                <w:szCs w:val="24"/>
              </w:rPr>
            </w:pPr>
          </w:p>
        </w:tc>
        <w:tc>
          <w:tcPr>
            <w:tcW w:w="1843" w:type="dxa"/>
            <w:vAlign w:val="center"/>
          </w:tcPr>
          <w:p>
            <w:pPr>
              <w:snapToGrid w:val="0"/>
              <w:spacing w:line="360" w:lineRule="auto"/>
              <w:jc w:val="center"/>
              <w:rPr>
                <w:rFonts w:asciiTheme="minorEastAsia" w:hAnsiTheme="minorEastAsia" w:eastAsiaTheme="minorEastAsia"/>
                <w:spacing w:val="20"/>
                <w:sz w:val="24"/>
                <w:szCs w:val="24"/>
              </w:rPr>
            </w:pPr>
          </w:p>
        </w:tc>
        <w:tc>
          <w:tcPr>
            <w:tcW w:w="1843" w:type="dxa"/>
          </w:tcPr>
          <w:p>
            <w:pPr>
              <w:snapToGrid w:val="0"/>
              <w:spacing w:line="360" w:lineRule="auto"/>
              <w:jc w:val="center"/>
              <w:rPr>
                <w:rFonts w:asciiTheme="minorEastAsia" w:hAnsiTheme="minorEastAsia" w:eastAsiaTheme="minorEastAsia"/>
                <w:spacing w:val="20"/>
                <w:sz w:val="24"/>
                <w:szCs w:val="24"/>
              </w:rPr>
            </w:pPr>
          </w:p>
        </w:tc>
        <w:tc>
          <w:tcPr>
            <w:tcW w:w="3402" w:type="dxa"/>
            <w:vAlign w:val="center"/>
          </w:tcPr>
          <w:p>
            <w:pPr>
              <w:snapToGrid w:val="0"/>
              <w:spacing w:line="360" w:lineRule="auto"/>
              <w:jc w:val="center"/>
              <w:rPr>
                <w:rFonts w:asciiTheme="minorEastAsia" w:hAnsiTheme="minorEastAsia" w:eastAsiaTheme="minorEastAsia"/>
                <w:spacing w:val="20"/>
                <w:sz w:val="24"/>
                <w:szCs w:val="24"/>
              </w:rPr>
            </w:pPr>
          </w:p>
        </w:tc>
        <w:tc>
          <w:tcPr>
            <w:tcW w:w="1134" w:type="dxa"/>
            <w:vAlign w:val="center"/>
          </w:tcPr>
          <w:p>
            <w:pPr>
              <w:snapToGrid w:val="0"/>
              <w:spacing w:line="360" w:lineRule="auto"/>
              <w:jc w:val="center"/>
              <w:rPr>
                <w:rFonts w:asciiTheme="minorEastAsia" w:hAnsiTheme="minorEastAsia" w:eastAsiaTheme="minorEastAsia"/>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spacing w:val="20"/>
                <w:sz w:val="24"/>
                <w:szCs w:val="24"/>
              </w:rPr>
            </w:pPr>
          </w:p>
        </w:tc>
        <w:tc>
          <w:tcPr>
            <w:tcW w:w="1843" w:type="dxa"/>
            <w:vAlign w:val="center"/>
          </w:tcPr>
          <w:p>
            <w:pPr>
              <w:snapToGrid w:val="0"/>
              <w:spacing w:line="360" w:lineRule="auto"/>
              <w:jc w:val="center"/>
              <w:rPr>
                <w:rFonts w:asciiTheme="minorEastAsia" w:hAnsiTheme="minorEastAsia" w:eastAsiaTheme="minorEastAsia"/>
                <w:spacing w:val="20"/>
                <w:sz w:val="24"/>
                <w:szCs w:val="24"/>
              </w:rPr>
            </w:pPr>
          </w:p>
        </w:tc>
        <w:tc>
          <w:tcPr>
            <w:tcW w:w="1843" w:type="dxa"/>
          </w:tcPr>
          <w:p>
            <w:pPr>
              <w:snapToGrid w:val="0"/>
              <w:spacing w:line="360" w:lineRule="auto"/>
              <w:jc w:val="center"/>
              <w:rPr>
                <w:rFonts w:asciiTheme="minorEastAsia" w:hAnsiTheme="minorEastAsia" w:eastAsiaTheme="minorEastAsia"/>
                <w:spacing w:val="20"/>
                <w:sz w:val="24"/>
                <w:szCs w:val="24"/>
              </w:rPr>
            </w:pPr>
          </w:p>
        </w:tc>
        <w:tc>
          <w:tcPr>
            <w:tcW w:w="3402" w:type="dxa"/>
            <w:vAlign w:val="center"/>
          </w:tcPr>
          <w:p>
            <w:pPr>
              <w:snapToGrid w:val="0"/>
              <w:spacing w:line="360" w:lineRule="auto"/>
              <w:jc w:val="center"/>
              <w:rPr>
                <w:rFonts w:asciiTheme="minorEastAsia" w:hAnsiTheme="minorEastAsia" w:eastAsiaTheme="minorEastAsia"/>
                <w:spacing w:val="20"/>
                <w:sz w:val="24"/>
                <w:szCs w:val="24"/>
              </w:rPr>
            </w:pPr>
          </w:p>
        </w:tc>
        <w:tc>
          <w:tcPr>
            <w:tcW w:w="1134" w:type="dxa"/>
            <w:vAlign w:val="center"/>
          </w:tcPr>
          <w:p>
            <w:pPr>
              <w:snapToGrid w:val="0"/>
              <w:spacing w:line="360" w:lineRule="auto"/>
              <w:jc w:val="center"/>
              <w:rPr>
                <w:rFonts w:asciiTheme="minorEastAsia" w:hAnsiTheme="minorEastAsia" w:eastAsiaTheme="minorEastAsia"/>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spacing w:val="20"/>
                <w:sz w:val="24"/>
                <w:szCs w:val="24"/>
              </w:rPr>
            </w:pPr>
          </w:p>
        </w:tc>
        <w:tc>
          <w:tcPr>
            <w:tcW w:w="1843" w:type="dxa"/>
            <w:vAlign w:val="center"/>
          </w:tcPr>
          <w:p>
            <w:pPr>
              <w:snapToGrid w:val="0"/>
              <w:spacing w:line="360" w:lineRule="auto"/>
              <w:jc w:val="center"/>
              <w:rPr>
                <w:rFonts w:asciiTheme="minorEastAsia" w:hAnsiTheme="minorEastAsia" w:eastAsiaTheme="minorEastAsia"/>
                <w:spacing w:val="20"/>
                <w:sz w:val="24"/>
                <w:szCs w:val="24"/>
              </w:rPr>
            </w:pPr>
          </w:p>
        </w:tc>
        <w:tc>
          <w:tcPr>
            <w:tcW w:w="1843" w:type="dxa"/>
          </w:tcPr>
          <w:p>
            <w:pPr>
              <w:snapToGrid w:val="0"/>
              <w:spacing w:line="360" w:lineRule="auto"/>
              <w:jc w:val="center"/>
              <w:rPr>
                <w:rFonts w:asciiTheme="minorEastAsia" w:hAnsiTheme="minorEastAsia" w:eastAsiaTheme="minorEastAsia"/>
                <w:spacing w:val="20"/>
                <w:sz w:val="24"/>
                <w:szCs w:val="24"/>
              </w:rPr>
            </w:pPr>
          </w:p>
        </w:tc>
        <w:tc>
          <w:tcPr>
            <w:tcW w:w="3402" w:type="dxa"/>
            <w:vAlign w:val="center"/>
          </w:tcPr>
          <w:p>
            <w:pPr>
              <w:snapToGrid w:val="0"/>
              <w:spacing w:line="360" w:lineRule="auto"/>
              <w:jc w:val="center"/>
              <w:rPr>
                <w:rFonts w:asciiTheme="minorEastAsia" w:hAnsiTheme="minorEastAsia" w:eastAsiaTheme="minorEastAsia"/>
                <w:spacing w:val="20"/>
                <w:sz w:val="24"/>
                <w:szCs w:val="24"/>
              </w:rPr>
            </w:pPr>
          </w:p>
        </w:tc>
        <w:tc>
          <w:tcPr>
            <w:tcW w:w="1134" w:type="dxa"/>
            <w:vAlign w:val="center"/>
          </w:tcPr>
          <w:p>
            <w:pPr>
              <w:snapToGrid w:val="0"/>
              <w:spacing w:line="360" w:lineRule="auto"/>
              <w:jc w:val="center"/>
              <w:rPr>
                <w:rFonts w:asciiTheme="minorEastAsia" w:hAnsiTheme="minorEastAsia" w:eastAsiaTheme="minorEastAsia"/>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spacing w:val="20"/>
                <w:sz w:val="24"/>
                <w:szCs w:val="24"/>
              </w:rPr>
            </w:pPr>
          </w:p>
        </w:tc>
        <w:tc>
          <w:tcPr>
            <w:tcW w:w="1843" w:type="dxa"/>
            <w:vAlign w:val="center"/>
          </w:tcPr>
          <w:p>
            <w:pPr>
              <w:snapToGrid w:val="0"/>
              <w:spacing w:line="360" w:lineRule="auto"/>
              <w:jc w:val="center"/>
              <w:rPr>
                <w:rFonts w:asciiTheme="minorEastAsia" w:hAnsiTheme="minorEastAsia" w:eastAsiaTheme="minorEastAsia"/>
                <w:spacing w:val="20"/>
                <w:sz w:val="24"/>
                <w:szCs w:val="24"/>
              </w:rPr>
            </w:pPr>
          </w:p>
        </w:tc>
        <w:tc>
          <w:tcPr>
            <w:tcW w:w="1843" w:type="dxa"/>
          </w:tcPr>
          <w:p>
            <w:pPr>
              <w:snapToGrid w:val="0"/>
              <w:spacing w:line="360" w:lineRule="auto"/>
              <w:jc w:val="center"/>
              <w:rPr>
                <w:rFonts w:asciiTheme="minorEastAsia" w:hAnsiTheme="minorEastAsia" w:eastAsiaTheme="minorEastAsia"/>
                <w:spacing w:val="20"/>
                <w:sz w:val="24"/>
                <w:szCs w:val="24"/>
              </w:rPr>
            </w:pPr>
          </w:p>
        </w:tc>
        <w:tc>
          <w:tcPr>
            <w:tcW w:w="3402" w:type="dxa"/>
            <w:vAlign w:val="center"/>
          </w:tcPr>
          <w:p>
            <w:pPr>
              <w:snapToGrid w:val="0"/>
              <w:spacing w:line="360" w:lineRule="auto"/>
              <w:jc w:val="center"/>
              <w:rPr>
                <w:rFonts w:asciiTheme="minorEastAsia" w:hAnsiTheme="minorEastAsia" w:eastAsiaTheme="minorEastAsia"/>
                <w:spacing w:val="20"/>
                <w:sz w:val="24"/>
                <w:szCs w:val="24"/>
              </w:rPr>
            </w:pPr>
          </w:p>
        </w:tc>
        <w:tc>
          <w:tcPr>
            <w:tcW w:w="1134" w:type="dxa"/>
            <w:vAlign w:val="center"/>
          </w:tcPr>
          <w:p>
            <w:pPr>
              <w:snapToGrid w:val="0"/>
              <w:spacing w:line="360" w:lineRule="auto"/>
              <w:jc w:val="center"/>
              <w:rPr>
                <w:rFonts w:asciiTheme="minorEastAsia" w:hAnsiTheme="minorEastAsia" w:eastAsiaTheme="minorEastAsia"/>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spacing w:val="20"/>
                <w:sz w:val="24"/>
                <w:szCs w:val="24"/>
              </w:rPr>
            </w:pPr>
          </w:p>
        </w:tc>
        <w:tc>
          <w:tcPr>
            <w:tcW w:w="1843" w:type="dxa"/>
            <w:vAlign w:val="center"/>
          </w:tcPr>
          <w:p>
            <w:pPr>
              <w:snapToGrid w:val="0"/>
              <w:spacing w:line="360" w:lineRule="auto"/>
              <w:jc w:val="center"/>
              <w:rPr>
                <w:rFonts w:asciiTheme="minorEastAsia" w:hAnsiTheme="minorEastAsia" w:eastAsiaTheme="minorEastAsia"/>
                <w:spacing w:val="20"/>
                <w:sz w:val="24"/>
                <w:szCs w:val="24"/>
              </w:rPr>
            </w:pPr>
          </w:p>
        </w:tc>
        <w:tc>
          <w:tcPr>
            <w:tcW w:w="1843" w:type="dxa"/>
          </w:tcPr>
          <w:p>
            <w:pPr>
              <w:snapToGrid w:val="0"/>
              <w:spacing w:line="360" w:lineRule="auto"/>
              <w:jc w:val="center"/>
              <w:rPr>
                <w:rFonts w:asciiTheme="minorEastAsia" w:hAnsiTheme="minorEastAsia" w:eastAsiaTheme="minorEastAsia"/>
                <w:spacing w:val="20"/>
                <w:sz w:val="24"/>
                <w:szCs w:val="24"/>
              </w:rPr>
            </w:pPr>
          </w:p>
        </w:tc>
        <w:tc>
          <w:tcPr>
            <w:tcW w:w="3402" w:type="dxa"/>
            <w:vAlign w:val="center"/>
          </w:tcPr>
          <w:p>
            <w:pPr>
              <w:snapToGrid w:val="0"/>
              <w:spacing w:line="360" w:lineRule="auto"/>
              <w:jc w:val="center"/>
              <w:rPr>
                <w:rFonts w:asciiTheme="minorEastAsia" w:hAnsiTheme="minorEastAsia" w:eastAsiaTheme="minorEastAsia"/>
                <w:spacing w:val="20"/>
                <w:sz w:val="24"/>
                <w:szCs w:val="24"/>
              </w:rPr>
            </w:pPr>
          </w:p>
        </w:tc>
        <w:tc>
          <w:tcPr>
            <w:tcW w:w="1134" w:type="dxa"/>
            <w:vAlign w:val="center"/>
          </w:tcPr>
          <w:p>
            <w:pPr>
              <w:snapToGrid w:val="0"/>
              <w:spacing w:line="360" w:lineRule="auto"/>
              <w:jc w:val="center"/>
              <w:rPr>
                <w:rFonts w:asciiTheme="minorEastAsia" w:hAnsiTheme="minorEastAsia" w:eastAsiaTheme="minorEastAsia"/>
                <w:spacing w:val="20"/>
                <w:sz w:val="24"/>
                <w:szCs w:val="24"/>
              </w:rPr>
            </w:pPr>
          </w:p>
        </w:tc>
      </w:tr>
    </w:tbl>
    <w:p>
      <w:pPr>
        <w:spacing w:line="360" w:lineRule="auto"/>
        <w:jc w:val="center"/>
        <w:rPr>
          <w:rFonts w:asciiTheme="minorEastAsia" w:hAnsiTheme="minorEastAsia" w:eastAsiaTheme="minorEastAsia"/>
          <w:sz w:val="24"/>
          <w:szCs w:val="24"/>
        </w:rPr>
      </w:pPr>
    </w:p>
    <w:p>
      <w:pPr>
        <w:autoSpaceDE w:val="0"/>
        <w:autoSpaceDN w:val="0"/>
        <w:adjustRightInd w:val="0"/>
        <w:spacing w:line="360" w:lineRule="auto"/>
        <w:ind w:firstLine="5040" w:firstLineChars="2100"/>
        <w:jc w:val="left"/>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日期：202 年  月 日</w:t>
      </w:r>
    </w:p>
    <w:p>
      <w:pPr>
        <w:snapToGrid w:val="0"/>
        <w:spacing w:before="50" w:after="120" w:afterLines="50" w:line="360" w:lineRule="auto"/>
        <w:ind w:firstLine="2221" w:firstLineChars="790"/>
        <w:rPr>
          <w:rFonts w:asciiTheme="minorEastAsia" w:hAnsiTheme="minorEastAsia" w:eastAsiaTheme="minorEastAsia"/>
          <w:b/>
          <w:sz w:val="28"/>
          <w:szCs w:val="28"/>
        </w:rPr>
      </w:pPr>
    </w:p>
    <w:p>
      <w:pPr>
        <w:snapToGrid w:val="0"/>
        <w:spacing w:before="50" w:after="120" w:afterLines="50" w:line="360" w:lineRule="auto"/>
        <w:ind w:firstLine="2221" w:firstLineChars="79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b/>
          <w:sz w:val="28"/>
          <w:szCs w:val="28"/>
        </w:rPr>
        <w:t>四、拥有设备资源情况（须提供相关证明）</w:t>
      </w:r>
    </w:p>
    <w:p>
      <w:pPr>
        <w:autoSpaceDE w:val="0"/>
        <w:autoSpaceDN w:val="0"/>
        <w:adjustRightInd w:val="0"/>
        <w:spacing w:line="360" w:lineRule="auto"/>
        <w:ind w:firstLine="4440" w:firstLineChars="185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投标人名称（公章）：</w:t>
      </w:r>
    </w:p>
    <w:p>
      <w:pPr>
        <w:autoSpaceDE w:val="0"/>
        <w:autoSpaceDN w:val="0"/>
        <w:adjustRightIn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                                     法定代表人或授权委托人（签字）：</w:t>
      </w: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kern w:val="0"/>
          <w:sz w:val="24"/>
          <w:szCs w:val="24"/>
        </w:rPr>
        <w:t xml:space="preserve">                                     日期：202 年  月   日</w:t>
      </w:r>
    </w:p>
    <w:p>
      <w:pPr>
        <w:spacing w:line="360" w:lineRule="auto"/>
        <w:jc w:val="center"/>
        <w:rPr>
          <w:rFonts w:asciiTheme="minorEastAsia" w:hAnsiTheme="minorEastAsia" w:eastAsiaTheme="minorEastAsia"/>
          <w:kern w:val="0"/>
          <w:sz w:val="24"/>
          <w:szCs w:val="24"/>
        </w:rPr>
      </w:pPr>
    </w:p>
    <w:p>
      <w:pPr>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五、对本项目服务工作的质量标准、质量保证</w:t>
      </w:r>
    </w:p>
    <w:p>
      <w:pPr>
        <w:pStyle w:val="18"/>
      </w:pPr>
    </w:p>
    <w:p>
      <w:pPr>
        <w:autoSpaceDE w:val="0"/>
        <w:autoSpaceDN w:val="0"/>
        <w:adjustRightInd w:val="0"/>
        <w:spacing w:line="360" w:lineRule="auto"/>
        <w:ind w:firstLine="5040" w:firstLineChars="2100"/>
        <w:jc w:val="left"/>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日期：202 年  月 日</w:t>
      </w:r>
    </w:p>
    <w:p>
      <w:pPr>
        <w:spacing w:line="360" w:lineRule="auto"/>
        <w:jc w:val="center"/>
        <w:rPr>
          <w:rFonts w:asciiTheme="minorEastAsia" w:hAnsiTheme="minorEastAsia" w:eastAsiaTheme="minorEastAsia"/>
          <w:b/>
          <w:bCs/>
          <w:sz w:val="28"/>
          <w:szCs w:val="28"/>
        </w:rPr>
      </w:pPr>
    </w:p>
    <w:p>
      <w:pPr>
        <w:spacing w:line="360" w:lineRule="auto"/>
        <w:jc w:val="center"/>
        <w:rPr>
          <w:rFonts w:asciiTheme="minorEastAsia" w:hAnsiTheme="minorEastAsia" w:eastAsiaTheme="minorEastAsia"/>
          <w:b/>
          <w:bCs/>
          <w:sz w:val="28"/>
          <w:szCs w:val="28"/>
        </w:rPr>
      </w:pPr>
    </w:p>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b/>
          <w:bCs/>
          <w:sz w:val="28"/>
          <w:szCs w:val="28"/>
        </w:rPr>
        <w:t>六、</w:t>
      </w:r>
      <w:r>
        <w:rPr>
          <w:rFonts w:hint="eastAsia" w:cs="仿宋_GB2312" w:asciiTheme="minorEastAsia" w:hAnsiTheme="minorEastAsia" w:eastAsiaTheme="minorEastAsia"/>
          <w:b/>
          <w:kern w:val="0"/>
          <w:sz w:val="28"/>
          <w:szCs w:val="28"/>
          <w:lang w:val="zh-CN"/>
        </w:rPr>
        <w:t>服务计划和承诺</w:t>
      </w:r>
    </w:p>
    <w:p>
      <w:pPr>
        <w:spacing w:line="360" w:lineRule="auto"/>
        <w:rPr>
          <w:rFonts w:asciiTheme="minorEastAsia" w:hAnsiTheme="minorEastAsia" w:eastAsiaTheme="minorEastAsia"/>
          <w:sz w:val="24"/>
          <w:szCs w:val="24"/>
        </w:rPr>
      </w:pPr>
    </w:p>
    <w:p>
      <w:pPr>
        <w:autoSpaceDE w:val="0"/>
        <w:autoSpaceDN w:val="0"/>
        <w:adjustRightInd w:val="0"/>
        <w:spacing w:line="360" w:lineRule="auto"/>
        <w:ind w:firstLine="5040" w:firstLineChars="2100"/>
        <w:jc w:val="left"/>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日期：202 年  月 日</w:t>
      </w:r>
    </w:p>
    <w:p>
      <w:pPr>
        <w:spacing w:line="360" w:lineRule="auto"/>
        <w:jc w:val="center"/>
        <w:rPr>
          <w:rFonts w:cs="仿宋_GB2312" w:asciiTheme="minorEastAsia" w:hAnsiTheme="minorEastAsia" w:eastAsiaTheme="minorEastAsia"/>
          <w:kern w:val="0"/>
          <w:sz w:val="24"/>
          <w:szCs w:val="24"/>
          <w:lang w:val="zh-CN"/>
        </w:rPr>
      </w:pPr>
    </w:p>
    <w:p>
      <w:pPr>
        <w:spacing w:line="360" w:lineRule="auto"/>
        <w:jc w:val="center"/>
        <w:rPr>
          <w:rFonts w:asciiTheme="minorEastAsia" w:hAnsiTheme="minorEastAsia" w:eastAsiaTheme="minorEastAsia"/>
          <w:b/>
          <w:bCs/>
          <w:sz w:val="28"/>
          <w:szCs w:val="28"/>
          <w:lang w:val="zh-CN"/>
        </w:rPr>
      </w:pPr>
      <w:r>
        <w:rPr>
          <w:rFonts w:hint="eastAsia" w:asciiTheme="minorEastAsia" w:hAnsiTheme="minorEastAsia" w:eastAsiaTheme="minorEastAsia"/>
          <w:b/>
          <w:bCs/>
          <w:sz w:val="28"/>
          <w:szCs w:val="28"/>
          <w:lang w:val="zh-CN"/>
        </w:rPr>
        <w:t>七、投标人认为需要提供的其他技术文件或说明</w:t>
      </w:r>
    </w:p>
    <w:p>
      <w:pPr>
        <w:spacing w:line="360" w:lineRule="auto"/>
        <w:ind w:firstLine="1661" w:firstLineChars="591"/>
        <w:rPr>
          <w:rFonts w:cs="仿宋_GB2312" w:asciiTheme="minorEastAsia" w:hAnsiTheme="minorEastAsia" w:eastAsiaTheme="minorEastAsia"/>
          <w:b/>
          <w:kern w:val="0"/>
          <w:sz w:val="28"/>
          <w:szCs w:val="28"/>
          <w:lang w:val="zh-CN"/>
        </w:rPr>
      </w:pPr>
    </w:p>
    <w:p>
      <w:pPr>
        <w:autoSpaceDE w:val="0"/>
        <w:autoSpaceDN w:val="0"/>
        <w:adjustRightInd w:val="0"/>
        <w:spacing w:line="360" w:lineRule="auto"/>
        <w:ind w:firstLine="5040" w:firstLineChars="2100"/>
        <w:jc w:val="left"/>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日期：202 年  月 日</w:t>
      </w:r>
    </w:p>
    <w:p>
      <w:pPr>
        <w:spacing w:line="360" w:lineRule="auto"/>
        <w:jc w:val="center"/>
        <w:rPr>
          <w:rFonts w:cs="仿宋_GB2312" w:asciiTheme="minorEastAsia" w:hAnsiTheme="minorEastAsia" w:eastAsiaTheme="minorEastAsia"/>
          <w:kern w:val="0"/>
          <w:sz w:val="24"/>
          <w:szCs w:val="24"/>
          <w:lang w:val="zh-CN"/>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bCs/>
          <w:sz w:val="24"/>
          <w:szCs w:val="24"/>
        </w:rPr>
        <w:sectPr>
          <w:footerReference r:id="rId12" w:type="first"/>
          <w:footerReference r:id="rId11" w:type="default"/>
          <w:pgSz w:w="11850" w:h="16783"/>
          <w:pgMar w:top="1021" w:right="1418" w:bottom="249" w:left="964" w:header="851" w:footer="992" w:gutter="0"/>
          <w:cols w:space="720" w:num="1"/>
          <w:titlePg/>
          <w:docGrid w:linePitch="312" w:charSpace="0"/>
        </w:sectPr>
      </w:pP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sz w:val="24"/>
          <w:szCs w:val="24"/>
          <w:lang w:val="zh-CN"/>
        </w:rPr>
        <w:t>▲</w:t>
      </w:r>
      <w:r>
        <w:rPr>
          <w:rFonts w:hint="eastAsia" w:asciiTheme="minorEastAsia" w:hAnsiTheme="minorEastAsia" w:eastAsiaTheme="minorEastAsia"/>
          <w:b/>
          <w:bCs/>
          <w:sz w:val="24"/>
          <w:szCs w:val="24"/>
        </w:rPr>
        <w:t>商务文件部分</w:t>
      </w:r>
    </w:p>
    <w:p>
      <w:pPr>
        <w:spacing w:line="360" w:lineRule="auto"/>
        <w:jc w:val="center"/>
        <w:rPr>
          <w:rFonts w:asciiTheme="minorEastAsia" w:hAnsiTheme="minorEastAsia" w:eastAsiaTheme="minorEastAsia"/>
          <w:b/>
          <w:bCs/>
          <w:sz w:val="24"/>
          <w:szCs w:val="24"/>
        </w:rPr>
      </w:pP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目录</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r>
        <w:rPr>
          <w:rFonts w:hint="eastAsia" w:asciiTheme="minorEastAsia" w:hAnsiTheme="minorEastAsia" w:eastAsiaTheme="minorEastAsia"/>
          <w:sz w:val="24"/>
          <w:szCs w:val="24"/>
        </w:rPr>
        <w:t>法人授权委托书</w:t>
      </w:r>
      <w:r>
        <w:rPr>
          <w:rFonts w:hint="eastAsia" w:cs="宋体" w:asciiTheme="minorEastAsia" w:hAnsiTheme="minorEastAsia" w:eastAsiaTheme="minorEastAsia"/>
          <w:kern w:val="0"/>
          <w:sz w:val="24"/>
          <w:szCs w:val="24"/>
        </w:rPr>
        <w:t>、</w:t>
      </w:r>
      <w:r>
        <w:rPr>
          <w:rFonts w:hint="eastAsia" w:asciiTheme="minorEastAsia" w:hAnsiTheme="minorEastAsia" w:eastAsiaTheme="minorEastAsia"/>
          <w:sz w:val="24"/>
          <w:szCs w:val="24"/>
        </w:rPr>
        <w:t>法定代表人及授权委托人的身份证（复印件）</w:t>
      </w:r>
      <w:r>
        <w:rPr>
          <w:rFonts w:hint="eastAsia" w:cs="宋体" w:asciiTheme="minorEastAsia" w:hAnsiTheme="minorEastAsia" w:eastAsiaTheme="minorEastAsia"/>
          <w:kern w:val="0"/>
          <w:sz w:val="24"/>
          <w:szCs w:val="24"/>
        </w:rPr>
        <w:t>（页码）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r>
        <w:rPr>
          <w:rFonts w:hint="eastAsia" w:asciiTheme="minorEastAsia" w:hAnsiTheme="minorEastAsia" w:eastAsiaTheme="minorEastAsia"/>
          <w:sz w:val="24"/>
          <w:szCs w:val="24"/>
        </w:rPr>
        <w:t>投标保证金（银行缴款凭证复印件）</w:t>
      </w:r>
      <w:r>
        <w:rPr>
          <w:rFonts w:hint="eastAsia" w:cs="宋体" w:asciiTheme="minorEastAsia" w:hAnsiTheme="minorEastAsia" w:eastAsiaTheme="minorEastAsia"/>
          <w:kern w:val="0"/>
          <w:sz w:val="24"/>
          <w:szCs w:val="24"/>
        </w:rPr>
        <w:t>……………………………（页码）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hint="eastAsia" w:asciiTheme="minorEastAsia" w:hAnsiTheme="minorEastAsia" w:eastAsiaTheme="minorEastAsia"/>
          <w:sz w:val="24"/>
          <w:szCs w:val="24"/>
        </w:rPr>
        <w:t>声明书</w:t>
      </w:r>
      <w:r>
        <w:rPr>
          <w:rFonts w:hint="eastAsia" w:cs="宋体" w:asciiTheme="minorEastAsia" w:hAnsiTheme="minorEastAsia" w:eastAsiaTheme="minorEastAsia"/>
          <w:kern w:val="0"/>
          <w:sz w:val="24"/>
          <w:szCs w:val="24"/>
        </w:rPr>
        <w:t>………………………………………………………………（页码）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r>
        <w:rPr>
          <w:rFonts w:hint="eastAsia" w:asciiTheme="minorEastAsia" w:hAnsiTheme="minorEastAsia" w:eastAsiaTheme="minorEastAsia"/>
          <w:sz w:val="24"/>
          <w:szCs w:val="24"/>
        </w:rPr>
        <w:t>有效的企业法人营业执照或事业单位法人证书复印件（复印件）</w:t>
      </w:r>
      <w:r>
        <w:rPr>
          <w:rFonts w:hint="eastAsia" w:cs="宋体" w:asciiTheme="minorEastAsia" w:hAnsiTheme="minorEastAsia" w:eastAsiaTheme="minorEastAsia"/>
          <w:kern w:val="0"/>
          <w:sz w:val="24"/>
          <w:szCs w:val="24"/>
        </w:rPr>
        <w:t>（页码）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r>
        <w:rPr>
          <w:rFonts w:hint="eastAsia" w:asciiTheme="minorEastAsia" w:hAnsiTheme="minorEastAsia" w:eastAsiaTheme="minorEastAsia"/>
          <w:sz w:val="24"/>
          <w:szCs w:val="24"/>
        </w:rPr>
        <w:t>所有资质文件（复印件）</w:t>
      </w:r>
      <w:r>
        <w:rPr>
          <w:rFonts w:hint="eastAsia" w:cs="宋体" w:asciiTheme="minorEastAsia" w:hAnsiTheme="minorEastAsia" w:eastAsiaTheme="minorEastAsia"/>
          <w:kern w:val="0"/>
          <w:sz w:val="24"/>
          <w:szCs w:val="24"/>
        </w:rPr>
        <w:t>…………………………………………（页码）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w:t>
      </w:r>
      <w:r>
        <w:rPr>
          <w:rFonts w:hint="eastAsia" w:cs="仿宋_GB2312" w:asciiTheme="minorEastAsia" w:hAnsiTheme="minorEastAsia" w:eastAsiaTheme="minorEastAsia"/>
          <w:kern w:val="0"/>
          <w:sz w:val="24"/>
          <w:szCs w:val="24"/>
          <w:lang w:val="zh-CN"/>
        </w:rPr>
        <w:t>主要业绩证明………………………………………………………</w:t>
      </w:r>
      <w:r>
        <w:rPr>
          <w:rFonts w:hint="eastAsia" w:cs="宋体" w:asciiTheme="minorEastAsia" w:hAnsiTheme="minorEastAsia" w:eastAsiaTheme="minorEastAsia"/>
          <w:kern w:val="0"/>
          <w:sz w:val="24"/>
          <w:szCs w:val="24"/>
        </w:rPr>
        <w:t>（页码）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w:t>
      </w:r>
      <w:r>
        <w:rPr>
          <w:rFonts w:hint="eastAsia" w:cs="仿宋_GB2312" w:asciiTheme="minorEastAsia" w:hAnsiTheme="minorEastAsia" w:eastAsiaTheme="minorEastAsia"/>
          <w:kern w:val="0"/>
          <w:sz w:val="24"/>
          <w:szCs w:val="24"/>
          <w:lang w:val="zh-CN"/>
        </w:rPr>
        <w:t>廉政承诺书…………………………………………………………</w:t>
      </w:r>
      <w:r>
        <w:rPr>
          <w:rFonts w:hint="eastAsia" w:cs="宋体" w:asciiTheme="minorEastAsia" w:hAnsiTheme="minorEastAsia" w:eastAsiaTheme="minorEastAsia"/>
          <w:kern w:val="0"/>
          <w:sz w:val="24"/>
          <w:szCs w:val="24"/>
        </w:rPr>
        <w:t>（页码）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w:t>
      </w:r>
      <w:r>
        <w:rPr>
          <w:rFonts w:hint="eastAsia" w:cs="仿宋_GB2312" w:asciiTheme="minorEastAsia" w:hAnsiTheme="minorEastAsia" w:eastAsiaTheme="minorEastAsia"/>
          <w:kern w:val="0"/>
          <w:sz w:val="24"/>
          <w:szCs w:val="24"/>
          <w:lang w:val="zh-CN"/>
        </w:rPr>
        <w:t>关于对招标文件中有关条款的拒绝声明…………………………</w:t>
      </w:r>
      <w:r>
        <w:rPr>
          <w:rFonts w:hint="eastAsia" w:cs="宋体" w:asciiTheme="minorEastAsia" w:hAnsiTheme="minorEastAsia" w:eastAsiaTheme="minorEastAsia"/>
          <w:kern w:val="0"/>
          <w:sz w:val="24"/>
          <w:szCs w:val="24"/>
        </w:rPr>
        <w:t>（页码）</w:t>
      </w:r>
    </w:p>
    <w:p>
      <w:pPr>
        <w:spacing w:line="360" w:lineRule="auto"/>
        <w:jc w:val="distribute"/>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（9）</w:t>
      </w:r>
      <w:r>
        <w:rPr>
          <w:rFonts w:hint="eastAsia" w:cs="仿宋_GB2312" w:asciiTheme="minorEastAsia" w:hAnsiTheme="minorEastAsia" w:eastAsiaTheme="minorEastAsia"/>
          <w:kern w:val="0"/>
          <w:sz w:val="24"/>
          <w:szCs w:val="24"/>
          <w:lang w:val="zh-CN"/>
        </w:rPr>
        <w:t>投标人认为需要的其他商务文件或说明…………………………</w:t>
      </w:r>
      <w:r>
        <w:rPr>
          <w:rFonts w:hint="eastAsia" w:cs="宋体" w:asciiTheme="minorEastAsia" w:hAnsiTheme="minorEastAsia" w:eastAsiaTheme="minorEastAsia"/>
          <w:kern w:val="0"/>
          <w:sz w:val="24"/>
          <w:szCs w:val="24"/>
        </w:rPr>
        <w:t>（页码）</w:t>
      </w:r>
    </w:p>
    <w:p>
      <w:pPr>
        <w:spacing w:line="360" w:lineRule="auto"/>
        <w:rPr>
          <w:rFonts w:cs="宋体" w:asciiTheme="minorEastAsia" w:hAnsiTheme="minorEastAsia" w:eastAsiaTheme="minorEastAsia"/>
          <w:kern w:val="0"/>
          <w:sz w:val="24"/>
          <w:szCs w:val="24"/>
        </w:rPr>
      </w:pP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注：以上目录是编制投标商务文件的基本格式要求，各投标人可根据自身情况进一步细化。</w:t>
      </w:r>
    </w:p>
    <w:p>
      <w:pPr>
        <w:adjustRightInd w:val="0"/>
        <w:snapToGrid w:val="0"/>
        <w:spacing w:line="360" w:lineRule="auto"/>
        <w:jc w:val="center"/>
        <w:rPr>
          <w:rFonts w:asciiTheme="minorEastAsia" w:hAnsiTheme="minorEastAsia" w:eastAsiaTheme="minorEastAsia"/>
          <w:b/>
          <w:kern w:val="0"/>
          <w:sz w:val="24"/>
          <w:szCs w:val="24"/>
          <w:lang w:val="zh-CN"/>
        </w:rPr>
        <w:sectPr>
          <w:footerReference r:id="rId14" w:type="first"/>
          <w:footerReference r:id="rId13" w:type="default"/>
          <w:pgSz w:w="11850" w:h="16783"/>
          <w:pgMar w:top="1021" w:right="1418" w:bottom="249" w:left="964" w:header="851" w:footer="992" w:gutter="0"/>
          <w:cols w:space="720" w:num="1"/>
          <w:titlePg/>
          <w:docGrid w:linePitch="312" w:charSpace="0"/>
        </w:sectPr>
      </w:pPr>
    </w:p>
    <w:p>
      <w:pPr>
        <w:adjustRightInd w:val="0"/>
        <w:snapToGrid w:val="0"/>
        <w:spacing w:line="360" w:lineRule="auto"/>
        <w:jc w:val="center"/>
        <w:rPr>
          <w:rFonts w:asciiTheme="minorEastAsia" w:hAnsiTheme="minorEastAsia" w:eastAsiaTheme="minorEastAsia"/>
          <w:b/>
          <w:kern w:val="0"/>
          <w:sz w:val="24"/>
          <w:szCs w:val="24"/>
          <w:lang w:val="zh-CN"/>
        </w:rPr>
      </w:pPr>
      <w:r>
        <w:rPr>
          <w:rFonts w:hint="eastAsia" w:asciiTheme="minorEastAsia" w:hAnsiTheme="minorEastAsia" w:eastAsiaTheme="minorEastAsia"/>
          <w:b/>
          <w:kern w:val="0"/>
          <w:sz w:val="24"/>
          <w:szCs w:val="24"/>
          <w:lang w:val="zh-CN"/>
        </w:rPr>
        <w:t>一、法人授权委托书</w:t>
      </w:r>
    </w:p>
    <w:p>
      <w:pPr>
        <w:adjustRightInd w:val="0"/>
        <w:snapToGri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sz w:val="24"/>
          <w:szCs w:val="24"/>
        </w:rPr>
        <w:t>杭州市市场监督管理局、浙江中诺招标代理有限公司</w:t>
      </w:r>
      <w:r>
        <w:rPr>
          <w:rFonts w:hint="eastAsia" w:asciiTheme="minorEastAsia" w:hAnsiTheme="minorEastAsia" w:eastAsiaTheme="minorEastAsia"/>
          <w:kern w:val="0"/>
          <w:sz w:val="24"/>
          <w:szCs w:val="24"/>
          <w:lang w:val="zh-CN"/>
        </w:rPr>
        <w:t>：</w:t>
      </w:r>
    </w:p>
    <w:p>
      <w:pPr>
        <w:adjustRightInd w:val="0"/>
        <w:snapToGrid w:val="0"/>
        <w:spacing w:line="360" w:lineRule="auto"/>
        <w:ind w:firstLine="57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 xml:space="preserve">兹委派我公司 </w:t>
      </w:r>
      <w:r>
        <w:rPr>
          <w:rFonts w:hint="eastAsia"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lang w:val="zh-CN"/>
        </w:rPr>
        <w:t xml:space="preserve">先生/女士(其在本公司的职务是： </w:t>
      </w:r>
      <w:r>
        <w:rPr>
          <w:rFonts w:hint="eastAsia"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lang w:val="zh-CN"/>
        </w:rPr>
        <w:t>，联系电话：</w:t>
      </w:r>
      <w:r>
        <w:rPr>
          <w:rFonts w:hint="eastAsia"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lang w:val="zh-CN"/>
        </w:rPr>
        <w:t>手机：</w:t>
      </w:r>
      <w:r>
        <w:rPr>
          <w:rFonts w:hint="eastAsia"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lang w:val="zh-CN"/>
        </w:rPr>
        <w:t>传真：</w:t>
      </w:r>
      <w:r>
        <w:rPr>
          <w:rFonts w:hint="eastAsia"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lang w:val="zh-CN"/>
        </w:rPr>
        <w:t>)，代表我公司全权处理</w:t>
      </w:r>
      <w:r>
        <w:rPr>
          <w:rFonts w:hint="eastAsia" w:asciiTheme="minorEastAsia" w:hAnsiTheme="minorEastAsia" w:eastAsiaTheme="minorEastAsia"/>
          <w:spacing w:val="-5"/>
          <w:kern w:val="20"/>
          <w:sz w:val="24"/>
          <w:szCs w:val="24"/>
        </w:rPr>
        <w:t>杭州市市场监督管理局2021年上半年食品生产环节监督抽检项目</w:t>
      </w:r>
      <w:r>
        <w:rPr>
          <w:rFonts w:hint="eastAsia" w:asciiTheme="minorEastAsia" w:hAnsiTheme="minorEastAsia" w:eastAsiaTheme="minorEastAsia"/>
          <w:kern w:val="0"/>
          <w:sz w:val="24"/>
          <w:szCs w:val="24"/>
          <w:lang w:val="zh-CN"/>
        </w:rPr>
        <w:t>(编号：</w:t>
      </w:r>
      <w:r>
        <w:rPr>
          <w:rFonts w:hint="eastAsia" w:asciiTheme="minorEastAsia" w:hAnsiTheme="minorEastAsia" w:eastAsiaTheme="minorEastAsia"/>
          <w:sz w:val="24"/>
          <w:szCs w:val="24"/>
          <w:lang w:eastAsia="zh-CN"/>
        </w:rPr>
        <w:t>ZJZN-20951-SJ36</w:t>
      </w:r>
      <w:r>
        <w:rPr>
          <w:rFonts w:hint="eastAsia" w:asciiTheme="minorEastAsia" w:hAnsiTheme="minorEastAsia" w:eastAsiaTheme="minorEastAsia"/>
          <w:kern w:val="0"/>
          <w:sz w:val="24"/>
          <w:szCs w:val="24"/>
          <w:lang w:val="zh-CN"/>
        </w:rPr>
        <w:t>)政府采购投标的一切事项，若中标则全权代表本公司签订相关合同，并负责处理合同履行等事宜。</w:t>
      </w:r>
    </w:p>
    <w:p>
      <w:pPr>
        <w:adjustRightInd w:val="0"/>
        <w:snapToGrid w:val="0"/>
        <w:spacing w:line="360" w:lineRule="auto"/>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 xml:space="preserve">    本委托书有效期：自202 年 月  日起至202 年  月  日止。</w:t>
      </w:r>
    </w:p>
    <w:p>
      <w:pPr>
        <w:adjustRightInd w:val="0"/>
        <w:snapToGri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 xml:space="preserve">    特此告知。</w:t>
      </w:r>
    </w:p>
    <w:p>
      <w:pPr>
        <w:adjustRightInd w:val="0"/>
        <w:snapToGri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 xml:space="preserve">                                                  投标人名称(公章)：</w:t>
      </w:r>
    </w:p>
    <w:p>
      <w:pPr>
        <w:adjustRightInd w:val="0"/>
        <w:snapToGri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 xml:space="preserve">                                                  法定代表人(签章)：</w:t>
      </w:r>
    </w:p>
    <w:p>
      <w:pPr>
        <w:adjustRightInd w:val="0"/>
        <w:snapToGrid w:val="0"/>
        <w:spacing w:line="360" w:lineRule="auto"/>
        <w:jc w:val="right"/>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zh-CN"/>
        </w:rPr>
        <w:t>签发日期：202 年  月   日</w:t>
      </w:r>
    </w:p>
    <w:p>
      <w:pPr>
        <w:adjustRightInd w:val="0"/>
        <w:snapToGrid w:val="0"/>
        <w:spacing w:line="360" w:lineRule="auto"/>
        <w:jc w:val="right"/>
        <w:rPr>
          <w:rFonts w:asciiTheme="minorEastAsia" w:hAnsiTheme="minorEastAsia" w:eastAsiaTheme="minorEastAsia"/>
          <w:kern w:val="0"/>
          <w:sz w:val="24"/>
          <w:szCs w:val="24"/>
          <w:lang w:val="zh-CN"/>
        </w:rPr>
      </w:pPr>
    </w:p>
    <w:p>
      <w:pPr>
        <w:adjustRightInd w:val="0"/>
        <w:snapToGrid w:val="0"/>
        <w:spacing w:line="360" w:lineRule="auto"/>
        <w:ind w:right="8"/>
        <w:jc w:val="center"/>
        <w:rPr>
          <w:rFonts w:asciiTheme="minorEastAsia" w:hAnsiTheme="minorEastAsia" w:eastAsiaTheme="minorEastAsia"/>
          <w:kern w:val="0"/>
          <w:sz w:val="24"/>
          <w:szCs w:val="24"/>
          <w:lang w:val="zh-CN"/>
        </w:rPr>
      </w:pPr>
      <w:r>
        <w:rPr>
          <w:rFonts w:hint="eastAsia" w:asciiTheme="minorEastAsia" w:hAnsiTheme="minorEastAsia" w:eastAsiaTheme="minorEastAsia"/>
          <w:b/>
          <w:sz w:val="24"/>
          <w:szCs w:val="24"/>
        </w:rPr>
        <w:t>法定代表人及授权委托人的身份证（复印件）</w:t>
      </w:r>
    </w:p>
    <w:p>
      <w:pPr>
        <w:adjustRightInd w:val="0"/>
        <w:snapToGrid w:val="0"/>
        <w:spacing w:line="360" w:lineRule="auto"/>
        <w:ind w:right="480"/>
        <w:jc w:val="center"/>
        <w:rPr>
          <w:rFonts w:asciiTheme="minorEastAsia" w:hAnsiTheme="minorEastAsia" w:eastAsiaTheme="minorEastAsia"/>
          <w:b/>
          <w:kern w:val="0"/>
          <w:sz w:val="24"/>
          <w:szCs w:val="24"/>
          <w:lang w:val="zh-CN"/>
        </w:rPr>
      </w:pPr>
    </w:p>
    <w:p>
      <w:pPr>
        <w:adjustRightInd w:val="0"/>
        <w:snapToGrid w:val="0"/>
        <w:spacing w:line="360" w:lineRule="auto"/>
        <w:ind w:right="480"/>
        <w:jc w:val="center"/>
        <w:rPr>
          <w:rFonts w:asciiTheme="minorEastAsia" w:hAnsiTheme="minorEastAsia" w:eastAsiaTheme="minorEastAsia"/>
          <w:b/>
          <w:kern w:val="0"/>
          <w:sz w:val="24"/>
          <w:szCs w:val="24"/>
          <w:lang w:val="zh-CN"/>
        </w:rPr>
      </w:pPr>
    </w:p>
    <w:p>
      <w:pPr>
        <w:adjustRightInd w:val="0"/>
        <w:snapToGrid w:val="0"/>
        <w:spacing w:line="360" w:lineRule="auto"/>
        <w:ind w:right="480"/>
        <w:jc w:val="center"/>
        <w:rPr>
          <w:rFonts w:asciiTheme="minorEastAsia" w:hAnsiTheme="minorEastAsia" w:eastAsiaTheme="minorEastAsia"/>
          <w:b/>
          <w:kern w:val="0"/>
          <w:sz w:val="24"/>
          <w:szCs w:val="24"/>
          <w:lang w:val="zh-CN"/>
        </w:rPr>
      </w:pPr>
    </w:p>
    <w:p>
      <w:pPr>
        <w:adjustRightInd w:val="0"/>
        <w:snapToGrid w:val="0"/>
        <w:spacing w:line="360" w:lineRule="auto"/>
        <w:ind w:right="8"/>
        <w:jc w:val="center"/>
        <w:rPr>
          <w:rFonts w:asciiTheme="minorEastAsia" w:hAnsiTheme="minorEastAsia" w:eastAsiaTheme="minorEastAsia"/>
          <w:b/>
          <w:kern w:val="0"/>
          <w:sz w:val="24"/>
          <w:szCs w:val="24"/>
          <w:lang w:val="zh-CN"/>
        </w:rPr>
      </w:pPr>
      <w:r>
        <w:rPr>
          <w:rFonts w:hint="eastAsia" w:asciiTheme="minorEastAsia" w:hAnsiTheme="minorEastAsia" w:eastAsiaTheme="minorEastAsia"/>
          <w:b/>
          <w:sz w:val="24"/>
          <w:szCs w:val="24"/>
        </w:rPr>
        <w:t>二、投标保证金（银行缴款凭证复印件）</w:t>
      </w:r>
    </w:p>
    <w:p>
      <w:pPr>
        <w:adjustRightInd w:val="0"/>
        <w:snapToGrid w:val="0"/>
        <w:spacing w:line="360" w:lineRule="auto"/>
        <w:ind w:right="8"/>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本项目不设投标保证金</w:t>
      </w:r>
    </w:p>
    <w:p>
      <w:pPr>
        <w:adjustRightInd w:val="0"/>
        <w:snapToGrid w:val="0"/>
        <w:spacing w:line="360" w:lineRule="auto"/>
        <w:ind w:right="480"/>
        <w:jc w:val="center"/>
        <w:rPr>
          <w:rFonts w:asciiTheme="minorEastAsia" w:hAnsiTheme="minorEastAsia" w:eastAsiaTheme="minorEastAsia"/>
          <w:b/>
          <w:kern w:val="0"/>
          <w:sz w:val="24"/>
          <w:szCs w:val="24"/>
          <w:lang w:val="zh-CN"/>
        </w:rPr>
      </w:pPr>
    </w:p>
    <w:p>
      <w:pPr>
        <w:adjustRightInd w:val="0"/>
        <w:snapToGrid w:val="0"/>
        <w:spacing w:line="360" w:lineRule="auto"/>
        <w:ind w:right="480"/>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lang w:val="zh-CN"/>
        </w:rPr>
        <w:t>三、声明书</w:t>
      </w:r>
    </w:p>
    <w:p>
      <w:pPr>
        <w:adjustRightInd w:val="0"/>
        <w:snapToGri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sz w:val="24"/>
          <w:szCs w:val="24"/>
        </w:rPr>
        <w:t>杭州市市场监督管理局、浙江中诺招标代理有限公司</w:t>
      </w:r>
      <w:r>
        <w:rPr>
          <w:rFonts w:hint="eastAsia" w:asciiTheme="minorEastAsia" w:hAnsiTheme="minorEastAsia" w:eastAsiaTheme="minorEastAsia"/>
          <w:kern w:val="0"/>
          <w:sz w:val="24"/>
          <w:szCs w:val="24"/>
          <w:lang w:val="zh-CN"/>
        </w:rPr>
        <w:t>：</w:t>
      </w:r>
    </w:p>
    <w:p>
      <w:pPr>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本单位自愿参加</w:t>
      </w:r>
      <w:r>
        <w:rPr>
          <w:rFonts w:hint="eastAsia" w:asciiTheme="minorEastAsia" w:hAnsiTheme="minorEastAsia" w:eastAsiaTheme="minorEastAsia"/>
          <w:spacing w:val="-5"/>
          <w:kern w:val="20"/>
          <w:sz w:val="24"/>
          <w:szCs w:val="24"/>
        </w:rPr>
        <w:t>杭州市市场监督管理局2021年上半年食品生产环节监督抽检项目</w:t>
      </w:r>
      <w:r>
        <w:rPr>
          <w:rFonts w:hint="eastAsia" w:asciiTheme="minorEastAsia" w:hAnsiTheme="minorEastAsia" w:eastAsiaTheme="minorEastAsia"/>
          <w:kern w:val="0"/>
          <w:sz w:val="24"/>
          <w:szCs w:val="24"/>
          <w:lang w:val="zh-CN"/>
        </w:rPr>
        <w:t>(编号：</w:t>
      </w:r>
      <w:r>
        <w:rPr>
          <w:rFonts w:hint="eastAsia" w:asciiTheme="minorEastAsia" w:hAnsiTheme="minorEastAsia" w:eastAsiaTheme="minorEastAsia"/>
          <w:sz w:val="24"/>
          <w:szCs w:val="24"/>
          <w:lang w:eastAsia="zh-CN"/>
        </w:rPr>
        <w:t>ZJZN-20951-SJ36</w:t>
      </w:r>
      <w:r>
        <w:rPr>
          <w:rFonts w:hint="eastAsia" w:asciiTheme="minorEastAsia" w:hAnsiTheme="minorEastAsia" w:eastAsiaTheme="minorEastAsia"/>
          <w:kern w:val="0"/>
          <w:sz w:val="24"/>
          <w:szCs w:val="24"/>
          <w:lang w:val="zh-CN"/>
        </w:rPr>
        <w:t>)政府采购项目的投标，并保证投标文件中所列举的投标报价文件及相关资料和公司基本情况资料是真实的、合法的。</w:t>
      </w:r>
    </w:p>
    <w:p>
      <w:pPr>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同意此次招标文件中的各项内容。</w:t>
      </w:r>
    </w:p>
    <w:p>
      <w:pPr>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同意提供按照贵方可能要求的与投标有关的一切数据或资料等。</w:t>
      </w:r>
    </w:p>
    <w:p>
      <w:pPr>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zh-CN"/>
        </w:rPr>
        <w:t>本单位如中标，保证按照投标文件的承诺与贵方签订合同，保证履行合同条款并缴纳履约保证金。</w:t>
      </w:r>
    </w:p>
    <w:p>
      <w:pPr>
        <w:autoSpaceDE w:val="0"/>
        <w:autoSpaceDN w:val="0"/>
        <w:adjustRightInd w:val="0"/>
        <w:spacing w:line="360" w:lineRule="auto"/>
        <w:ind w:firstLine="4800" w:firstLineChars="20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投标人名称（公章）：</w:t>
      </w:r>
    </w:p>
    <w:p>
      <w:pPr>
        <w:autoSpaceDE w:val="0"/>
        <w:autoSpaceDN w:val="0"/>
        <w:adjustRightInd w:val="0"/>
        <w:spacing w:line="360" w:lineRule="auto"/>
        <w:ind w:firstLine="4800" w:firstLineChars="20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法定代表人或授权委托人（签字）：</w:t>
      </w:r>
    </w:p>
    <w:p>
      <w:pPr>
        <w:autoSpaceDE w:val="0"/>
        <w:autoSpaceDN w:val="0"/>
        <w:adjustRightInd w:val="0"/>
        <w:spacing w:line="360" w:lineRule="auto"/>
        <w:rPr>
          <w:rFonts w:asciiTheme="minorEastAsia" w:hAnsiTheme="minorEastAsia" w:eastAsiaTheme="minorEastAsia"/>
          <w:kern w:val="0"/>
          <w:sz w:val="24"/>
          <w:szCs w:val="24"/>
        </w:rPr>
        <w:sectPr>
          <w:pgSz w:w="11850" w:h="16783"/>
          <w:pgMar w:top="1021" w:right="1418" w:bottom="249" w:left="964" w:header="851" w:footer="992" w:gutter="0"/>
          <w:cols w:space="720" w:num="1"/>
          <w:titlePg/>
          <w:docGrid w:linePitch="312" w:charSpace="0"/>
        </w:sectPr>
      </w:pPr>
      <w:r>
        <w:rPr>
          <w:rFonts w:hint="eastAsia" w:asciiTheme="minorEastAsia" w:hAnsiTheme="minorEastAsia" w:eastAsiaTheme="minorEastAsia"/>
          <w:kern w:val="0"/>
          <w:sz w:val="24"/>
          <w:szCs w:val="24"/>
        </w:rPr>
        <w:t xml:space="preserve">                                        日期：202 年  月   日</w:t>
      </w:r>
    </w:p>
    <w:p>
      <w:pPr>
        <w:autoSpaceDE w:val="0"/>
        <w:autoSpaceDN w:val="0"/>
        <w:adjustRightIn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bCs/>
          <w:sz w:val="24"/>
          <w:szCs w:val="24"/>
        </w:rPr>
        <w:t>四、</w:t>
      </w:r>
      <w:r>
        <w:rPr>
          <w:rFonts w:hint="eastAsia" w:asciiTheme="minorEastAsia" w:hAnsiTheme="minorEastAsia" w:eastAsiaTheme="minorEastAsia"/>
          <w:b/>
          <w:sz w:val="24"/>
          <w:szCs w:val="24"/>
        </w:rPr>
        <w:t>有效的企业法人营业执照或事业单位法人证书（复印件）</w:t>
      </w: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五、所有资质文件（复印件）</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（由投标人根据采购需求要求编制）</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附表：本项目投标人的资质情况表</w:t>
      </w:r>
    </w:p>
    <w:tbl>
      <w:tblPr>
        <w:tblStyle w:val="39"/>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1400"/>
        <w:gridCol w:w="1070"/>
        <w:gridCol w:w="1070"/>
        <w:gridCol w:w="1070"/>
        <w:gridCol w:w="1399"/>
        <w:gridCol w:w="1365"/>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661" w:type="dxa"/>
            <w:gridSpan w:val="2"/>
            <w:tcBorders>
              <w:bottom w:val="single" w:color="auto" w:sz="4" w:space="0"/>
            </w:tcBorders>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资质要求</w:t>
            </w:r>
          </w:p>
        </w:tc>
        <w:tc>
          <w:tcPr>
            <w:tcW w:w="6618" w:type="dxa"/>
            <w:gridSpan w:val="6"/>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投标单位具备资质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必备资质</w:t>
            </w:r>
          </w:p>
        </w:tc>
        <w:tc>
          <w:tcPr>
            <w:tcW w:w="1400"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资质级别</w:t>
            </w:r>
          </w:p>
        </w:tc>
        <w:tc>
          <w:tcPr>
            <w:tcW w:w="1070"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资质名称</w:t>
            </w:r>
          </w:p>
        </w:tc>
        <w:tc>
          <w:tcPr>
            <w:tcW w:w="1070"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资质级别</w:t>
            </w:r>
          </w:p>
        </w:tc>
        <w:tc>
          <w:tcPr>
            <w:tcW w:w="1070"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颁证机构</w:t>
            </w:r>
          </w:p>
        </w:tc>
        <w:tc>
          <w:tcPr>
            <w:tcW w:w="1399"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证书有效期（起止年月）</w:t>
            </w:r>
          </w:p>
        </w:tc>
        <w:tc>
          <w:tcPr>
            <w:tcW w:w="1365"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证书复印件所在页码</w:t>
            </w:r>
          </w:p>
        </w:tc>
        <w:tc>
          <w:tcPr>
            <w:tcW w:w="644" w:type="dxa"/>
          </w:tcPr>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Pr>
          <w:p>
            <w:pPr>
              <w:spacing w:line="360" w:lineRule="auto"/>
              <w:jc w:val="center"/>
              <w:rPr>
                <w:rFonts w:asciiTheme="minorEastAsia" w:hAnsiTheme="minorEastAsia" w:eastAsiaTheme="minorEastAsia"/>
                <w:sz w:val="24"/>
                <w:szCs w:val="24"/>
              </w:rPr>
            </w:pPr>
          </w:p>
        </w:tc>
        <w:tc>
          <w:tcPr>
            <w:tcW w:w="1400" w:type="dxa"/>
          </w:tcPr>
          <w:p>
            <w:pPr>
              <w:spacing w:line="360" w:lineRule="auto"/>
              <w:jc w:val="center"/>
              <w:rPr>
                <w:rFonts w:asciiTheme="minorEastAsia" w:hAnsiTheme="minorEastAsia" w:eastAsiaTheme="minorEastAsia"/>
                <w:sz w:val="24"/>
                <w:szCs w:val="24"/>
              </w:rPr>
            </w:pPr>
          </w:p>
        </w:tc>
        <w:tc>
          <w:tcPr>
            <w:tcW w:w="1070" w:type="dxa"/>
          </w:tcPr>
          <w:p>
            <w:pPr>
              <w:spacing w:line="360" w:lineRule="auto"/>
              <w:jc w:val="center"/>
              <w:rPr>
                <w:rFonts w:asciiTheme="minorEastAsia" w:hAnsiTheme="minorEastAsia" w:eastAsiaTheme="minorEastAsia"/>
                <w:sz w:val="24"/>
                <w:szCs w:val="24"/>
              </w:rPr>
            </w:pPr>
          </w:p>
        </w:tc>
        <w:tc>
          <w:tcPr>
            <w:tcW w:w="1070" w:type="dxa"/>
          </w:tcPr>
          <w:p>
            <w:pPr>
              <w:spacing w:line="360" w:lineRule="auto"/>
              <w:jc w:val="center"/>
              <w:rPr>
                <w:rFonts w:asciiTheme="minorEastAsia" w:hAnsiTheme="minorEastAsia" w:eastAsiaTheme="minorEastAsia"/>
                <w:sz w:val="24"/>
                <w:szCs w:val="24"/>
              </w:rPr>
            </w:pPr>
          </w:p>
        </w:tc>
        <w:tc>
          <w:tcPr>
            <w:tcW w:w="1070" w:type="dxa"/>
          </w:tcPr>
          <w:p>
            <w:pPr>
              <w:spacing w:line="360" w:lineRule="auto"/>
              <w:jc w:val="center"/>
              <w:rPr>
                <w:rFonts w:asciiTheme="minorEastAsia" w:hAnsiTheme="minorEastAsia" w:eastAsiaTheme="minorEastAsia"/>
                <w:sz w:val="24"/>
                <w:szCs w:val="24"/>
              </w:rPr>
            </w:pPr>
          </w:p>
        </w:tc>
        <w:tc>
          <w:tcPr>
            <w:tcW w:w="1399" w:type="dxa"/>
          </w:tcPr>
          <w:p>
            <w:pPr>
              <w:spacing w:line="360" w:lineRule="auto"/>
              <w:jc w:val="center"/>
              <w:rPr>
                <w:rFonts w:asciiTheme="minorEastAsia" w:hAnsiTheme="minorEastAsia" w:eastAsiaTheme="minorEastAsia"/>
                <w:sz w:val="24"/>
                <w:szCs w:val="24"/>
              </w:rPr>
            </w:pPr>
          </w:p>
        </w:tc>
        <w:tc>
          <w:tcPr>
            <w:tcW w:w="1365" w:type="dxa"/>
          </w:tcPr>
          <w:p>
            <w:pPr>
              <w:spacing w:line="360" w:lineRule="auto"/>
              <w:jc w:val="center"/>
              <w:rPr>
                <w:rFonts w:asciiTheme="minorEastAsia" w:hAnsiTheme="minorEastAsia" w:eastAsiaTheme="minorEastAsia"/>
                <w:sz w:val="24"/>
                <w:szCs w:val="24"/>
              </w:rPr>
            </w:pPr>
          </w:p>
        </w:tc>
        <w:tc>
          <w:tcPr>
            <w:tcW w:w="644" w:type="dxa"/>
          </w:tcPr>
          <w:p>
            <w:pPr>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Pr>
          <w:p>
            <w:pPr>
              <w:spacing w:line="360" w:lineRule="auto"/>
              <w:jc w:val="center"/>
              <w:rPr>
                <w:rFonts w:asciiTheme="minorEastAsia" w:hAnsiTheme="minorEastAsia" w:eastAsiaTheme="minorEastAsia"/>
                <w:sz w:val="24"/>
                <w:szCs w:val="24"/>
              </w:rPr>
            </w:pPr>
          </w:p>
        </w:tc>
        <w:tc>
          <w:tcPr>
            <w:tcW w:w="1400" w:type="dxa"/>
          </w:tcPr>
          <w:p>
            <w:pPr>
              <w:spacing w:line="360" w:lineRule="auto"/>
              <w:jc w:val="center"/>
              <w:rPr>
                <w:rFonts w:asciiTheme="minorEastAsia" w:hAnsiTheme="minorEastAsia" w:eastAsiaTheme="minorEastAsia"/>
                <w:sz w:val="24"/>
                <w:szCs w:val="24"/>
              </w:rPr>
            </w:pPr>
          </w:p>
        </w:tc>
        <w:tc>
          <w:tcPr>
            <w:tcW w:w="1070" w:type="dxa"/>
          </w:tcPr>
          <w:p>
            <w:pPr>
              <w:spacing w:line="360" w:lineRule="auto"/>
              <w:jc w:val="center"/>
              <w:rPr>
                <w:rFonts w:asciiTheme="minorEastAsia" w:hAnsiTheme="minorEastAsia" w:eastAsiaTheme="minorEastAsia"/>
                <w:sz w:val="24"/>
                <w:szCs w:val="24"/>
              </w:rPr>
            </w:pPr>
          </w:p>
        </w:tc>
        <w:tc>
          <w:tcPr>
            <w:tcW w:w="1070" w:type="dxa"/>
          </w:tcPr>
          <w:p>
            <w:pPr>
              <w:spacing w:line="360" w:lineRule="auto"/>
              <w:jc w:val="center"/>
              <w:rPr>
                <w:rFonts w:asciiTheme="minorEastAsia" w:hAnsiTheme="minorEastAsia" w:eastAsiaTheme="minorEastAsia"/>
                <w:sz w:val="24"/>
                <w:szCs w:val="24"/>
              </w:rPr>
            </w:pPr>
          </w:p>
        </w:tc>
        <w:tc>
          <w:tcPr>
            <w:tcW w:w="1070" w:type="dxa"/>
          </w:tcPr>
          <w:p>
            <w:pPr>
              <w:spacing w:line="360" w:lineRule="auto"/>
              <w:jc w:val="center"/>
              <w:rPr>
                <w:rFonts w:asciiTheme="minorEastAsia" w:hAnsiTheme="minorEastAsia" w:eastAsiaTheme="minorEastAsia"/>
                <w:sz w:val="24"/>
                <w:szCs w:val="24"/>
              </w:rPr>
            </w:pPr>
          </w:p>
        </w:tc>
        <w:tc>
          <w:tcPr>
            <w:tcW w:w="1399" w:type="dxa"/>
          </w:tcPr>
          <w:p>
            <w:pPr>
              <w:spacing w:line="360" w:lineRule="auto"/>
              <w:jc w:val="center"/>
              <w:rPr>
                <w:rFonts w:asciiTheme="minorEastAsia" w:hAnsiTheme="minorEastAsia" w:eastAsiaTheme="minorEastAsia"/>
                <w:sz w:val="24"/>
                <w:szCs w:val="24"/>
              </w:rPr>
            </w:pPr>
          </w:p>
        </w:tc>
        <w:tc>
          <w:tcPr>
            <w:tcW w:w="1365" w:type="dxa"/>
          </w:tcPr>
          <w:p>
            <w:pPr>
              <w:spacing w:line="360" w:lineRule="auto"/>
              <w:jc w:val="center"/>
              <w:rPr>
                <w:rFonts w:asciiTheme="minorEastAsia" w:hAnsiTheme="minorEastAsia" w:eastAsiaTheme="minorEastAsia"/>
                <w:sz w:val="24"/>
                <w:szCs w:val="24"/>
              </w:rPr>
            </w:pPr>
          </w:p>
        </w:tc>
        <w:tc>
          <w:tcPr>
            <w:tcW w:w="644" w:type="dxa"/>
          </w:tcPr>
          <w:p>
            <w:pPr>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其他资质</w:t>
            </w:r>
          </w:p>
        </w:tc>
        <w:tc>
          <w:tcPr>
            <w:tcW w:w="1400"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资质级别</w:t>
            </w:r>
          </w:p>
        </w:tc>
        <w:tc>
          <w:tcPr>
            <w:tcW w:w="1070"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资质名称</w:t>
            </w:r>
          </w:p>
        </w:tc>
        <w:tc>
          <w:tcPr>
            <w:tcW w:w="1070"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资质级别</w:t>
            </w:r>
          </w:p>
        </w:tc>
        <w:tc>
          <w:tcPr>
            <w:tcW w:w="1070"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颁证机构</w:t>
            </w:r>
          </w:p>
        </w:tc>
        <w:tc>
          <w:tcPr>
            <w:tcW w:w="1399"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证书有效期（起止年月）</w:t>
            </w:r>
          </w:p>
        </w:tc>
        <w:tc>
          <w:tcPr>
            <w:tcW w:w="1365"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证书复印件所在页码</w:t>
            </w:r>
          </w:p>
        </w:tc>
        <w:tc>
          <w:tcPr>
            <w:tcW w:w="644" w:type="dxa"/>
          </w:tcPr>
          <w:p>
            <w:pPr>
              <w:spacing w:line="360" w:lineRule="auto"/>
              <w:jc w:val="center"/>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Borders>
              <w:right w:val="single" w:color="auto" w:sz="4" w:space="0"/>
            </w:tcBorders>
            <w:vAlign w:val="center"/>
          </w:tcPr>
          <w:p>
            <w:pPr>
              <w:spacing w:line="360" w:lineRule="auto"/>
              <w:jc w:val="center"/>
              <w:rPr>
                <w:rFonts w:asciiTheme="minorEastAsia" w:hAnsiTheme="minorEastAsia" w:eastAsiaTheme="minorEastAsia"/>
                <w:sz w:val="24"/>
                <w:szCs w:val="24"/>
              </w:rPr>
            </w:pPr>
          </w:p>
        </w:tc>
        <w:tc>
          <w:tcPr>
            <w:tcW w:w="1400" w:type="dxa"/>
            <w:tcBorders>
              <w:left w:val="single" w:color="auto" w:sz="4" w:space="0"/>
            </w:tcBorders>
            <w:vAlign w:val="center"/>
          </w:tcPr>
          <w:p>
            <w:pPr>
              <w:spacing w:line="360" w:lineRule="auto"/>
              <w:jc w:val="center"/>
              <w:rPr>
                <w:rFonts w:asciiTheme="minorEastAsia" w:hAnsiTheme="minorEastAsia" w:eastAsiaTheme="minorEastAsia"/>
                <w:sz w:val="24"/>
                <w:szCs w:val="24"/>
              </w:rPr>
            </w:pPr>
          </w:p>
        </w:tc>
        <w:tc>
          <w:tcPr>
            <w:tcW w:w="1070" w:type="dxa"/>
            <w:vAlign w:val="center"/>
          </w:tcPr>
          <w:p>
            <w:pPr>
              <w:spacing w:line="360" w:lineRule="auto"/>
              <w:jc w:val="center"/>
              <w:rPr>
                <w:rFonts w:asciiTheme="minorEastAsia" w:hAnsiTheme="minorEastAsia" w:eastAsiaTheme="minorEastAsia"/>
                <w:sz w:val="24"/>
                <w:szCs w:val="24"/>
              </w:rPr>
            </w:pPr>
          </w:p>
        </w:tc>
        <w:tc>
          <w:tcPr>
            <w:tcW w:w="1070" w:type="dxa"/>
            <w:vAlign w:val="center"/>
          </w:tcPr>
          <w:p>
            <w:pPr>
              <w:spacing w:line="360" w:lineRule="auto"/>
              <w:jc w:val="center"/>
              <w:rPr>
                <w:rFonts w:asciiTheme="minorEastAsia" w:hAnsiTheme="minorEastAsia" w:eastAsiaTheme="minorEastAsia"/>
                <w:sz w:val="24"/>
                <w:szCs w:val="24"/>
              </w:rPr>
            </w:pPr>
          </w:p>
        </w:tc>
        <w:tc>
          <w:tcPr>
            <w:tcW w:w="1070" w:type="dxa"/>
            <w:vAlign w:val="center"/>
          </w:tcPr>
          <w:p>
            <w:pPr>
              <w:spacing w:line="360" w:lineRule="auto"/>
              <w:jc w:val="center"/>
              <w:rPr>
                <w:rFonts w:asciiTheme="minorEastAsia" w:hAnsiTheme="minorEastAsia" w:eastAsiaTheme="minorEastAsia"/>
                <w:sz w:val="24"/>
                <w:szCs w:val="24"/>
              </w:rPr>
            </w:pPr>
          </w:p>
        </w:tc>
        <w:tc>
          <w:tcPr>
            <w:tcW w:w="1399" w:type="dxa"/>
            <w:vAlign w:val="center"/>
          </w:tcPr>
          <w:p>
            <w:pPr>
              <w:spacing w:line="360" w:lineRule="auto"/>
              <w:jc w:val="center"/>
              <w:rPr>
                <w:rFonts w:asciiTheme="minorEastAsia" w:hAnsiTheme="minorEastAsia" w:eastAsiaTheme="minorEastAsia"/>
                <w:sz w:val="24"/>
                <w:szCs w:val="24"/>
              </w:rPr>
            </w:pPr>
          </w:p>
        </w:tc>
        <w:tc>
          <w:tcPr>
            <w:tcW w:w="1365" w:type="dxa"/>
            <w:vAlign w:val="center"/>
          </w:tcPr>
          <w:p>
            <w:pPr>
              <w:spacing w:line="360" w:lineRule="auto"/>
              <w:jc w:val="center"/>
              <w:rPr>
                <w:rFonts w:asciiTheme="minorEastAsia" w:hAnsiTheme="minorEastAsia" w:eastAsiaTheme="minorEastAsia"/>
                <w:sz w:val="24"/>
                <w:szCs w:val="24"/>
              </w:rPr>
            </w:pPr>
          </w:p>
        </w:tc>
        <w:tc>
          <w:tcPr>
            <w:tcW w:w="644" w:type="dxa"/>
            <w:vAlign w:val="center"/>
          </w:tcPr>
          <w:p>
            <w:pPr>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Borders>
              <w:right w:val="single" w:color="auto" w:sz="4" w:space="0"/>
            </w:tcBorders>
            <w:vAlign w:val="center"/>
          </w:tcPr>
          <w:p>
            <w:pPr>
              <w:spacing w:line="360" w:lineRule="auto"/>
              <w:jc w:val="center"/>
              <w:rPr>
                <w:rFonts w:asciiTheme="minorEastAsia" w:hAnsiTheme="minorEastAsia" w:eastAsiaTheme="minorEastAsia"/>
                <w:sz w:val="24"/>
                <w:szCs w:val="24"/>
              </w:rPr>
            </w:pPr>
          </w:p>
        </w:tc>
        <w:tc>
          <w:tcPr>
            <w:tcW w:w="1400" w:type="dxa"/>
            <w:tcBorders>
              <w:left w:val="single" w:color="auto" w:sz="4" w:space="0"/>
            </w:tcBorders>
            <w:vAlign w:val="center"/>
          </w:tcPr>
          <w:p>
            <w:pPr>
              <w:spacing w:line="360" w:lineRule="auto"/>
              <w:jc w:val="center"/>
              <w:rPr>
                <w:rFonts w:asciiTheme="minorEastAsia" w:hAnsiTheme="minorEastAsia" w:eastAsiaTheme="minorEastAsia"/>
                <w:sz w:val="24"/>
                <w:szCs w:val="24"/>
              </w:rPr>
            </w:pPr>
          </w:p>
        </w:tc>
        <w:tc>
          <w:tcPr>
            <w:tcW w:w="1070" w:type="dxa"/>
            <w:vAlign w:val="center"/>
          </w:tcPr>
          <w:p>
            <w:pPr>
              <w:spacing w:line="360" w:lineRule="auto"/>
              <w:jc w:val="center"/>
              <w:rPr>
                <w:rFonts w:asciiTheme="minorEastAsia" w:hAnsiTheme="minorEastAsia" w:eastAsiaTheme="minorEastAsia"/>
                <w:sz w:val="24"/>
                <w:szCs w:val="24"/>
              </w:rPr>
            </w:pPr>
          </w:p>
        </w:tc>
        <w:tc>
          <w:tcPr>
            <w:tcW w:w="1070" w:type="dxa"/>
            <w:vAlign w:val="center"/>
          </w:tcPr>
          <w:p>
            <w:pPr>
              <w:spacing w:line="360" w:lineRule="auto"/>
              <w:jc w:val="center"/>
              <w:rPr>
                <w:rFonts w:asciiTheme="minorEastAsia" w:hAnsiTheme="minorEastAsia" w:eastAsiaTheme="minorEastAsia"/>
                <w:sz w:val="24"/>
                <w:szCs w:val="24"/>
              </w:rPr>
            </w:pPr>
          </w:p>
        </w:tc>
        <w:tc>
          <w:tcPr>
            <w:tcW w:w="1070" w:type="dxa"/>
            <w:vAlign w:val="center"/>
          </w:tcPr>
          <w:p>
            <w:pPr>
              <w:spacing w:line="360" w:lineRule="auto"/>
              <w:jc w:val="center"/>
              <w:rPr>
                <w:rFonts w:asciiTheme="minorEastAsia" w:hAnsiTheme="minorEastAsia" w:eastAsiaTheme="minorEastAsia"/>
                <w:sz w:val="24"/>
                <w:szCs w:val="24"/>
              </w:rPr>
            </w:pPr>
          </w:p>
        </w:tc>
        <w:tc>
          <w:tcPr>
            <w:tcW w:w="1399" w:type="dxa"/>
            <w:vAlign w:val="center"/>
          </w:tcPr>
          <w:p>
            <w:pPr>
              <w:spacing w:line="360" w:lineRule="auto"/>
              <w:jc w:val="center"/>
              <w:rPr>
                <w:rFonts w:asciiTheme="minorEastAsia" w:hAnsiTheme="minorEastAsia" w:eastAsiaTheme="minorEastAsia"/>
                <w:sz w:val="24"/>
                <w:szCs w:val="24"/>
              </w:rPr>
            </w:pPr>
          </w:p>
        </w:tc>
        <w:tc>
          <w:tcPr>
            <w:tcW w:w="1365" w:type="dxa"/>
            <w:vAlign w:val="center"/>
          </w:tcPr>
          <w:p>
            <w:pPr>
              <w:spacing w:line="360" w:lineRule="auto"/>
              <w:jc w:val="center"/>
              <w:rPr>
                <w:rFonts w:asciiTheme="minorEastAsia" w:hAnsiTheme="minorEastAsia" w:eastAsiaTheme="minorEastAsia"/>
                <w:sz w:val="24"/>
                <w:szCs w:val="24"/>
              </w:rPr>
            </w:pPr>
          </w:p>
        </w:tc>
        <w:tc>
          <w:tcPr>
            <w:tcW w:w="644" w:type="dxa"/>
            <w:vAlign w:val="center"/>
          </w:tcPr>
          <w:p>
            <w:pPr>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Borders>
              <w:right w:val="single" w:color="auto" w:sz="4" w:space="0"/>
            </w:tcBorders>
            <w:vAlign w:val="center"/>
          </w:tcPr>
          <w:p>
            <w:pPr>
              <w:spacing w:line="360" w:lineRule="auto"/>
              <w:rPr>
                <w:rFonts w:asciiTheme="minorEastAsia" w:hAnsiTheme="minorEastAsia" w:eastAsiaTheme="minorEastAsia"/>
                <w:sz w:val="24"/>
                <w:szCs w:val="24"/>
              </w:rPr>
            </w:pPr>
          </w:p>
        </w:tc>
        <w:tc>
          <w:tcPr>
            <w:tcW w:w="1400" w:type="dxa"/>
            <w:tcBorders>
              <w:left w:val="single" w:color="auto" w:sz="4" w:space="0"/>
            </w:tcBorders>
            <w:vAlign w:val="center"/>
          </w:tcPr>
          <w:p>
            <w:pPr>
              <w:spacing w:line="360" w:lineRule="auto"/>
              <w:rPr>
                <w:rFonts w:asciiTheme="minorEastAsia" w:hAnsiTheme="minorEastAsia" w:eastAsiaTheme="minorEastAsia"/>
                <w:sz w:val="24"/>
                <w:szCs w:val="24"/>
              </w:rPr>
            </w:pPr>
          </w:p>
        </w:tc>
        <w:tc>
          <w:tcPr>
            <w:tcW w:w="1070" w:type="dxa"/>
            <w:vAlign w:val="center"/>
          </w:tcPr>
          <w:p>
            <w:pPr>
              <w:spacing w:line="360" w:lineRule="auto"/>
              <w:rPr>
                <w:rFonts w:asciiTheme="minorEastAsia" w:hAnsiTheme="minorEastAsia" w:eastAsiaTheme="minorEastAsia"/>
                <w:sz w:val="24"/>
                <w:szCs w:val="24"/>
              </w:rPr>
            </w:pPr>
          </w:p>
        </w:tc>
        <w:tc>
          <w:tcPr>
            <w:tcW w:w="1070" w:type="dxa"/>
            <w:vAlign w:val="center"/>
          </w:tcPr>
          <w:p>
            <w:pPr>
              <w:spacing w:line="360" w:lineRule="auto"/>
              <w:rPr>
                <w:rFonts w:asciiTheme="minorEastAsia" w:hAnsiTheme="minorEastAsia" w:eastAsiaTheme="minorEastAsia"/>
                <w:sz w:val="24"/>
                <w:szCs w:val="24"/>
              </w:rPr>
            </w:pPr>
          </w:p>
        </w:tc>
        <w:tc>
          <w:tcPr>
            <w:tcW w:w="1070" w:type="dxa"/>
            <w:vAlign w:val="center"/>
          </w:tcPr>
          <w:p>
            <w:pPr>
              <w:spacing w:line="360" w:lineRule="auto"/>
              <w:rPr>
                <w:rFonts w:asciiTheme="minorEastAsia" w:hAnsiTheme="minorEastAsia" w:eastAsiaTheme="minorEastAsia"/>
                <w:sz w:val="24"/>
                <w:szCs w:val="24"/>
              </w:rPr>
            </w:pPr>
          </w:p>
        </w:tc>
        <w:tc>
          <w:tcPr>
            <w:tcW w:w="1399" w:type="dxa"/>
            <w:vAlign w:val="center"/>
          </w:tcPr>
          <w:p>
            <w:pPr>
              <w:spacing w:line="360" w:lineRule="auto"/>
              <w:rPr>
                <w:rFonts w:asciiTheme="minorEastAsia" w:hAnsiTheme="minorEastAsia" w:eastAsiaTheme="minorEastAsia"/>
                <w:sz w:val="24"/>
                <w:szCs w:val="24"/>
              </w:rPr>
            </w:pPr>
          </w:p>
        </w:tc>
        <w:tc>
          <w:tcPr>
            <w:tcW w:w="1365" w:type="dxa"/>
            <w:vAlign w:val="center"/>
          </w:tcPr>
          <w:p>
            <w:pPr>
              <w:spacing w:line="360" w:lineRule="auto"/>
              <w:rPr>
                <w:rFonts w:asciiTheme="minorEastAsia" w:hAnsiTheme="minorEastAsia" w:eastAsiaTheme="minorEastAsia"/>
                <w:sz w:val="24"/>
                <w:szCs w:val="24"/>
              </w:rPr>
            </w:pPr>
          </w:p>
        </w:tc>
        <w:tc>
          <w:tcPr>
            <w:tcW w:w="644" w:type="dxa"/>
            <w:vAlign w:val="center"/>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Borders>
              <w:right w:val="single" w:color="auto" w:sz="4" w:space="0"/>
            </w:tcBorders>
            <w:vAlign w:val="center"/>
          </w:tcPr>
          <w:p>
            <w:pPr>
              <w:spacing w:line="360" w:lineRule="auto"/>
              <w:rPr>
                <w:rFonts w:asciiTheme="minorEastAsia" w:hAnsiTheme="minorEastAsia" w:eastAsiaTheme="minorEastAsia"/>
                <w:sz w:val="24"/>
                <w:szCs w:val="24"/>
              </w:rPr>
            </w:pPr>
          </w:p>
        </w:tc>
        <w:tc>
          <w:tcPr>
            <w:tcW w:w="1400" w:type="dxa"/>
            <w:tcBorders>
              <w:left w:val="single" w:color="auto" w:sz="4" w:space="0"/>
            </w:tcBorders>
            <w:vAlign w:val="center"/>
          </w:tcPr>
          <w:p>
            <w:pPr>
              <w:spacing w:line="360" w:lineRule="auto"/>
              <w:rPr>
                <w:rFonts w:asciiTheme="minorEastAsia" w:hAnsiTheme="minorEastAsia" w:eastAsiaTheme="minorEastAsia"/>
                <w:sz w:val="24"/>
                <w:szCs w:val="24"/>
              </w:rPr>
            </w:pPr>
          </w:p>
        </w:tc>
        <w:tc>
          <w:tcPr>
            <w:tcW w:w="1070" w:type="dxa"/>
            <w:vAlign w:val="center"/>
          </w:tcPr>
          <w:p>
            <w:pPr>
              <w:spacing w:line="360" w:lineRule="auto"/>
              <w:rPr>
                <w:rFonts w:asciiTheme="minorEastAsia" w:hAnsiTheme="minorEastAsia" w:eastAsiaTheme="minorEastAsia"/>
                <w:sz w:val="24"/>
                <w:szCs w:val="24"/>
              </w:rPr>
            </w:pPr>
          </w:p>
        </w:tc>
        <w:tc>
          <w:tcPr>
            <w:tcW w:w="1070" w:type="dxa"/>
            <w:vAlign w:val="center"/>
          </w:tcPr>
          <w:p>
            <w:pPr>
              <w:spacing w:line="360" w:lineRule="auto"/>
              <w:rPr>
                <w:rFonts w:asciiTheme="minorEastAsia" w:hAnsiTheme="minorEastAsia" w:eastAsiaTheme="minorEastAsia"/>
                <w:sz w:val="24"/>
                <w:szCs w:val="24"/>
              </w:rPr>
            </w:pPr>
          </w:p>
        </w:tc>
        <w:tc>
          <w:tcPr>
            <w:tcW w:w="1070" w:type="dxa"/>
            <w:vAlign w:val="center"/>
          </w:tcPr>
          <w:p>
            <w:pPr>
              <w:spacing w:line="360" w:lineRule="auto"/>
              <w:rPr>
                <w:rFonts w:asciiTheme="minorEastAsia" w:hAnsiTheme="minorEastAsia" w:eastAsiaTheme="minorEastAsia"/>
                <w:sz w:val="24"/>
                <w:szCs w:val="24"/>
              </w:rPr>
            </w:pPr>
          </w:p>
        </w:tc>
        <w:tc>
          <w:tcPr>
            <w:tcW w:w="1399" w:type="dxa"/>
            <w:vAlign w:val="center"/>
          </w:tcPr>
          <w:p>
            <w:pPr>
              <w:spacing w:line="360" w:lineRule="auto"/>
              <w:rPr>
                <w:rFonts w:asciiTheme="minorEastAsia" w:hAnsiTheme="minorEastAsia" w:eastAsiaTheme="minorEastAsia"/>
                <w:sz w:val="24"/>
                <w:szCs w:val="24"/>
              </w:rPr>
            </w:pPr>
          </w:p>
        </w:tc>
        <w:tc>
          <w:tcPr>
            <w:tcW w:w="1365" w:type="dxa"/>
            <w:vAlign w:val="center"/>
          </w:tcPr>
          <w:p>
            <w:pPr>
              <w:spacing w:line="360" w:lineRule="auto"/>
              <w:rPr>
                <w:rFonts w:asciiTheme="minorEastAsia" w:hAnsiTheme="minorEastAsia" w:eastAsiaTheme="minorEastAsia"/>
                <w:sz w:val="24"/>
                <w:szCs w:val="24"/>
              </w:rPr>
            </w:pPr>
          </w:p>
        </w:tc>
        <w:tc>
          <w:tcPr>
            <w:tcW w:w="644" w:type="dxa"/>
            <w:vAlign w:val="center"/>
          </w:tcPr>
          <w:p>
            <w:pPr>
              <w:spacing w:line="360" w:lineRule="auto"/>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注：本项目不允许联合体投标</w:t>
      </w:r>
    </w:p>
    <w:p>
      <w:pPr>
        <w:spacing w:line="360" w:lineRule="auto"/>
        <w:jc w:val="center"/>
        <w:rPr>
          <w:rFonts w:asciiTheme="minorEastAsia" w:hAnsiTheme="minorEastAsia" w:eastAsiaTheme="minorEastAsia"/>
          <w:b/>
          <w:sz w:val="24"/>
          <w:szCs w:val="24"/>
        </w:rPr>
        <w:sectPr>
          <w:footerReference r:id="rId16" w:type="first"/>
          <w:footerReference r:id="rId15" w:type="default"/>
          <w:pgSz w:w="11850" w:h="16783"/>
          <w:pgMar w:top="1021" w:right="1418" w:bottom="249" w:left="964" w:header="851" w:footer="992" w:gutter="0"/>
          <w:cols w:space="720" w:num="1"/>
          <w:titlePg/>
          <w:docGrid w:linePitch="312" w:charSpace="0"/>
        </w:sectPr>
      </w:pP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sz w:val="24"/>
          <w:szCs w:val="24"/>
        </w:rPr>
        <w:t>六、</w:t>
      </w:r>
      <w:r>
        <w:rPr>
          <w:rFonts w:hint="eastAsia" w:cs="仿宋_GB2312" w:asciiTheme="minorEastAsia" w:hAnsiTheme="minorEastAsia" w:eastAsiaTheme="minorEastAsia"/>
          <w:b/>
          <w:kern w:val="0"/>
          <w:sz w:val="24"/>
          <w:szCs w:val="24"/>
          <w:lang w:val="zh-CN"/>
        </w:rPr>
        <w:t>主要业绩证明</w:t>
      </w:r>
    </w:p>
    <w:p>
      <w:pPr>
        <w:autoSpaceDE w:val="0"/>
        <w:autoSpaceDN w:val="0"/>
        <w:adjustRightInd w:val="0"/>
        <w:spacing w:line="360" w:lineRule="auto"/>
        <w:ind w:firstLine="120"/>
        <w:rPr>
          <w:rFonts w:asciiTheme="minorEastAsia" w:hAnsiTheme="minorEastAsia" w:eastAsiaTheme="minorEastAsia"/>
          <w:b/>
          <w:sz w:val="24"/>
          <w:szCs w:val="24"/>
        </w:rPr>
      </w:pPr>
      <w:r>
        <w:rPr>
          <w:rFonts w:hint="eastAsia" w:asciiTheme="minorEastAsia" w:hAnsiTheme="minorEastAsia" w:eastAsiaTheme="minorEastAsia"/>
          <w:b/>
          <w:sz w:val="24"/>
          <w:szCs w:val="24"/>
        </w:rPr>
        <w:t>附表 :相关项目建设业绩一览表</w:t>
      </w:r>
    </w:p>
    <w:tbl>
      <w:tblPr>
        <w:tblStyle w:val="39"/>
        <w:tblW w:w="9740" w:type="dxa"/>
        <w:tblInd w:w="0" w:type="dxa"/>
        <w:tblLayout w:type="fixed"/>
        <w:tblCellMar>
          <w:top w:w="0" w:type="dxa"/>
          <w:left w:w="108" w:type="dxa"/>
          <w:bottom w:w="0" w:type="dxa"/>
          <w:right w:w="108" w:type="dxa"/>
        </w:tblCellMar>
      </w:tblPr>
      <w:tblGrid>
        <w:gridCol w:w="2142"/>
        <w:gridCol w:w="1614"/>
        <w:gridCol w:w="1360"/>
        <w:gridCol w:w="1375"/>
        <w:gridCol w:w="2281"/>
        <w:gridCol w:w="968"/>
      </w:tblGrid>
      <w:tr>
        <w:tblPrEx>
          <w:tblCellMar>
            <w:top w:w="0" w:type="dxa"/>
            <w:left w:w="108" w:type="dxa"/>
            <w:bottom w:w="0" w:type="dxa"/>
            <w:right w:w="108" w:type="dxa"/>
          </w:tblCellMar>
        </w:tblPrEx>
        <w:trPr>
          <w:trHeight w:val="1177" w:hRule="atLeast"/>
        </w:trPr>
        <w:tc>
          <w:tcPr>
            <w:tcW w:w="21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1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简要描述</w:t>
            </w:r>
          </w:p>
        </w:tc>
        <w:tc>
          <w:tcPr>
            <w:tcW w:w="1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w:t>
            </w:r>
          </w:p>
          <w:p>
            <w:pPr>
              <w:autoSpaceDE w:val="0"/>
              <w:autoSpaceDN w:val="0"/>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金额</w:t>
            </w:r>
          </w:p>
          <w:p>
            <w:pPr>
              <w:autoSpaceDE w:val="0"/>
              <w:autoSpaceDN w:val="0"/>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（万元）</w:t>
            </w:r>
          </w:p>
        </w:tc>
        <w:tc>
          <w:tcPr>
            <w:tcW w:w="13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项目实施日期</w:t>
            </w:r>
          </w:p>
        </w:tc>
        <w:tc>
          <w:tcPr>
            <w:tcW w:w="22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采购单位联系电话联系人</w:t>
            </w:r>
          </w:p>
        </w:tc>
        <w:tc>
          <w:tcPr>
            <w:tcW w:w="9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所在页码</w:t>
            </w:r>
          </w:p>
        </w:tc>
      </w:tr>
      <w:tr>
        <w:tblPrEx>
          <w:tblCellMar>
            <w:top w:w="0" w:type="dxa"/>
            <w:left w:w="108" w:type="dxa"/>
            <w:bottom w:w="0" w:type="dxa"/>
            <w:right w:w="108" w:type="dxa"/>
          </w:tblCellMar>
        </w:tblPrEx>
        <w:trPr>
          <w:trHeight w:val="894" w:hRule="atLeast"/>
        </w:trPr>
        <w:tc>
          <w:tcPr>
            <w:tcW w:w="21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3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22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9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r>
      <w:tr>
        <w:tblPrEx>
          <w:tblCellMar>
            <w:top w:w="0" w:type="dxa"/>
            <w:left w:w="108" w:type="dxa"/>
            <w:bottom w:w="0" w:type="dxa"/>
            <w:right w:w="108" w:type="dxa"/>
          </w:tblCellMar>
        </w:tblPrEx>
        <w:trPr>
          <w:trHeight w:val="920" w:hRule="atLeast"/>
        </w:trPr>
        <w:tc>
          <w:tcPr>
            <w:tcW w:w="21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3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22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9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r>
      <w:tr>
        <w:tblPrEx>
          <w:tblCellMar>
            <w:top w:w="0" w:type="dxa"/>
            <w:left w:w="108" w:type="dxa"/>
            <w:bottom w:w="0" w:type="dxa"/>
            <w:right w:w="108" w:type="dxa"/>
          </w:tblCellMar>
        </w:tblPrEx>
        <w:trPr>
          <w:trHeight w:val="933" w:hRule="atLeast"/>
        </w:trPr>
        <w:tc>
          <w:tcPr>
            <w:tcW w:w="21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3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22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9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r>
      <w:tr>
        <w:tblPrEx>
          <w:tblCellMar>
            <w:top w:w="0" w:type="dxa"/>
            <w:left w:w="108" w:type="dxa"/>
            <w:bottom w:w="0" w:type="dxa"/>
            <w:right w:w="108" w:type="dxa"/>
          </w:tblCellMar>
        </w:tblPrEx>
        <w:trPr>
          <w:trHeight w:val="933" w:hRule="atLeast"/>
        </w:trPr>
        <w:tc>
          <w:tcPr>
            <w:tcW w:w="21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3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22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9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r>
      <w:tr>
        <w:tblPrEx>
          <w:tblCellMar>
            <w:top w:w="0" w:type="dxa"/>
            <w:left w:w="108" w:type="dxa"/>
            <w:bottom w:w="0" w:type="dxa"/>
            <w:right w:w="108" w:type="dxa"/>
          </w:tblCellMar>
        </w:tblPrEx>
        <w:trPr>
          <w:trHeight w:val="927" w:hRule="atLeast"/>
        </w:trPr>
        <w:tc>
          <w:tcPr>
            <w:tcW w:w="21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3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22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c>
          <w:tcPr>
            <w:tcW w:w="9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sz w:val="24"/>
                <w:szCs w:val="24"/>
              </w:rPr>
            </w:pPr>
          </w:p>
        </w:tc>
      </w:tr>
    </w:tbl>
    <w:p>
      <w:pPr>
        <w:autoSpaceDE w:val="0"/>
        <w:autoSpaceDN w:val="0"/>
        <w:adjustRightInd w:val="0"/>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注：投标人可按上述的格式自行编制，须随表提交相应的合同复印件。</w:t>
      </w:r>
    </w:p>
    <w:p>
      <w:pPr>
        <w:autoSpaceDE w:val="0"/>
        <w:autoSpaceDN w:val="0"/>
        <w:adjustRightInd w:val="0"/>
        <w:spacing w:line="360" w:lineRule="auto"/>
        <w:rPr>
          <w:rFonts w:asciiTheme="minorEastAsia" w:hAnsiTheme="minorEastAsia" w:eastAsiaTheme="minorEastAsia"/>
          <w:sz w:val="24"/>
          <w:szCs w:val="24"/>
        </w:rPr>
      </w:pPr>
    </w:p>
    <w:p>
      <w:pPr>
        <w:autoSpaceDE w:val="0"/>
        <w:autoSpaceDN w:val="0"/>
        <w:adjustRightInd w:val="0"/>
        <w:spacing w:line="360" w:lineRule="auto"/>
        <w:ind w:firstLine="5280" w:firstLineChars="2200"/>
        <w:rPr>
          <w:rFonts w:asciiTheme="minorEastAsia" w:hAnsiTheme="minorEastAsia" w:eastAsiaTheme="minorEastAsia"/>
          <w:kern w:val="0"/>
          <w:sz w:val="24"/>
          <w:szCs w:val="24"/>
        </w:rPr>
      </w:pPr>
    </w:p>
    <w:p>
      <w:pPr>
        <w:autoSpaceDE w:val="0"/>
        <w:autoSpaceDN w:val="0"/>
        <w:adjustRightInd w:val="0"/>
        <w:spacing w:line="360" w:lineRule="auto"/>
        <w:ind w:firstLine="5280" w:firstLineChars="2200"/>
        <w:rPr>
          <w:rFonts w:asciiTheme="minorEastAsia" w:hAnsiTheme="minorEastAsia" w:eastAsiaTheme="minorEastAsia"/>
          <w:kern w:val="0"/>
          <w:sz w:val="24"/>
          <w:szCs w:val="24"/>
        </w:rPr>
      </w:pPr>
    </w:p>
    <w:p>
      <w:pPr>
        <w:autoSpaceDE w:val="0"/>
        <w:autoSpaceDN w:val="0"/>
        <w:adjustRightInd w:val="0"/>
        <w:spacing w:line="360" w:lineRule="auto"/>
        <w:ind w:firstLine="4560" w:firstLineChars="19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投标人名称（公章）：                       </w:t>
      </w:r>
    </w:p>
    <w:p>
      <w:pPr>
        <w:autoSpaceDE w:val="0"/>
        <w:autoSpaceDN w:val="0"/>
        <w:adjustRightIn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                                      法定代表人或授权委托人（签字）：                   </w:t>
      </w: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kern w:val="0"/>
          <w:sz w:val="24"/>
          <w:szCs w:val="24"/>
        </w:rPr>
        <w:t xml:space="preserve">                                      日期：202 年  月   日</w:t>
      </w:r>
    </w:p>
    <w:p>
      <w:pPr>
        <w:spacing w:line="360" w:lineRule="auto"/>
        <w:rPr>
          <w:rFonts w:asciiTheme="minorEastAsia" w:hAnsiTheme="minorEastAsia" w:eastAsiaTheme="minorEastAsia"/>
          <w:b/>
          <w:bCs/>
          <w:sz w:val="24"/>
          <w:szCs w:val="24"/>
        </w:rPr>
      </w:pPr>
    </w:p>
    <w:p>
      <w:pPr>
        <w:spacing w:line="360" w:lineRule="auto"/>
        <w:rPr>
          <w:rFonts w:asciiTheme="minorEastAsia" w:hAnsiTheme="minorEastAsia" w:eastAsiaTheme="minorEastAsia"/>
          <w:b/>
          <w:bCs/>
          <w:sz w:val="24"/>
          <w:szCs w:val="24"/>
        </w:rPr>
      </w:pPr>
    </w:p>
    <w:p>
      <w:pPr>
        <w:spacing w:line="360" w:lineRule="auto"/>
        <w:rPr>
          <w:rFonts w:asciiTheme="minorEastAsia" w:hAnsiTheme="minorEastAsia" w:eastAsiaTheme="minorEastAsia"/>
          <w:b/>
          <w:bCs/>
          <w:sz w:val="24"/>
          <w:szCs w:val="24"/>
        </w:rPr>
      </w:pPr>
    </w:p>
    <w:p>
      <w:pPr>
        <w:spacing w:line="360" w:lineRule="auto"/>
        <w:jc w:val="center"/>
        <w:rPr>
          <w:rFonts w:asciiTheme="minorEastAsia" w:hAnsiTheme="minorEastAsia" w:eastAsiaTheme="minorEastAsia"/>
          <w:b/>
          <w:bCs/>
          <w:sz w:val="24"/>
          <w:szCs w:val="24"/>
        </w:rPr>
      </w:pPr>
    </w:p>
    <w:p>
      <w:pPr>
        <w:adjustRightInd w:val="0"/>
        <w:snapToGrid w:val="0"/>
        <w:spacing w:line="360" w:lineRule="auto"/>
        <w:ind w:right="29"/>
        <w:jc w:val="center"/>
        <w:rPr>
          <w:rFonts w:asciiTheme="minorEastAsia" w:hAnsiTheme="minorEastAsia" w:eastAsiaTheme="minorEastAsia"/>
          <w:b/>
          <w:bCs/>
          <w:sz w:val="24"/>
          <w:szCs w:val="24"/>
        </w:rPr>
        <w:sectPr>
          <w:footerReference r:id="rId18" w:type="first"/>
          <w:footerReference r:id="rId17" w:type="default"/>
          <w:pgSz w:w="11850" w:h="16783"/>
          <w:pgMar w:top="1021" w:right="1418" w:bottom="249" w:left="964" w:header="851" w:footer="992" w:gutter="0"/>
          <w:cols w:space="720" w:num="1"/>
          <w:titlePg/>
          <w:docGrid w:linePitch="312" w:charSpace="0"/>
        </w:sectPr>
      </w:pPr>
    </w:p>
    <w:p>
      <w:pPr>
        <w:adjustRightInd w:val="0"/>
        <w:snapToGrid w:val="0"/>
        <w:spacing w:line="360" w:lineRule="auto"/>
        <w:ind w:right="29"/>
        <w:jc w:val="center"/>
        <w:rPr>
          <w:rFonts w:asciiTheme="minorEastAsia" w:hAnsiTheme="minorEastAsia" w:eastAsiaTheme="minorEastAsia"/>
          <w:b/>
          <w:sz w:val="24"/>
          <w:szCs w:val="24"/>
        </w:rPr>
      </w:pPr>
      <w:r>
        <w:rPr>
          <w:rFonts w:hint="eastAsia" w:asciiTheme="minorEastAsia" w:hAnsiTheme="minorEastAsia" w:eastAsiaTheme="minorEastAsia"/>
          <w:b/>
          <w:bCs/>
          <w:sz w:val="24"/>
          <w:szCs w:val="24"/>
        </w:rPr>
        <w:t>七、</w:t>
      </w:r>
      <w:r>
        <w:rPr>
          <w:rFonts w:hint="eastAsia" w:cs="宋体" w:asciiTheme="minorEastAsia" w:hAnsiTheme="minorEastAsia" w:eastAsiaTheme="minorEastAsia"/>
          <w:b/>
          <w:bCs/>
          <w:kern w:val="0"/>
          <w:sz w:val="24"/>
          <w:szCs w:val="24"/>
          <w:lang w:val="zh-CN"/>
        </w:rPr>
        <w:t>廉政承诺书</w:t>
      </w:r>
    </w:p>
    <w:p>
      <w:pPr>
        <w:autoSpaceDE w:val="0"/>
        <w:autoSpaceDN w:val="0"/>
        <w:adjustRightInd w:val="0"/>
        <w:spacing w:line="360" w:lineRule="auto"/>
        <w:ind w:left="2"/>
        <w:jc w:val="left"/>
        <w:rPr>
          <w:rFonts w:cs="宋体" w:asciiTheme="minorEastAsia" w:hAnsiTheme="minorEastAsia" w:eastAsiaTheme="minorEastAsia"/>
          <w:kern w:val="0"/>
          <w:sz w:val="24"/>
          <w:szCs w:val="24"/>
          <w:lang w:val="zh-CN"/>
        </w:rPr>
      </w:pPr>
    </w:p>
    <w:p>
      <w:pPr>
        <w:autoSpaceDE w:val="0"/>
        <w:autoSpaceDN w:val="0"/>
        <w:adjustRightInd w:val="0"/>
        <w:spacing w:line="360" w:lineRule="auto"/>
        <w:ind w:left="2"/>
        <w:jc w:val="left"/>
        <w:rPr>
          <w:rFonts w:cs="宋体" w:asciiTheme="minorEastAsia" w:hAnsiTheme="minorEastAsia" w:eastAsiaTheme="minorEastAsia"/>
          <w:kern w:val="0"/>
          <w:sz w:val="24"/>
          <w:szCs w:val="24"/>
          <w:lang w:val="zh-CN"/>
        </w:rPr>
      </w:pPr>
      <w:r>
        <w:rPr>
          <w:rFonts w:hint="eastAsia" w:asciiTheme="minorEastAsia" w:hAnsiTheme="minorEastAsia" w:eastAsiaTheme="minorEastAsia"/>
          <w:sz w:val="24"/>
          <w:szCs w:val="24"/>
        </w:rPr>
        <w:t>杭州市市场监督管理局</w:t>
      </w:r>
      <w:r>
        <w:rPr>
          <w:rFonts w:hint="eastAsia" w:cs="宋体" w:asciiTheme="minorEastAsia" w:hAnsiTheme="minorEastAsia" w:eastAsiaTheme="minorEastAsia"/>
          <w:kern w:val="0"/>
          <w:sz w:val="24"/>
          <w:szCs w:val="24"/>
          <w:lang w:val="zh-CN"/>
        </w:rPr>
        <w:t>：</w:t>
      </w:r>
    </w:p>
    <w:p>
      <w:pPr>
        <w:autoSpaceDE w:val="0"/>
        <w:autoSpaceDN w:val="0"/>
        <w:adjustRightInd w:val="0"/>
        <w:spacing w:line="360" w:lineRule="auto"/>
        <w:ind w:left="2" w:leftChars="1"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我单位响应你单位项目采购要求参加投标。在这次投标过程中和中标后，我们将严格遵守国家法律法规的要求，并郑重承诺：</w:t>
      </w:r>
    </w:p>
    <w:p>
      <w:pPr>
        <w:autoSpaceDE w:val="0"/>
        <w:autoSpaceDN w:val="0"/>
        <w:adjustRightInd w:val="0"/>
        <w:spacing w:line="360" w:lineRule="auto"/>
        <w:ind w:left="2" w:leftChars="1"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一、不向项目有关人员及部门赠送礼金礼物、有价证券、回扣以及中介费、介绍费、咨询费等好处费；</w:t>
      </w:r>
    </w:p>
    <w:p>
      <w:pPr>
        <w:autoSpaceDE w:val="0"/>
        <w:autoSpaceDN w:val="0"/>
        <w:adjustRightInd w:val="0"/>
        <w:spacing w:line="360" w:lineRule="auto"/>
        <w:ind w:left="2" w:leftChars="1"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二、不为项目有关人员及部门报销应由你方单位或个人支付的费用；</w:t>
      </w:r>
    </w:p>
    <w:p>
      <w:pPr>
        <w:autoSpaceDE w:val="0"/>
        <w:autoSpaceDN w:val="0"/>
        <w:adjustRightInd w:val="0"/>
        <w:spacing w:line="360" w:lineRule="auto"/>
        <w:ind w:left="2" w:leftChars="1"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三、不向项目有关人员及部门提供有可能影响公正的宴请和健身娱乐等活动；</w:t>
      </w:r>
    </w:p>
    <w:p>
      <w:pPr>
        <w:autoSpaceDE w:val="0"/>
        <w:autoSpaceDN w:val="0"/>
        <w:adjustRightInd w:val="0"/>
        <w:spacing w:line="360" w:lineRule="auto"/>
        <w:ind w:left="2" w:leftChars="1"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四、不为项目有关人员及部门出国（境）、旅游等提供方便；</w:t>
      </w:r>
    </w:p>
    <w:p>
      <w:pPr>
        <w:autoSpaceDE w:val="0"/>
        <w:autoSpaceDN w:val="0"/>
        <w:adjustRightInd w:val="0"/>
        <w:spacing w:line="360" w:lineRule="auto"/>
        <w:ind w:left="481" w:leftChars="229"/>
        <w:jc w:val="left"/>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五、不为项目有关人员个人装修住房、婚丧嫁娶、配偶子女工作安排等提供好处；六、严格遵守政府采购法、招标投标法、民法典等法律，诚实守信，合法经营，坚</w:t>
      </w:r>
    </w:p>
    <w:p>
      <w:pPr>
        <w:autoSpaceDE w:val="0"/>
        <w:autoSpaceDN w:val="0"/>
        <w:adjustRightInd w:val="0"/>
        <w:spacing w:line="360" w:lineRule="auto"/>
        <w:jc w:val="left"/>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决抵制各种违法违纪行为。</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如违反上述承诺，你单位有权立即取消我公司投标、中标或在建项目的建设资格，有权拒绝我公司在一定时期内进入你单位进行项目建设或其他经营活动，并通报市政府采购办。由此引起的相应损失均由我单位承担。</w:t>
      </w:r>
    </w:p>
    <w:p>
      <w:pPr>
        <w:autoSpaceDE w:val="0"/>
        <w:autoSpaceDN w:val="0"/>
        <w:adjustRightInd w:val="0"/>
        <w:spacing w:line="360" w:lineRule="auto"/>
        <w:rPr>
          <w:rFonts w:asciiTheme="minorEastAsia" w:hAnsiTheme="minorEastAsia" w:eastAsiaTheme="minorEastAsia"/>
          <w:kern w:val="0"/>
          <w:sz w:val="24"/>
          <w:szCs w:val="24"/>
        </w:rPr>
      </w:pPr>
    </w:p>
    <w:p>
      <w:pPr>
        <w:autoSpaceDE w:val="0"/>
        <w:autoSpaceDN w:val="0"/>
        <w:adjustRightInd w:val="0"/>
        <w:spacing w:line="360" w:lineRule="auto"/>
        <w:rPr>
          <w:rFonts w:asciiTheme="minorEastAsia" w:hAnsiTheme="minorEastAsia" w:eastAsiaTheme="minorEastAsia"/>
          <w:kern w:val="0"/>
          <w:sz w:val="24"/>
          <w:szCs w:val="24"/>
        </w:rPr>
      </w:pPr>
    </w:p>
    <w:p>
      <w:pPr>
        <w:autoSpaceDE w:val="0"/>
        <w:autoSpaceDN w:val="0"/>
        <w:adjustRightInd w:val="0"/>
        <w:spacing w:line="360" w:lineRule="auto"/>
        <w:rPr>
          <w:rFonts w:asciiTheme="minorEastAsia" w:hAnsiTheme="minorEastAsia" w:eastAsiaTheme="minorEastAsia"/>
          <w:kern w:val="0"/>
          <w:sz w:val="24"/>
          <w:szCs w:val="24"/>
        </w:rPr>
      </w:pPr>
    </w:p>
    <w:p>
      <w:pPr>
        <w:autoSpaceDE w:val="0"/>
        <w:autoSpaceDN w:val="0"/>
        <w:adjustRightInd w:val="0"/>
        <w:spacing w:line="360" w:lineRule="auto"/>
        <w:ind w:firstLine="5160" w:firstLineChars="2150"/>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 xml:space="preserve">                                           法定代表人（签章）：</w:t>
      </w:r>
    </w:p>
    <w:p>
      <w:pPr>
        <w:spacing w:line="360" w:lineRule="auto"/>
        <w:rPr>
          <w:rFonts w:asciiTheme="minorEastAsia" w:hAnsiTheme="minorEastAsia" w:eastAsiaTheme="minorEastAsia"/>
          <w:sz w:val="24"/>
          <w:szCs w:val="24"/>
        </w:rPr>
      </w:pPr>
      <w:r>
        <w:rPr>
          <w:rFonts w:hint="eastAsia" w:cs="仿宋_GB2312" w:asciiTheme="minorEastAsia" w:hAnsiTheme="minorEastAsia" w:eastAsiaTheme="minorEastAsia"/>
          <w:kern w:val="0"/>
          <w:sz w:val="24"/>
          <w:szCs w:val="24"/>
          <w:lang w:val="zh-CN"/>
        </w:rPr>
        <w:t xml:space="preserve">                                           签发日期：202 年   月   日</w:t>
      </w:r>
    </w:p>
    <w:p>
      <w:pPr>
        <w:spacing w:line="360" w:lineRule="auto"/>
        <w:jc w:val="center"/>
        <w:rPr>
          <w:rFonts w:asciiTheme="minorEastAsia" w:hAnsiTheme="minorEastAsia" w:eastAsiaTheme="minorEastAsia"/>
          <w:b/>
          <w:bCs/>
          <w:sz w:val="24"/>
          <w:szCs w:val="24"/>
        </w:rPr>
      </w:pPr>
    </w:p>
    <w:p>
      <w:pPr>
        <w:spacing w:line="360" w:lineRule="auto"/>
        <w:jc w:val="center"/>
        <w:rPr>
          <w:rFonts w:asciiTheme="minorEastAsia" w:hAnsiTheme="minorEastAsia" w:eastAsiaTheme="minorEastAsia"/>
          <w:b/>
          <w:bCs/>
          <w:sz w:val="24"/>
          <w:szCs w:val="24"/>
        </w:rPr>
      </w:pPr>
    </w:p>
    <w:p>
      <w:pPr>
        <w:adjustRightInd w:val="0"/>
        <w:snapToGrid w:val="0"/>
        <w:spacing w:line="360" w:lineRule="auto"/>
        <w:ind w:right="29"/>
        <w:jc w:val="center"/>
        <w:rPr>
          <w:rFonts w:asciiTheme="minorEastAsia" w:hAnsiTheme="minorEastAsia" w:eastAsiaTheme="minorEastAsia"/>
          <w:sz w:val="24"/>
          <w:szCs w:val="24"/>
        </w:rPr>
      </w:pPr>
      <w:r>
        <w:rPr>
          <w:rFonts w:hint="eastAsia" w:cs="宋体" w:asciiTheme="minorEastAsia" w:hAnsiTheme="minorEastAsia" w:eastAsiaTheme="minorEastAsia"/>
          <w:b/>
          <w:bCs/>
          <w:kern w:val="0"/>
          <w:sz w:val="24"/>
          <w:szCs w:val="24"/>
          <w:lang w:val="zh-CN"/>
        </w:rPr>
        <w:t>八、</w:t>
      </w:r>
      <w:r>
        <w:rPr>
          <w:rFonts w:hint="eastAsia" w:cs="仿宋_GB2312" w:asciiTheme="minorEastAsia" w:hAnsiTheme="minorEastAsia" w:eastAsiaTheme="minorEastAsia"/>
          <w:b/>
          <w:kern w:val="0"/>
          <w:sz w:val="24"/>
          <w:szCs w:val="24"/>
          <w:lang w:val="zh-CN"/>
        </w:rPr>
        <w:t>对招标文件中有关条款的拒绝声明</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（由投标人根据采购需求自行编制）</w:t>
      </w:r>
    </w:p>
    <w:p>
      <w:pPr>
        <w:spacing w:line="360" w:lineRule="auto"/>
        <w:rPr>
          <w:rFonts w:asciiTheme="minorEastAsia" w:hAnsiTheme="minorEastAsia" w:eastAsiaTheme="minorEastAsia"/>
          <w:sz w:val="24"/>
          <w:szCs w:val="24"/>
        </w:rPr>
      </w:pPr>
    </w:p>
    <w:p>
      <w:pPr>
        <w:autoSpaceDE w:val="0"/>
        <w:autoSpaceDN w:val="0"/>
        <w:adjustRightInd w:val="0"/>
        <w:spacing w:line="360" w:lineRule="auto"/>
        <w:ind w:firstLine="5160" w:firstLineChars="2150"/>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ind w:firstLine="3960" w:firstLineChars="1650"/>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法定代表人或授权委托人（签字）：</w:t>
      </w:r>
    </w:p>
    <w:p>
      <w:pPr>
        <w:spacing w:line="360" w:lineRule="auto"/>
        <w:jc w:val="lef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 xml:space="preserve">                                          日期：202 年月日</w:t>
      </w:r>
    </w:p>
    <w:p>
      <w:pPr>
        <w:adjustRightInd w:val="0"/>
        <w:snapToGrid w:val="0"/>
        <w:spacing w:line="360" w:lineRule="auto"/>
        <w:ind w:firstLine="5160" w:firstLineChars="2150"/>
        <w:rPr>
          <w:rFonts w:asciiTheme="minorEastAsia" w:hAnsiTheme="minorEastAsia" w:eastAsiaTheme="minorEastAsia"/>
          <w:kern w:val="0"/>
          <w:sz w:val="24"/>
          <w:lang w:val="zh-CN"/>
        </w:rPr>
      </w:pPr>
    </w:p>
    <w:p>
      <w:pPr>
        <w:adjustRightInd w:val="0"/>
        <w:snapToGrid w:val="0"/>
        <w:spacing w:line="360" w:lineRule="auto"/>
        <w:ind w:firstLine="5160" w:firstLineChars="2150"/>
        <w:rPr>
          <w:rFonts w:asciiTheme="minorEastAsia" w:hAnsiTheme="minorEastAsia" w:eastAsiaTheme="minorEastAsia"/>
          <w:kern w:val="0"/>
          <w:sz w:val="24"/>
          <w:lang w:val="zh-CN"/>
        </w:rPr>
        <w:sectPr>
          <w:footerReference r:id="rId20" w:type="first"/>
          <w:footerReference r:id="rId19" w:type="default"/>
          <w:pgSz w:w="11850" w:h="16783"/>
          <w:pgMar w:top="1021" w:right="1418" w:bottom="249" w:left="964" w:header="851" w:footer="992" w:gutter="0"/>
          <w:cols w:space="720" w:num="1"/>
          <w:titlePg/>
          <w:docGrid w:linePitch="312" w:charSpace="0"/>
        </w:sectPr>
      </w:pPr>
    </w:p>
    <w:p>
      <w:pPr>
        <w:pStyle w:val="18"/>
      </w:pPr>
    </w:p>
    <w:p>
      <w:pPr>
        <w:adjustRightInd w:val="0"/>
        <w:snapToGrid w:val="0"/>
        <w:spacing w:line="360" w:lineRule="auto"/>
        <w:ind w:firstLine="5160" w:firstLineChars="2150"/>
        <w:rPr>
          <w:rFonts w:asciiTheme="minorEastAsia" w:hAnsiTheme="minorEastAsia" w:eastAsiaTheme="minorEastAsia"/>
          <w:kern w:val="0"/>
          <w:sz w:val="24"/>
          <w:lang w:val="zh-CN"/>
        </w:rPr>
      </w:pPr>
    </w:p>
    <w:p>
      <w:pPr>
        <w:spacing w:line="360" w:lineRule="auto"/>
        <w:rPr>
          <w:rFonts w:cs="仿宋_GB2312" w:asciiTheme="minorEastAsia" w:hAnsiTheme="minorEastAsia" w:eastAsiaTheme="minorEastAsia"/>
          <w:kern w:val="0"/>
          <w:sz w:val="24"/>
          <w:szCs w:val="24"/>
          <w:lang w:val="zh-CN"/>
        </w:rPr>
      </w:pPr>
    </w:p>
    <w:p>
      <w:pPr>
        <w:spacing w:line="360" w:lineRule="auto"/>
        <w:jc w:val="center"/>
        <w:rPr>
          <w:rFonts w:cs="仿宋_GB2312" w:asciiTheme="minorEastAsia" w:hAnsiTheme="minorEastAsia" w:eastAsiaTheme="minorEastAsia"/>
          <w:b/>
          <w:kern w:val="0"/>
          <w:sz w:val="24"/>
          <w:szCs w:val="24"/>
          <w:lang w:val="zh-CN"/>
        </w:rPr>
      </w:pPr>
      <w:r>
        <w:rPr>
          <w:rFonts w:hint="eastAsia" w:asciiTheme="minorEastAsia" w:hAnsiTheme="minorEastAsia" w:eastAsiaTheme="minorEastAsia"/>
          <w:b/>
          <w:bCs/>
          <w:sz w:val="24"/>
          <w:szCs w:val="24"/>
        </w:rPr>
        <w:t>九、</w:t>
      </w:r>
      <w:r>
        <w:rPr>
          <w:rFonts w:hint="eastAsia" w:cs="仿宋_GB2312" w:asciiTheme="minorEastAsia" w:hAnsiTheme="minorEastAsia" w:eastAsiaTheme="minorEastAsia"/>
          <w:b/>
          <w:kern w:val="0"/>
          <w:sz w:val="24"/>
          <w:szCs w:val="24"/>
          <w:lang w:val="zh-CN"/>
        </w:rPr>
        <w:t>其他商务文件或说明</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（由投标人根据采购需求自行编制）</w:t>
      </w:r>
    </w:p>
    <w:p>
      <w:pPr>
        <w:spacing w:line="360" w:lineRule="auto"/>
        <w:jc w:val="center"/>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autoSpaceDE w:val="0"/>
        <w:autoSpaceDN w:val="0"/>
        <w:adjustRightInd w:val="0"/>
        <w:spacing w:line="360" w:lineRule="auto"/>
        <w:ind w:firstLine="4800" w:firstLineChars="2000"/>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lang w:val="zh-CN"/>
        </w:rPr>
        <w:t>投标人名称（公章）：</w:t>
      </w:r>
    </w:p>
    <w:p>
      <w:pPr>
        <w:autoSpaceDE w:val="0"/>
        <w:autoSpaceDN w:val="0"/>
        <w:adjustRightInd w:val="0"/>
        <w:spacing w:line="360" w:lineRule="auto"/>
        <w:ind w:firstLine="3360" w:firstLineChars="1400"/>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法定代表人或授权委托人（签字）：</w:t>
      </w:r>
    </w:p>
    <w:p>
      <w:pPr>
        <w:spacing w:line="360" w:lineRule="auto"/>
        <w:ind w:firstLine="1070" w:firstLineChars="446"/>
        <w:rPr>
          <w:rFonts w:cs="仿宋_GB2312" w:asciiTheme="minorEastAsia" w:hAnsiTheme="minorEastAsia" w:eastAsiaTheme="minorEastAsia"/>
          <w:kern w:val="0"/>
          <w:sz w:val="24"/>
          <w:szCs w:val="24"/>
          <w:lang w:val="zh-CN"/>
        </w:rPr>
        <w:sectPr>
          <w:footerReference r:id="rId22" w:type="first"/>
          <w:footerReference r:id="rId21" w:type="default"/>
          <w:pgSz w:w="11850" w:h="16783"/>
          <w:pgMar w:top="1021" w:right="1418" w:bottom="249" w:left="964" w:header="851" w:footer="992" w:gutter="0"/>
          <w:cols w:space="720" w:num="1"/>
          <w:titlePg/>
          <w:docGrid w:linePitch="312" w:charSpace="0"/>
        </w:sectPr>
      </w:pPr>
      <w:r>
        <w:rPr>
          <w:rFonts w:hint="eastAsia" w:cs="仿宋_GB2312" w:asciiTheme="minorEastAsia" w:hAnsiTheme="minorEastAsia" w:eastAsiaTheme="minorEastAsia"/>
          <w:kern w:val="0"/>
          <w:sz w:val="24"/>
          <w:szCs w:val="24"/>
          <w:lang w:val="zh-CN"/>
        </w:rPr>
        <w:t xml:space="preserve">                              日期：202 年月日</w:t>
      </w:r>
    </w:p>
    <w:p>
      <w:pPr>
        <w:spacing w:line="360" w:lineRule="auto"/>
        <w:jc w:val="center"/>
        <w:rPr>
          <w:rFonts w:ascii="宋体" w:hAnsi="宋体"/>
          <w:b/>
          <w:sz w:val="28"/>
          <w:szCs w:val="28"/>
        </w:rPr>
      </w:pPr>
      <w:r>
        <w:rPr>
          <w:rFonts w:hint="eastAsia" w:ascii="宋体" w:hAnsi="宋体"/>
          <w:b/>
          <w:sz w:val="28"/>
          <w:szCs w:val="28"/>
        </w:rPr>
        <w:t>政府采购支持中小企业信用融资相关事项通知</w:t>
      </w:r>
    </w:p>
    <w:p>
      <w:pPr>
        <w:spacing w:line="360" w:lineRule="auto"/>
        <w:ind w:firstLine="480" w:firstLineChars="200"/>
        <w:rPr>
          <w:rFonts w:ascii="宋体" w:hAnsi="宋体"/>
          <w:sz w:val="24"/>
          <w:szCs w:val="24"/>
        </w:rPr>
      </w:pPr>
      <w:r>
        <w:rPr>
          <w:rFonts w:hint="eastAsia" w:ascii="宋体" w:hAnsi="宋体"/>
          <w:sz w:val="24"/>
          <w:szCs w:val="24"/>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rPr>
          <w:rFonts w:ascii="宋体" w:hAnsi="宋体"/>
          <w:b/>
          <w:sz w:val="24"/>
          <w:szCs w:val="24"/>
        </w:rPr>
      </w:pPr>
      <w:r>
        <w:rPr>
          <w:rFonts w:hint="eastAsia" w:ascii="宋体" w:hAnsi="宋体"/>
          <w:b/>
          <w:sz w:val="24"/>
          <w:szCs w:val="24"/>
        </w:rPr>
        <w:t>一、适用对象</w:t>
      </w:r>
    </w:p>
    <w:p>
      <w:pPr>
        <w:spacing w:line="360" w:lineRule="auto"/>
        <w:ind w:firstLine="480" w:firstLineChars="200"/>
        <w:rPr>
          <w:rFonts w:ascii="宋体" w:hAnsi="宋体"/>
          <w:sz w:val="24"/>
          <w:szCs w:val="24"/>
        </w:rPr>
      </w:pPr>
      <w:r>
        <w:rPr>
          <w:rFonts w:hint="eastAsia" w:ascii="宋体" w:hAnsi="宋体"/>
          <w:sz w:val="24"/>
          <w:szCs w:val="24"/>
        </w:rPr>
        <w:t>在浙江政府采购网注册入库，并取得杭州市政府采购合同的杭州市内中小企业供应商。</w:t>
      </w:r>
    </w:p>
    <w:p>
      <w:pPr>
        <w:spacing w:line="360" w:lineRule="auto"/>
        <w:ind w:firstLine="482" w:firstLineChars="200"/>
        <w:rPr>
          <w:rFonts w:ascii="宋体" w:hAnsi="宋体"/>
          <w:b/>
          <w:sz w:val="24"/>
          <w:szCs w:val="24"/>
        </w:rPr>
      </w:pPr>
      <w:r>
        <w:rPr>
          <w:rFonts w:hint="eastAsia" w:ascii="宋体" w:hAnsi="宋体"/>
          <w:b/>
          <w:sz w:val="24"/>
          <w:szCs w:val="24"/>
        </w:rPr>
        <w:t>二、相关信息获取方式</w:t>
      </w:r>
    </w:p>
    <w:p>
      <w:pPr>
        <w:spacing w:line="360" w:lineRule="auto"/>
        <w:ind w:firstLine="480" w:firstLineChars="200"/>
        <w:rPr>
          <w:rFonts w:ascii="宋体" w:hAnsi="宋体"/>
          <w:sz w:val="24"/>
          <w:szCs w:val="24"/>
        </w:rPr>
      </w:pPr>
      <w:r>
        <w:rPr>
          <w:rFonts w:hint="eastAsia" w:ascii="宋体" w:hAnsi="宋体"/>
          <w:sz w:val="24"/>
          <w:szCs w:val="24"/>
        </w:rPr>
        <w:t>请登录杭州市政府采购网“中小企业信用融资”模块，查看信用融资政策文件及各相关银行服务方案。</w:t>
      </w:r>
    </w:p>
    <w:p>
      <w:pPr>
        <w:spacing w:line="360" w:lineRule="auto"/>
        <w:ind w:firstLine="482" w:firstLineChars="200"/>
        <w:rPr>
          <w:rFonts w:ascii="宋体" w:hAnsi="宋体"/>
          <w:b/>
          <w:sz w:val="24"/>
          <w:szCs w:val="24"/>
        </w:rPr>
      </w:pPr>
      <w:r>
        <w:rPr>
          <w:rFonts w:hint="eastAsia" w:ascii="宋体" w:hAnsi="宋体"/>
          <w:b/>
          <w:sz w:val="24"/>
          <w:szCs w:val="24"/>
        </w:rPr>
        <w:t>三、申请方式和步骤</w:t>
      </w:r>
    </w:p>
    <w:p>
      <w:pPr>
        <w:spacing w:line="360" w:lineRule="auto"/>
        <w:ind w:firstLine="482" w:firstLineChars="200"/>
        <w:rPr>
          <w:rFonts w:ascii="宋体" w:hAnsi="宋体"/>
          <w:b/>
          <w:bCs/>
          <w:sz w:val="24"/>
          <w:szCs w:val="24"/>
        </w:rPr>
      </w:pPr>
      <w:r>
        <w:rPr>
          <w:rFonts w:hint="eastAsia" w:ascii="宋体" w:hAnsi="宋体"/>
          <w:b/>
          <w:bCs/>
          <w:sz w:val="24"/>
          <w:szCs w:val="24"/>
        </w:rPr>
        <w:t>（一）“云采贷”融资</w:t>
      </w:r>
    </w:p>
    <w:p>
      <w:pPr>
        <w:spacing w:line="360" w:lineRule="auto"/>
        <w:ind w:firstLine="480" w:firstLineChars="200"/>
        <w:rPr>
          <w:rFonts w:ascii="宋体" w:hAnsi="宋体"/>
          <w:sz w:val="24"/>
          <w:szCs w:val="24"/>
        </w:rPr>
      </w:pPr>
      <w:r>
        <w:rPr>
          <w:rFonts w:hint="eastAsia" w:ascii="宋体" w:hAnsi="宋体"/>
          <w:sz w:val="24"/>
          <w:szCs w:val="24"/>
        </w:rPr>
        <w:t>1、供应商先与银行对接，办理融资前期手续；</w:t>
      </w:r>
    </w:p>
    <w:p>
      <w:pPr>
        <w:spacing w:line="360" w:lineRule="auto"/>
        <w:ind w:firstLine="480" w:firstLineChars="200"/>
        <w:rPr>
          <w:rFonts w:ascii="宋体" w:hAnsi="宋体"/>
          <w:sz w:val="24"/>
          <w:szCs w:val="24"/>
        </w:rPr>
      </w:pPr>
      <w:r>
        <w:rPr>
          <w:rFonts w:hint="eastAsia" w:ascii="宋体" w:hAnsi="宋体"/>
          <w:sz w:val="24"/>
          <w:szCs w:val="24"/>
        </w:rPr>
        <w:t>2、供应商中标后，登陆“中小企业信用融资”模块测算授信额度，并向银行发出融资申请；</w:t>
      </w:r>
    </w:p>
    <w:p>
      <w:pPr>
        <w:spacing w:line="360" w:lineRule="auto"/>
        <w:ind w:firstLine="480" w:firstLineChars="200"/>
        <w:rPr>
          <w:rFonts w:ascii="宋体" w:hAnsi="宋体"/>
          <w:sz w:val="24"/>
          <w:szCs w:val="24"/>
        </w:rPr>
      </w:pPr>
      <w:r>
        <w:rPr>
          <w:rFonts w:hint="eastAsia" w:ascii="宋体" w:hAnsi="宋体"/>
          <w:sz w:val="24"/>
          <w:szCs w:val="24"/>
        </w:rPr>
        <w:t>3、银行线上审批通过后，办理放贷手续。</w:t>
      </w:r>
    </w:p>
    <w:p>
      <w:pPr>
        <w:spacing w:line="360" w:lineRule="auto"/>
        <w:ind w:firstLine="482" w:firstLineChars="200"/>
        <w:rPr>
          <w:rFonts w:ascii="宋体" w:hAnsi="宋体"/>
          <w:b/>
          <w:bCs/>
          <w:sz w:val="24"/>
          <w:szCs w:val="24"/>
        </w:rPr>
      </w:pPr>
      <w:r>
        <w:rPr>
          <w:rFonts w:hint="eastAsia" w:ascii="宋体" w:hAnsi="宋体"/>
          <w:b/>
          <w:bCs/>
          <w:sz w:val="24"/>
          <w:szCs w:val="24"/>
        </w:rPr>
        <w:t>（二）一般融资</w:t>
      </w:r>
    </w:p>
    <w:p>
      <w:pPr>
        <w:spacing w:line="360" w:lineRule="auto"/>
        <w:ind w:firstLine="480" w:firstLineChars="200"/>
        <w:rPr>
          <w:rFonts w:ascii="宋体" w:hAnsi="宋体"/>
          <w:sz w:val="24"/>
          <w:szCs w:val="24"/>
        </w:rPr>
      </w:pPr>
      <w:r>
        <w:rPr>
          <w:rFonts w:hint="eastAsia" w:ascii="宋体" w:hAnsi="宋体"/>
          <w:sz w:val="24"/>
          <w:szCs w:val="24"/>
        </w:rPr>
        <w:t>1、供应商先与银行对接，办理融资前期手续；</w:t>
      </w:r>
    </w:p>
    <w:p>
      <w:pPr>
        <w:spacing w:line="360" w:lineRule="auto"/>
        <w:ind w:firstLine="480" w:firstLineChars="200"/>
        <w:rPr>
          <w:rFonts w:ascii="宋体" w:hAnsi="宋体"/>
          <w:sz w:val="24"/>
          <w:szCs w:val="24"/>
        </w:rPr>
      </w:pPr>
      <w:r>
        <w:rPr>
          <w:rFonts w:hint="eastAsia" w:ascii="宋体" w:hAnsi="宋体"/>
          <w:sz w:val="24"/>
          <w:szCs w:val="24"/>
        </w:rPr>
        <w:t>2、供应商中标后，登陆杭州市政府采购网“中小企业信用融资”模块，向相关合作银行发出融资申请；</w:t>
      </w:r>
    </w:p>
    <w:p>
      <w:pPr>
        <w:spacing w:line="360" w:lineRule="auto"/>
        <w:ind w:firstLine="480" w:firstLineChars="200"/>
        <w:rPr>
          <w:rFonts w:ascii="宋体" w:hAnsi="宋体"/>
          <w:sz w:val="24"/>
          <w:szCs w:val="24"/>
        </w:rPr>
      </w:pPr>
      <w:r>
        <w:rPr>
          <w:rFonts w:hint="eastAsia" w:ascii="宋体" w:hAnsi="宋体"/>
          <w:sz w:val="24"/>
          <w:szCs w:val="24"/>
        </w:rPr>
        <w:t>3、银行在“中小企业信用融资”模块受理申请；</w:t>
      </w:r>
    </w:p>
    <w:p>
      <w:pPr>
        <w:spacing w:line="360" w:lineRule="auto"/>
        <w:ind w:firstLine="480" w:firstLineChars="200"/>
        <w:rPr>
          <w:rFonts w:ascii="宋体" w:hAnsi="宋体"/>
          <w:sz w:val="24"/>
          <w:szCs w:val="24"/>
        </w:rPr>
      </w:pPr>
      <w:r>
        <w:rPr>
          <w:rFonts w:hint="eastAsia" w:ascii="宋体" w:hAnsi="宋体"/>
          <w:sz w:val="24"/>
          <w:szCs w:val="24"/>
        </w:rPr>
        <w:t>4、银行、供应商线下办理审批、放贷事宜。</w:t>
      </w:r>
    </w:p>
    <w:p>
      <w:pPr>
        <w:spacing w:line="360" w:lineRule="auto"/>
        <w:ind w:firstLine="482" w:firstLineChars="200"/>
        <w:rPr>
          <w:rFonts w:ascii="宋体" w:hAnsi="宋体"/>
          <w:b/>
          <w:sz w:val="24"/>
          <w:szCs w:val="24"/>
        </w:rPr>
      </w:pPr>
      <w:r>
        <w:rPr>
          <w:rFonts w:hint="eastAsia" w:ascii="宋体" w:hAnsi="宋体"/>
          <w:b/>
          <w:sz w:val="24"/>
          <w:szCs w:val="24"/>
        </w:rPr>
        <w:t>四、注意事项</w:t>
      </w:r>
    </w:p>
    <w:p>
      <w:pPr>
        <w:spacing w:line="360" w:lineRule="auto"/>
        <w:ind w:firstLine="480" w:firstLineChars="200"/>
        <w:rPr>
          <w:rFonts w:ascii="宋体" w:hAnsi="宋体"/>
          <w:sz w:val="24"/>
          <w:szCs w:val="24"/>
        </w:rPr>
      </w:pPr>
      <w:r>
        <w:rPr>
          <w:rFonts w:hint="eastAsia" w:ascii="宋体" w:hAnsi="宋体"/>
          <w:sz w:val="24"/>
          <w:szCs w:val="24"/>
        </w:rPr>
        <w:t>1、供应商需确保政府采购合同的收款银行与融资银行一致。</w:t>
      </w:r>
    </w:p>
    <w:p>
      <w:pPr>
        <w:spacing w:line="360" w:lineRule="auto"/>
        <w:ind w:firstLine="480" w:firstLineChars="200"/>
        <w:rPr>
          <w:rFonts w:ascii="宋体" w:hAnsi="宋体"/>
          <w:sz w:val="24"/>
          <w:szCs w:val="24"/>
        </w:rPr>
      </w:pPr>
      <w:r>
        <w:rPr>
          <w:rFonts w:hint="eastAsia" w:ascii="宋体" w:hAnsi="宋体"/>
          <w:sz w:val="24"/>
          <w:szCs w:val="24"/>
        </w:rPr>
        <w:t>2、请各采购单位积极支持和配合政府采购信用融资工作，在合同备案环节仔细核对收款银行、账号信息等内容，一旦录入将无法修改。</w:t>
      </w:r>
    </w:p>
    <w:p>
      <w:pPr>
        <w:spacing w:line="360" w:lineRule="auto"/>
        <w:ind w:firstLine="480" w:firstLineChars="200"/>
        <w:rPr>
          <w:rFonts w:ascii="宋体" w:hAnsi="宋体"/>
          <w:sz w:val="24"/>
          <w:szCs w:val="24"/>
        </w:rPr>
      </w:pPr>
      <w:r>
        <w:rPr>
          <w:rFonts w:hint="eastAsia" w:ascii="宋体" w:hAnsi="宋体"/>
          <w:sz w:val="24"/>
          <w:szCs w:val="24"/>
        </w:rPr>
        <w:t>3、技术服务热线：87210880；如有业务问题可与各合作银行联系。</w:t>
      </w:r>
    </w:p>
    <w:sectPr>
      <w:footerReference r:id="rId2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script"/>
    <w:pitch w:val="default"/>
    <w:sig w:usb0="00000000" w:usb1="00000000" w:usb2="00000010" w:usb3="00000000" w:csb0="00040000" w:csb1="00000000"/>
  </w:font>
  <w:font w:name="Vrinda">
    <w:altName w:val="Segoe UI Symbol"/>
    <w:panose1 w:val="020B0502040204020203"/>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宋体" w:hAnsi="宋体" w:eastAsia="方正仿宋简体"/>
      </w:rPr>
    </w:pPr>
    <w: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61</w:t>
                    </w:r>
                    <w:r>
                      <w:fldChar w:fldCharType="end"/>
                    </w:r>
                    <w:r>
                      <w:rPr>
                        <w:rFonts w:hint="eastAsia"/>
                      </w:rPr>
                      <w:t xml:space="preserve"> 页</w:t>
                    </w:r>
                  </w:p>
                </w:txbxContent>
              </v:textbox>
            </v:shape>
          </w:pict>
        </mc:Fallback>
      </mc:AlternateContent>
    </w:r>
    <w:r>
      <w:rPr>
        <w:szCs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t xml:space="preserve">第 15页 共 </w:t>
                          </w:r>
                          <w:r>
                            <w:fldChar w:fldCharType="begin"/>
                          </w:r>
                          <w:r>
                            <w:instrText xml:space="preserve"> NUMPAGES  \* MERGEFORMAT </w:instrText>
                          </w:r>
                          <w:r>
                            <w:fldChar w:fldCharType="separate"/>
                          </w:r>
                          <w:r>
                            <w:t>58</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7VUV8oBAACb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crShy3OPHL92+XH78uP78S&#10;9GGD+gA15j0EzEzDnR9wbWY/oDPrHlS0+YuKCMaxvedre+WQiMiP1qv1usKQwNh8QXz2+DxESG+l&#10;tyQbDY04v9JWfnoPaUydU3I15++1MWWGxv3lQMzsYZn7yDFbadgPk6C9b8+op8fRN9ThplNi3jns&#10;bN6S2YizsZ+NY4j60CG1ZeEF4faYkEThliuMsFNhnFlRN+1XXoo/7yXr8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7VUV8oBAACbAwAADgAAAAAAAAABACAAAAAeAQAAZHJzL2Uyb0Rv&#10;Yy54bWxQSwUGAAAAAAYABgBZAQAAWgUAAAAA&#10;">
              <v:fill on="f" focussize="0,0"/>
              <v:stroke on="f"/>
              <v:imagedata o:title=""/>
              <o:lock v:ext="edit" aspectratio="f"/>
              <v:textbox inset="0mm,0mm,0mm,0mm" style="mso-fit-shape-to-text:t;">
                <w:txbxContent>
                  <w:p>
                    <w:pPr>
                      <w:pStyle w:val="26"/>
                    </w:pPr>
                    <w:r>
                      <w:rPr>
                        <w:rFonts w:hint="eastAsia"/>
                      </w:rPr>
                      <w:t xml:space="preserve">第 15页 共 </w:t>
                    </w:r>
                    <w:r>
                      <w:fldChar w:fldCharType="begin"/>
                    </w:r>
                    <w:r>
                      <w:instrText xml:space="preserve"> NUMPAGES  \* MERGEFORMAT </w:instrText>
                    </w:r>
                    <w:r>
                      <w:fldChar w:fldCharType="separate"/>
                    </w:r>
                    <w:r>
                      <w:t>58</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60</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ab3I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9VpvciwCAABXBAAADgAAAAAAAAABACAAAAAfAQAAZHJzL2Uyb0RvYy54bWxQSwUGAAAAAAYA&#10;BgBZAQAAvQU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61</w:t>
                    </w:r>
                    <w:r>
                      <w:fldChar w:fldCharType="end"/>
                    </w:r>
                    <w:r>
                      <w:rPr>
                        <w:rFonts w:hint="eastAsia"/>
                      </w:rPr>
                      <w:t xml:space="preserve"> 页</w:t>
                    </w:r>
                  </w:p>
                </w:txbxContent>
              </v:textbox>
            </v:shape>
          </w:pict>
        </mc:Fallback>
      </mc:AlternateContent>
    </w:r>
    <w:r>
      <w:rPr>
        <w:szCs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t xml:space="preserve">第 15页 共 </w:t>
                          </w:r>
                          <w:r>
                            <w:fldChar w:fldCharType="begin"/>
                          </w:r>
                          <w:r>
                            <w:instrText xml:space="preserve"> NUMPAGES  \* MERGEFORMAT </w:instrText>
                          </w:r>
                          <w:r>
                            <w:fldChar w:fldCharType="separate"/>
                          </w:r>
                          <w:r>
                            <w:t>58</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83QAsoBAACb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M1rShy3OPHLj++Xn78vv74R&#10;9GGD+gA15t0HzEzDWz/g2sx+QGfWPaho8xcVEYxje8/X9sohEZEfrVfrdYUhgbH5gvjs4XmIkN5J&#10;b0k2GhpxfqWt/PQB0pg6p+Rqzt9pY8oMjfvLgZjZwzL3kWO20rAfJkF7355RT4+jb6jDTafEvHfY&#10;2bwlsxFnYz8bxxD1oUNqy8ILwptjQhKFW64wwk6FcWZF3bRfeSke30vWwz+1/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83QAsoBAACbAwAADgAAAAAAAAABACAAAAAeAQAAZHJzL2Uyb0Rv&#10;Yy54bWxQSwUGAAAAAAYABgBZAQAAWgUAAAAA&#10;">
              <v:fill on="f" focussize="0,0"/>
              <v:stroke on="f"/>
              <v:imagedata o:title=""/>
              <o:lock v:ext="edit" aspectratio="f"/>
              <v:textbox inset="0mm,0mm,0mm,0mm" style="mso-fit-shape-to-text:t;">
                <w:txbxContent>
                  <w:p>
                    <w:pPr>
                      <w:pStyle w:val="26"/>
                    </w:pPr>
                    <w:r>
                      <w:rPr>
                        <w:rFonts w:hint="eastAsia"/>
                      </w:rPr>
                      <w:t xml:space="preserve">第 15页 共 </w:t>
                    </w:r>
                    <w:r>
                      <w:fldChar w:fldCharType="begin"/>
                    </w:r>
                    <w:r>
                      <w:instrText xml:space="preserve"> NUMPAGES  \* MERGEFORMAT </w:instrText>
                    </w:r>
                    <w:r>
                      <w:fldChar w:fldCharType="separate"/>
                    </w:r>
                    <w:r>
                      <w:t>58</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rwc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v268HKwIAAFcEAAAOAAAAAAAAAAEAIAAAAB8BAABkcnMvZTJvRG9jLnhtbFBLBQYAAAAABgAG&#10;AFkBAAC8BQ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61</w:t>
                    </w:r>
                    <w:r>
                      <w:fldChar w:fldCharType="end"/>
                    </w:r>
                    <w:r>
                      <w:rPr>
                        <w:rFonts w:hint="eastAsia"/>
                      </w:rPr>
                      <w:t xml:space="preserve"> 页</w:t>
                    </w:r>
                  </w:p>
                </w:txbxContent>
              </v:textbox>
            </v:shape>
          </w:pict>
        </mc:Fallback>
      </mc:AlternateContent>
    </w:r>
    <w:r>
      <w:rPr>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t xml:space="preserve">第 15页 共 </w:t>
                          </w:r>
                          <w:r>
                            <w:fldChar w:fldCharType="begin"/>
                          </w:r>
                          <w:r>
                            <w:instrText xml:space="preserve"> NUMPAGES  \* MERGEFORMAT </w:instrText>
                          </w:r>
                          <w:r>
                            <w:fldChar w:fldCharType="separate"/>
                          </w:r>
                          <w:r>
                            <w:t>58</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vsoHsoBAACb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PWGEsctTvzy/dvlx6/Lz68E&#10;fdigPkCNeQ8BM9Nw5wdcm9kP6My6BxVt/qIignFs7/naXjkkIvKj9Wq9rjAkMDZfEJ89Pg8R0lvp&#10;LclGQyPOr7SVn95DGlPnlFzN+XttTJmhcX85EDN7WOY+csxWGvbDJGjv2zPq6XH0DXW46ZSYdw47&#10;m7dkNuJs7GfjGKI+dEhtWXhBuD0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vsoHsoBAACbAwAADgAAAAAAAAABACAAAAAeAQAAZHJzL2Uyb0Rv&#10;Yy54bWxQSwUGAAAAAAYABgBZAQAAWgUAAAAA&#10;">
              <v:fill on="f" focussize="0,0"/>
              <v:stroke on="f"/>
              <v:imagedata o:title=""/>
              <o:lock v:ext="edit" aspectratio="f"/>
              <v:textbox inset="0mm,0mm,0mm,0mm" style="mso-fit-shape-to-text:t;">
                <w:txbxContent>
                  <w:p>
                    <w:pPr>
                      <w:pStyle w:val="26"/>
                    </w:pPr>
                    <w:r>
                      <w:rPr>
                        <w:rFonts w:hint="eastAsia"/>
                      </w:rPr>
                      <w:t xml:space="preserve">第 15页 共 </w:t>
                    </w:r>
                    <w:r>
                      <w:fldChar w:fldCharType="begin"/>
                    </w:r>
                    <w:r>
                      <w:instrText xml:space="preserve"> NUMPAGES  \* MERGEFORMAT </w:instrText>
                    </w:r>
                    <w:r>
                      <w:fldChar w:fldCharType="separate"/>
                    </w:r>
                    <w:r>
                      <w:t>58</w:t>
                    </w:r>
                    <w:r>
                      <w:fldChar w:fldCharType="end"/>
                    </w:r>
                    <w:r>
                      <w:rPr>
                        <w:rFonts w:hint="eastAsia"/>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62</w:t>
                    </w:r>
                    <w:r>
                      <w:fldChar w:fldCharType="end"/>
                    </w:r>
                    <w:r>
                      <w:rPr>
                        <w:rFonts w:hint="eastAsia"/>
                      </w:rP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x9Sg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yBFJdMVGK7T7tme2N8UZ&#10;xJzpZsNbvqmRfMt8eGAOw4CC8VzCPZZSGiQxvUVJZdyXf53HePQIXkoaDFdONd4SJfK9Ru8AGAbD&#10;DcZ+MPRR3RlMK9qBWpKJCy7IwSydUZ/xhlYxB1xMc2TKaRjMu9ANON4gF6tVCsK0WRa2emd5hI7i&#10;ebs6BgiYdI2idEr0WmHeUmf6txEH+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E8fUoKwIAAFcEAAAOAAAAAAAAAAEAIAAAAB8BAABkcnMvZTJvRG9jLnhtbFBLBQYAAAAABgAG&#10;AFkBAAC8BQ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61</w:t>
                    </w:r>
                    <w:r>
                      <w:fldChar w:fldCharType="end"/>
                    </w:r>
                    <w:r>
                      <w:rPr>
                        <w:rFonts w:hint="eastAsia"/>
                      </w:rPr>
                      <w:t xml:space="preserve"> 页</w:t>
                    </w:r>
                  </w:p>
                </w:txbxContent>
              </v:textbox>
            </v:shape>
          </w:pict>
        </mc:Fallback>
      </mc:AlternateContent>
    </w:r>
    <w:r>
      <w:rPr>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t xml:space="preserve">第 15页 共 </w:t>
                          </w:r>
                          <w:r>
                            <w:fldChar w:fldCharType="begin"/>
                          </w:r>
                          <w:r>
                            <w:instrText xml:space="preserve"> NUMPAGES  \* MERGEFORMAT </w:instrText>
                          </w:r>
                          <w:r>
                            <w:fldChar w:fldCharType="separate"/>
                          </w:r>
                          <w:r>
                            <w:t>58</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l/fso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NUNJY5bnPjl+7fLj1+Xn18J&#10;+rBBfYAa8x4DZqbh3g+4NrMf0Jl1Dyra/EVFBOPY3vO1vXJIRORH69V6XWFIYGy+ID57eh4ipLfS&#10;W5KNhkacX2krP72HNKbOKbma8w/amDJD4/5yIGb2sMx95JitNOyHSdDet2fU0+PoG+pw0ykx7xx2&#10;Nm/JbMTZ2M/GMUR96JDasvCCcHdMSKJwyxVG2Kkwzqyom/YrL8Wf95L19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l/fsoBAACbAwAADgAAAAAAAAABACAAAAAeAQAAZHJzL2Uyb0Rv&#10;Yy54bWxQSwUGAAAAAAYABgBZAQAAWgUAAAAA&#10;">
              <v:fill on="f" focussize="0,0"/>
              <v:stroke on="f"/>
              <v:imagedata o:title=""/>
              <o:lock v:ext="edit" aspectratio="f"/>
              <v:textbox inset="0mm,0mm,0mm,0mm" style="mso-fit-shape-to-text:t;">
                <w:txbxContent>
                  <w:p>
                    <w:pPr>
                      <w:pStyle w:val="26"/>
                    </w:pPr>
                    <w:r>
                      <w:rPr>
                        <w:rFonts w:hint="eastAsia"/>
                      </w:rPr>
                      <w:t xml:space="preserve">第 15页 共 </w:t>
                    </w:r>
                    <w:r>
                      <w:fldChar w:fldCharType="begin"/>
                    </w:r>
                    <w:r>
                      <w:instrText xml:space="preserve"> NUMPAGES  \* MERGEFORMAT </w:instrText>
                    </w:r>
                    <w:r>
                      <w:fldChar w:fldCharType="separate"/>
                    </w:r>
                    <w:r>
                      <w:t>58</w:t>
                    </w:r>
                    <w:r>
                      <w:fldChar w:fldCharType="end"/>
                    </w:r>
                    <w:r>
                      <w:rPr>
                        <w:rFonts w:hint="eastAsia"/>
                      </w:rP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63</w:t>
                    </w:r>
                    <w:r>
                      <w:fldChar w:fldCharType="end"/>
                    </w:r>
                    <w:r>
                      <w:rPr>
                        <w:rFonts w:hint="eastAsia"/>
                      </w:rP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3"/>
      </w:rPr>
    </w:pPr>
    <w:r>
      <w:fldChar w:fldCharType="begin"/>
    </w:r>
    <w:r>
      <w:rPr>
        <w:rStyle w:val="43"/>
      </w:rPr>
      <w:instrText xml:space="preserve">PAGE  </w:instrTex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宋体" w:hAnsi="宋体" w:eastAsia="方正仿宋简体"/>
        <w:kern w:val="0"/>
      </w:rPr>
    </w:pPr>
    <w: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w:t>
                    </w:r>
                  </w:p>
                </w:txbxContent>
              </v:textbox>
            </v:shape>
          </w:pict>
        </mc:Fallback>
      </mc:AlternateContent>
    </w:r>
    <w:r>
      <w:rPr>
        <w:szCs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t xml:space="preserve">第 15页 共 </w:t>
                          </w:r>
                          <w:r>
                            <w:fldChar w:fldCharType="begin"/>
                          </w:r>
                          <w:r>
                            <w:instrText xml:space="preserve"> NUMPAGES  \* MERGEFORMAT </w:instrText>
                          </w:r>
                          <w:r>
                            <w:fldChar w:fldCharType="separate"/>
                          </w:r>
                          <w:r>
                            <w:t>57</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bRMMoBAACb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crShy3OPHL92+XH78uP78S&#10;9GGD+gA15j0EzEzDnR9wbWY/oDPrHlS0+YuKCMaxvedre+WQiMiP1qv1usKQwNh8QXz2+DxESG+l&#10;tyQbDY04v9JWfnoPaUydU3I15++1MWWGxv3lQMzsYZn7yDFbadgPk6C9b8+op8fRN9ThplNi3jns&#10;bN6S2YizsZ+NY4j60CG1ZeEF4faYkEThliuMsFNhnFlRN+1XXoo/7yXr8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zbRMMoBAACbAwAADgAAAAAAAAABACAAAAAeAQAAZHJzL2Uyb0Rv&#10;Yy54bWxQSwUGAAAAAAYABgBZAQAAWgUAAAAA&#10;">
              <v:fill on="f" focussize="0,0"/>
              <v:stroke on="f"/>
              <v:imagedata o:title=""/>
              <o:lock v:ext="edit" aspectratio="f"/>
              <v:textbox inset="0mm,0mm,0mm,0mm" style="mso-fit-shape-to-text:t;">
                <w:txbxContent>
                  <w:p>
                    <w:pPr>
                      <w:pStyle w:val="26"/>
                    </w:pPr>
                    <w:r>
                      <w:rPr>
                        <w:rFonts w:hint="eastAsia"/>
                      </w:rPr>
                      <w:t xml:space="preserve">第 15页 共 </w:t>
                    </w:r>
                    <w:r>
                      <w:fldChar w:fldCharType="begin"/>
                    </w:r>
                    <w:r>
                      <w:instrText xml:space="preserve"> NUMPAGES  \* MERGEFORMAT </w:instrText>
                    </w:r>
                    <w:r>
                      <w:fldChar w:fldCharType="separate"/>
                    </w:r>
                    <w:r>
                      <w:t>57</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53</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61</w:t>
                    </w:r>
                    <w:r>
                      <w:fldChar w:fldCharType="end"/>
                    </w:r>
                    <w:r>
                      <w:rPr>
                        <w:rFonts w:hint="eastAsia"/>
                      </w:rPr>
                      <w:t xml:space="preserve"> 页</w:t>
                    </w:r>
                  </w:p>
                </w:txbxContent>
              </v:textbox>
            </v:shape>
          </w:pict>
        </mc:Fallback>
      </mc:AlternateContent>
    </w:r>
    <w:r>
      <w:rPr>
        <w:szCs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t xml:space="preserve">第 15页 共 </w:t>
                          </w:r>
                          <w:r>
                            <w:fldChar w:fldCharType="begin"/>
                          </w:r>
                          <w:r>
                            <w:instrText xml:space="preserve"> NUMPAGES  \* MERGEFORMAT </w:instrText>
                          </w:r>
                          <w:r>
                            <w:fldChar w:fldCharType="separate"/>
                          </w:r>
                          <w:r>
                            <w:t>58</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YYaMoBAACb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fmKEsctTvzy/dvlx6/Lz68E&#10;fdigPkCNeXcBM9Pw1g+4NrMf0Jl1Dyra/EVFBOPY3vO1vXJIRORH69V6XWFIYGy+ID57eB4ipHfS&#10;W5KNhkacX2krP32ANKbOKbma87famDJD4/5yIGb2sMx95JitNOyHSdDet2fU0+PoG+pw0ykx7x12&#10;Nm/JbMTZ2M/GMUR96JDasvCC8OaYkEThliuMsFNhnFlR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BYYaMoBAACbAwAADgAAAAAAAAABACAAAAAeAQAAZHJzL2Uyb0Rv&#10;Yy54bWxQSwUGAAAAAAYABgBZAQAAWgUAAAAA&#10;">
              <v:fill on="f" focussize="0,0"/>
              <v:stroke on="f"/>
              <v:imagedata o:title=""/>
              <o:lock v:ext="edit" aspectratio="f"/>
              <v:textbox inset="0mm,0mm,0mm,0mm" style="mso-fit-shape-to-text:t;">
                <w:txbxContent>
                  <w:p>
                    <w:pPr>
                      <w:pStyle w:val="26"/>
                    </w:pPr>
                    <w:r>
                      <w:rPr>
                        <w:rFonts w:hint="eastAsia"/>
                      </w:rPr>
                      <w:t xml:space="preserve">第 15页 共 </w:t>
                    </w:r>
                    <w:r>
                      <w:fldChar w:fldCharType="begin"/>
                    </w:r>
                    <w:r>
                      <w:instrText xml:space="preserve"> NUMPAGES  \* MERGEFORMAT </w:instrText>
                    </w:r>
                    <w:r>
                      <w:fldChar w:fldCharType="separate"/>
                    </w:r>
                    <w:r>
                      <w:t>58</w:t>
                    </w:r>
                    <w: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59</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szCs w:val="15"/>
      </w:rPr>
    </w:pPr>
    <w:r>
      <w:rPr>
        <w:rFonts w:hint="eastAsia" w:asciiTheme="minorEastAsia" w:hAnsiTheme="minorEastAsia" w:eastAsiaTheme="minorEastAsia"/>
        <w:b/>
        <w:szCs w:val="18"/>
      </w:rPr>
      <w:t>浙江中诺招标代理有限公司                     2021年上半年食品生产环节监督抽检项目</w:t>
    </w:r>
    <w:r>
      <w:rPr>
        <w:rFonts w:hint="eastAsia" w:asciiTheme="minorEastAsia" w:hAnsiTheme="minorEastAsia" w:eastAsiaTheme="minorEastAsia"/>
        <w:b/>
        <w:color w:val="000000"/>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Theme="minorEastAsia" w:hAnsiTheme="minorEastAsia" w:eastAsiaTheme="minorEastAsia"/>
        <w:color w:val="000000"/>
        <w:szCs w:val="18"/>
      </w:rPr>
    </w:pPr>
    <w:r>
      <w:rPr>
        <w:rFonts w:hint="eastAsia" w:asciiTheme="minorEastAsia" w:hAnsiTheme="minorEastAsia" w:eastAsiaTheme="minorEastAsia"/>
        <w:b/>
        <w:szCs w:val="18"/>
      </w:rPr>
      <w:t>浙江中诺招标代理有限公司                     2021年上半年食品生产环节监督抽检项目</w:t>
    </w:r>
    <w:r>
      <w:rPr>
        <w:rFonts w:hint="eastAsia" w:asciiTheme="minorEastAsia" w:hAnsiTheme="minorEastAsia" w:eastAsiaTheme="minorEastAsia"/>
        <w:b/>
        <w:color w:val="000000"/>
        <w:szCs w:val="18"/>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asciiTheme="minorEastAsia" w:hAnsiTheme="minorEastAsia" w:eastAsiaTheme="minorEastAsia"/>
        <w:b/>
        <w:szCs w:val="18"/>
      </w:rPr>
      <w:t>浙江中诺招标代理有限公司                     2021年上半年食品生产环节监督抽检项目</w:t>
    </w:r>
    <w:r>
      <w:rPr>
        <w:rFonts w:hint="eastAsia" w:asciiTheme="minorEastAsia" w:hAnsiTheme="minorEastAsia" w:eastAsiaTheme="minorEastAsia"/>
        <w:b/>
        <w:color w:val="000000"/>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7AD0"/>
    <w:multiLevelType w:val="multilevel"/>
    <w:tmpl w:val="07A27AD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BC"/>
    <w:rsid w:val="000012F0"/>
    <w:rsid w:val="00005B67"/>
    <w:rsid w:val="00022500"/>
    <w:rsid w:val="00025215"/>
    <w:rsid w:val="00030DBB"/>
    <w:rsid w:val="000326FE"/>
    <w:rsid w:val="0003504E"/>
    <w:rsid w:val="00035EC8"/>
    <w:rsid w:val="00046D49"/>
    <w:rsid w:val="00046D5C"/>
    <w:rsid w:val="0005170A"/>
    <w:rsid w:val="00054697"/>
    <w:rsid w:val="00062360"/>
    <w:rsid w:val="00063777"/>
    <w:rsid w:val="00066AB1"/>
    <w:rsid w:val="0006782A"/>
    <w:rsid w:val="0006790D"/>
    <w:rsid w:val="00073D80"/>
    <w:rsid w:val="00077262"/>
    <w:rsid w:val="00077354"/>
    <w:rsid w:val="000872EE"/>
    <w:rsid w:val="00090FB8"/>
    <w:rsid w:val="00094FCD"/>
    <w:rsid w:val="000A293B"/>
    <w:rsid w:val="000A5C1B"/>
    <w:rsid w:val="000C7B98"/>
    <w:rsid w:val="000E2054"/>
    <w:rsid w:val="000E2A7C"/>
    <w:rsid w:val="000E2ED1"/>
    <w:rsid w:val="000E50F4"/>
    <w:rsid w:val="000E71B3"/>
    <w:rsid w:val="000F6F7A"/>
    <w:rsid w:val="000F7142"/>
    <w:rsid w:val="00101668"/>
    <w:rsid w:val="00105B48"/>
    <w:rsid w:val="0010616B"/>
    <w:rsid w:val="00125E39"/>
    <w:rsid w:val="00131B62"/>
    <w:rsid w:val="00134F3B"/>
    <w:rsid w:val="001354A9"/>
    <w:rsid w:val="001358A1"/>
    <w:rsid w:val="00137121"/>
    <w:rsid w:val="00137B79"/>
    <w:rsid w:val="00137DB3"/>
    <w:rsid w:val="0015072A"/>
    <w:rsid w:val="00156410"/>
    <w:rsid w:val="001614B3"/>
    <w:rsid w:val="00161F57"/>
    <w:rsid w:val="00162726"/>
    <w:rsid w:val="00162759"/>
    <w:rsid w:val="0016290F"/>
    <w:rsid w:val="00164537"/>
    <w:rsid w:val="00164832"/>
    <w:rsid w:val="00171F95"/>
    <w:rsid w:val="00172065"/>
    <w:rsid w:val="00172A27"/>
    <w:rsid w:val="00173D7F"/>
    <w:rsid w:val="001820F2"/>
    <w:rsid w:val="00182914"/>
    <w:rsid w:val="001869E9"/>
    <w:rsid w:val="001910C9"/>
    <w:rsid w:val="00194C45"/>
    <w:rsid w:val="00195487"/>
    <w:rsid w:val="00196D79"/>
    <w:rsid w:val="001A0395"/>
    <w:rsid w:val="001A1955"/>
    <w:rsid w:val="001A57B0"/>
    <w:rsid w:val="001B49AA"/>
    <w:rsid w:val="001B7011"/>
    <w:rsid w:val="001C43AC"/>
    <w:rsid w:val="001C57E3"/>
    <w:rsid w:val="001C77E1"/>
    <w:rsid w:val="001D4466"/>
    <w:rsid w:val="001D6290"/>
    <w:rsid w:val="001D6500"/>
    <w:rsid w:val="001D7D0B"/>
    <w:rsid w:val="001E0701"/>
    <w:rsid w:val="001E42C5"/>
    <w:rsid w:val="001F183C"/>
    <w:rsid w:val="001F3051"/>
    <w:rsid w:val="00201036"/>
    <w:rsid w:val="00201D88"/>
    <w:rsid w:val="00206841"/>
    <w:rsid w:val="00213637"/>
    <w:rsid w:val="0021677C"/>
    <w:rsid w:val="00217B0C"/>
    <w:rsid w:val="00221FB4"/>
    <w:rsid w:val="002344D3"/>
    <w:rsid w:val="00236F66"/>
    <w:rsid w:val="002404DE"/>
    <w:rsid w:val="00240DB2"/>
    <w:rsid w:val="002434EC"/>
    <w:rsid w:val="002455D5"/>
    <w:rsid w:val="00251CA7"/>
    <w:rsid w:val="00252210"/>
    <w:rsid w:val="00252FB9"/>
    <w:rsid w:val="00253195"/>
    <w:rsid w:val="00253C92"/>
    <w:rsid w:val="00254831"/>
    <w:rsid w:val="00256364"/>
    <w:rsid w:val="00257D4B"/>
    <w:rsid w:val="00263261"/>
    <w:rsid w:val="00272ABC"/>
    <w:rsid w:val="002802FF"/>
    <w:rsid w:val="002828FF"/>
    <w:rsid w:val="00282D0F"/>
    <w:rsid w:val="00286674"/>
    <w:rsid w:val="0028668F"/>
    <w:rsid w:val="0029140E"/>
    <w:rsid w:val="00291CCB"/>
    <w:rsid w:val="002A0262"/>
    <w:rsid w:val="002A4DFE"/>
    <w:rsid w:val="002B0721"/>
    <w:rsid w:val="002B08C5"/>
    <w:rsid w:val="002B2C11"/>
    <w:rsid w:val="002B4501"/>
    <w:rsid w:val="002C029F"/>
    <w:rsid w:val="002D15AE"/>
    <w:rsid w:val="002D4394"/>
    <w:rsid w:val="002D67FF"/>
    <w:rsid w:val="002E0395"/>
    <w:rsid w:val="002F3C63"/>
    <w:rsid w:val="002F6A59"/>
    <w:rsid w:val="003008A5"/>
    <w:rsid w:val="00306CB3"/>
    <w:rsid w:val="003126EE"/>
    <w:rsid w:val="0031273D"/>
    <w:rsid w:val="0031617F"/>
    <w:rsid w:val="00316267"/>
    <w:rsid w:val="003302FF"/>
    <w:rsid w:val="00330FC5"/>
    <w:rsid w:val="0034044E"/>
    <w:rsid w:val="00342A86"/>
    <w:rsid w:val="00352C81"/>
    <w:rsid w:val="00353337"/>
    <w:rsid w:val="00353C5E"/>
    <w:rsid w:val="0036028C"/>
    <w:rsid w:val="00366820"/>
    <w:rsid w:val="003733C4"/>
    <w:rsid w:val="003746A7"/>
    <w:rsid w:val="003766EC"/>
    <w:rsid w:val="00376D84"/>
    <w:rsid w:val="003812E8"/>
    <w:rsid w:val="00384F5C"/>
    <w:rsid w:val="00385CC0"/>
    <w:rsid w:val="00392EDA"/>
    <w:rsid w:val="00393414"/>
    <w:rsid w:val="003971C0"/>
    <w:rsid w:val="003A4D60"/>
    <w:rsid w:val="003B6075"/>
    <w:rsid w:val="003C279A"/>
    <w:rsid w:val="003D2A7C"/>
    <w:rsid w:val="003D39E2"/>
    <w:rsid w:val="003D6E65"/>
    <w:rsid w:val="003D7320"/>
    <w:rsid w:val="003E7E87"/>
    <w:rsid w:val="003F294C"/>
    <w:rsid w:val="003F6201"/>
    <w:rsid w:val="00406D8A"/>
    <w:rsid w:val="004115D4"/>
    <w:rsid w:val="0041624A"/>
    <w:rsid w:val="004169C3"/>
    <w:rsid w:val="00424EB1"/>
    <w:rsid w:val="004252FA"/>
    <w:rsid w:val="00426108"/>
    <w:rsid w:val="00430140"/>
    <w:rsid w:val="004312EE"/>
    <w:rsid w:val="004359E2"/>
    <w:rsid w:val="00437929"/>
    <w:rsid w:val="00443621"/>
    <w:rsid w:val="00443FBA"/>
    <w:rsid w:val="00444493"/>
    <w:rsid w:val="0045205F"/>
    <w:rsid w:val="00453CCA"/>
    <w:rsid w:val="00455B08"/>
    <w:rsid w:val="0045667D"/>
    <w:rsid w:val="00461D69"/>
    <w:rsid w:val="00463C1F"/>
    <w:rsid w:val="00466F81"/>
    <w:rsid w:val="00470DA4"/>
    <w:rsid w:val="0047731F"/>
    <w:rsid w:val="0048007E"/>
    <w:rsid w:val="00480A24"/>
    <w:rsid w:val="00481126"/>
    <w:rsid w:val="004828F8"/>
    <w:rsid w:val="0049408D"/>
    <w:rsid w:val="004A11E4"/>
    <w:rsid w:val="004A14B4"/>
    <w:rsid w:val="004A17C9"/>
    <w:rsid w:val="004A3629"/>
    <w:rsid w:val="004B5CFB"/>
    <w:rsid w:val="004B6C4B"/>
    <w:rsid w:val="004D1656"/>
    <w:rsid w:val="004D2167"/>
    <w:rsid w:val="004D30B3"/>
    <w:rsid w:val="004D7036"/>
    <w:rsid w:val="004D766A"/>
    <w:rsid w:val="004E053B"/>
    <w:rsid w:val="004E7ED3"/>
    <w:rsid w:val="004F188B"/>
    <w:rsid w:val="004F2EE0"/>
    <w:rsid w:val="004F3C57"/>
    <w:rsid w:val="004F50C4"/>
    <w:rsid w:val="004F525B"/>
    <w:rsid w:val="00501F44"/>
    <w:rsid w:val="00505645"/>
    <w:rsid w:val="0050668C"/>
    <w:rsid w:val="00510408"/>
    <w:rsid w:val="00510545"/>
    <w:rsid w:val="00511707"/>
    <w:rsid w:val="00513C6B"/>
    <w:rsid w:val="00516251"/>
    <w:rsid w:val="005213E2"/>
    <w:rsid w:val="005257CC"/>
    <w:rsid w:val="00525C17"/>
    <w:rsid w:val="005354F2"/>
    <w:rsid w:val="005355D6"/>
    <w:rsid w:val="00542CF8"/>
    <w:rsid w:val="005442CE"/>
    <w:rsid w:val="005443C5"/>
    <w:rsid w:val="0055057A"/>
    <w:rsid w:val="00560DF1"/>
    <w:rsid w:val="00562F29"/>
    <w:rsid w:val="005639B6"/>
    <w:rsid w:val="005679E4"/>
    <w:rsid w:val="00567C86"/>
    <w:rsid w:val="00572423"/>
    <w:rsid w:val="005735FF"/>
    <w:rsid w:val="0058002A"/>
    <w:rsid w:val="0058202E"/>
    <w:rsid w:val="00584579"/>
    <w:rsid w:val="005906F7"/>
    <w:rsid w:val="00593B76"/>
    <w:rsid w:val="005A0512"/>
    <w:rsid w:val="005A2208"/>
    <w:rsid w:val="005A4710"/>
    <w:rsid w:val="005B0E20"/>
    <w:rsid w:val="005B38F4"/>
    <w:rsid w:val="005B7702"/>
    <w:rsid w:val="005C066C"/>
    <w:rsid w:val="005C21B8"/>
    <w:rsid w:val="005C259E"/>
    <w:rsid w:val="005D0FBA"/>
    <w:rsid w:val="005D36CE"/>
    <w:rsid w:val="005D3F60"/>
    <w:rsid w:val="005D46CD"/>
    <w:rsid w:val="005D667F"/>
    <w:rsid w:val="005E511B"/>
    <w:rsid w:val="005E5ACE"/>
    <w:rsid w:val="005E5DA8"/>
    <w:rsid w:val="005E66AD"/>
    <w:rsid w:val="005F2155"/>
    <w:rsid w:val="005F3604"/>
    <w:rsid w:val="005F49D2"/>
    <w:rsid w:val="005F731E"/>
    <w:rsid w:val="005F7904"/>
    <w:rsid w:val="00601B7E"/>
    <w:rsid w:val="00602937"/>
    <w:rsid w:val="00605561"/>
    <w:rsid w:val="00606D1D"/>
    <w:rsid w:val="00607BBC"/>
    <w:rsid w:val="00610D98"/>
    <w:rsid w:val="00613B1F"/>
    <w:rsid w:val="00617759"/>
    <w:rsid w:val="00621669"/>
    <w:rsid w:val="00622BB3"/>
    <w:rsid w:val="006260D1"/>
    <w:rsid w:val="006522E7"/>
    <w:rsid w:val="00652EA1"/>
    <w:rsid w:val="00654D13"/>
    <w:rsid w:val="00654EC6"/>
    <w:rsid w:val="006702F3"/>
    <w:rsid w:val="00670BE3"/>
    <w:rsid w:val="00671245"/>
    <w:rsid w:val="006769F2"/>
    <w:rsid w:val="00676ACB"/>
    <w:rsid w:val="00677207"/>
    <w:rsid w:val="00681CD5"/>
    <w:rsid w:val="00682F1F"/>
    <w:rsid w:val="00685139"/>
    <w:rsid w:val="006A2876"/>
    <w:rsid w:val="006A30BC"/>
    <w:rsid w:val="006A51D1"/>
    <w:rsid w:val="006A5352"/>
    <w:rsid w:val="006A718F"/>
    <w:rsid w:val="006B140A"/>
    <w:rsid w:val="006C3FAA"/>
    <w:rsid w:val="006C4416"/>
    <w:rsid w:val="006C54A8"/>
    <w:rsid w:val="006D0BC5"/>
    <w:rsid w:val="006D203C"/>
    <w:rsid w:val="006D3DA0"/>
    <w:rsid w:val="006D6B92"/>
    <w:rsid w:val="006E7425"/>
    <w:rsid w:val="006E76C2"/>
    <w:rsid w:val="006F093A"/>
    <w:rsid w:val="006F6671"/>
    <w:rsid w:val="00702440"/>
    <w:rsid w:val="0071037A"/>
    <w:rsid w:val="00713B8B"/>
    <w:rsid w:val="00715DDE"/>
    <w:rsid w:val="00716E7A"/>
    <w:rsid w:val="00724D2E"/>
    <w:rsid w:val="00725B4E"/>
    <w:rsid w:val="0072646D"/>
    <w:rsid w:val="00732764"/>
    <w:rsid w:val="00741348"/>
    <w:rsid w:val="00743B0D"/>
    <w:rsid w:val="007463A9"/>
    <w:rsid w:val="0074751A"/>
    <w:rsid w:val="007567B3"/>
    <w:rsid w:val="00764182"/>
    <w:rsid w:val="00767DAA"/>
    <w:rsid w:val="00771913"/>
    <w:rsid w:val="00781095"/>
    <w:rsid w:val="00790659"/>
    <w:rsid w:val="007919B3"/>
    <w:rsid w:val="00794C61"/>
    <w:rsid w:val="00797A23"/>
    <w:rsid w:val="007A6969"/>
    <w:rsid w:val="007B2744"/>
    <w:rsid w:val="007C368C"/>
    <w:rsid w:val="007C6942"/>
    <w:rsid w:val="007D0451"/>
    <w:rsid w:val="007D25AC"/>
    <w:rsid w:val="007D28EC"/>
    <w:rsid w:val="007D659F"/>
    <w:rsid w:val="007E2643"/>
    <w:rsid w:val="007F2E42"/>
    <w:rsid w:val="007F325A"/>
    <w:rsid w:val="007F4C75"/>
    <w:rsid w:val="007F664B"/>
    <w:rsid w:val="007F725B"/>
    <w:rsid w:val="008017C7"/>
    <w:rsid w:val="00806DB3"/>
    <w:rsid w:val="008073DE"/>
    <w:rsid w:val="00810157"/>
    <w:rsid w:val="00810820"/>
    <w:rsid w:val="00811F70"/>
    <w:rsid w:val="008127D8"/>
    <w:rsid w:val="00814E31"/>
    <w:rsid w:val="008157F1"/>
    <w:rsid w:val="00816806"/>
    <w:rsid w:val="00821453"/>
    <w:rsid w:val="00822A5D"/>
    <w:rsid w:val="00823E26"/>
    <w:rsid w:val="00825F73"/>
    <w:rsid w:val="0082758E"/>
    <w:rsid w:val="00830839"/>
    <w:rsid w:val="00831CB6"/>
    <w:rsid w:val="008338AC"/>
    <w:rsid w:val="00834922"/>
    <w:rsid w:val="00835701"/>
    <w:rsid w:val="00840154"/>
    <w:rsid w:val="008431A6"/>
    <w:rsid w:val="008437FC"/>
    <w:rsid w:val="00844730"/>
    <w:rsid w:val="00845A4D"/>
    <w:rsid w:val="0084686C"/>
    <w:rsid w:val="008547FB"/>
    <w:rsid w:val="0085542F"/>
    <w:rsid w:val="0086080E"/>
    <w:rsid w:val="008609D7"/>
    <w:rsid w:val="008731D5"/>
    <w:rsid w:val="008735CD"/>
    <w:rsid w:val="008753D5"/>
    <w:rsid w:val="00875642"/>
    <w:rsid w:val="00881422"/>
    <w:rsid w:val="00881723"/>
    <w:rsid w:val="0088339A"/>
    <w:rsid w:val="00895054"/>
    <w:rsid w:val="008A3668"/>
    <w:rsid w:val="008A4E3F"/>
    <w:rsid w:val="008A5A7B"/>
    <w:rsid w:val="008B0260"/>
    <w:rsid w:val="008B11A6"/>
    <w:rsid w:val="008B1F35"/>
    <w:rsid w:val="008B49A4"/>
    <w:rsid w:val="008C7A71"/>
    <w:rsid w:val="008D2CF5"/>
    <w:rsid w:val="008D50FF"/>
    <w:rsid w:val="008D66DE"/>
    <w:rsid w:val="008D78CA"/>
    <w:rsid w:val="008E2E0A"/>
    <w:rsid w:val="008E3EC2"/>
    <w:rsid w:val="008E3F95"/>
    <w:rsid w:val="008F6C3F"/>
    <w:rsid w:val="00901DEB"/>
    <w:rsid w:val="00902D26"/>
    <w:rsid w:val="00903A3B"/>
    <w:rsid w:val="00911806"/>
    <w:rsid w:val="009120FC"/>
    <w:rsid w:val="009126CD"/>
    <w:rsid w:val="00917424"/>
    <w:rsid w:val="00924701"/>
    <w:rsid w:val="00933288"/>
    <w:rsid w:val="0093423B"/>
    <w:rsid w:val="00936935"/>
    <w:rsid w:val="0094193D"/>
    <w:rsid w:val="0094357C"/>
    <w:rsid w:val="009445AD"/>
    <w:rsid w:val="0094555D"/>
    <w:rsid w:val="00960031"/>
    <w:rsid w:val="00960EA0"/>
    <w:rsid w:val="0096118D"/>
    <w:rsid w:val="0096243E"/>
    <w:rsid w:val="0097149F"/>
    <w:rsid w:val="00981726"/>
    <w:rsid w:val="009817CA"/>
    <w:rsid w:val="0099122C"/>
    <w:rsid w:val="009A156C"/>
    <w:rsid w:val="009A611E"/>
    <w:rsid w:val="009B0413"/>
    <w:rsid w:val="009B0DD3"/>
    <w:rsid w:val="009B3DA2"/>
    <w:rsid w:val="009B6287"/>
    <w:rsid w:val="009C3982"/>
    <w:rsid w:val="009C6044"/>
    <w:rsid w:val="009D17FC"/>
    <w:rsid w:val="009D23F1"/>
    <w:rsid w:val="009D442C"/>
    <w:rsid w:val="009E2CF7"/>
    <w:rsid w:val="009E408C"/>
    <w:rsid w:val="009F19B6"/>
    <w:rsid w:val="009F2B0F"/>
    <w:rsid w:val="009F2FF7"/>
    <w:rsid w:val="009F65A8"/>
    <w:rsid w:val="00A03EEF"/>
    <w:rsid w:val="00A10323"/>
    <w:rsid w:val="00A129F8"/>
    <w:rsid w:val="00A12D91"/>
    <w:rsid w:val="00A135A6"/>
    <w:rsid w:val="00A27EFE"/>
    <w:rsid w:val="00A33891"/>
    <w:rsid w:val="00A34FDF"/>
    <w:rsid w:val="00A3514F"/>
    <w:rsid w:val="00A35A82"/>
    <w:rsid w:val="00A40938"/>
    <w:rsid w:val="00A54A77"/>
    <w:rsid w:val="00A5551B"/>
    <w:rsid w:val="00A60159"/>
    <w:rsid w:val="00A655C5"/>
    <w:rsid w:val="00A660D8"/>
    <w:rsid w:val="00A80DE3"/>
    <w:rsid w:val="00A92EFF"/>
    <w:rsid w:val="00AA2830"/>
    <w:rsid w:val="00AB0F4A"/>
    <w:rsid w:val="00AB479F"/>
    <w:rsid w:val="00AB7A91"/>
    <w:rsid w:val="00AC5991"/>
    <w:rsid w:val="00AD026C"/>
    <w:rsid w:val="00AD10C4"/>
    <w:rsid w:val="00AE1B3B"/>
    <w:rsid w:val="00AF001B"/>
    <w:rsid w:val="00AF1633"/>
    <w:rsid w:val="00AF1673"/>
    <w:rsid w:val="00AF38D6"/>
    <w:rsid w:val="00AF3DEE"/>
    <w:rsid w:val="00B01170"/>
    <w:rsid w:val="00B01D35"/>
    <w:rsid w:val="00B03F67"/>
    <w:rsid w:val="00B0604A"/>
    <w:rsid w:val="00B07B02"/>
    <w:rsid w:val="00B10DB0"/>
    <w:rsid w:val="00B125AB"/>
    <w:rsid w:val="00B13CCD"/>
    <w:rsid w:val="00B25A4B"/>
    <w:rsid w:val="00B26FBC"/>
    <w:rsid w:val="00B30405"/>
    <w:rsid w:val="00B32B71"/>
    <w:rsid w:val="00B33CF2"/>
    <w:rsid w:val="00B44DF8"/>
    <w:rsid w:val="00B4512F"/>
    <w:rsid w:val="00B47E5C"/>
    <w:rsid w:val="00B504D0"/>
    <w:rsid w:val="00B70ED5"/>
    <w:rsid w:val="00B7101E"/>
    <w:rsid w:val="00B711D8"/>
    <w:rsid w:val="00B7522B"/>
    <w:rsid w:val="00B81703"/>
    <w:rsid w:val="00B82BF2"/>
    <w:rsid w:val="00B862C0"/>
    <w:rsid w:val="00B9117D"/>
    <w:rsid w:val="00B913FC"/>
    <w:rsid w:val="00B95A34"/>
    <w:rsid w:val="00BA5B98"/>
    <w:rsid w:val="00BA6276"/>
    <w:rsid w:val="00BA7896"/>
    <w:rsid w:val="00BB0777"/>
    <w:rsid w:val="00BB1919"/>
    <w:rsid w:val="00BB7026"/>
    <w:rsid w:val="00BC0330"/>
    <w:rsid w:val="00BC0F31"/>
    <w:rsid w:val="00BC130C"/>
    <w:rsid w:val="00BC191E"/>
    <w:rsid w:val="00BC1C2C"/>
    <w:rsid w:val="00BC225B"/>
    <w:rsid w:val="00BC536F"/>
    <w:rsid w:val="00BC6585"/>
    <w:rsid w:val="00BD1DF1"/>
    <w:rsid w:val="00BD2F4E"/>
    <w:rsid w:val="00BD5723"/>
    <w:rsid w:val="00BE3AA5"/>
    <w:rsid w:val="00BE557B"/>
    <w:rsid w:val="00BF0384"/>
    <w:rsid w:val="00BF2D8D"/>
    <w:rsid w:val="00BF2F10"/>
    <w:rsid w:val="00BF7C76"/>
    <w:rsid w:val="00C02B69"/>
    <w:rsid w:val="00C03367"/>
    <w:rsid w:val="00C03547"/>
    <w:rsid w:val="00C055FC"/>
    <w:rsid w:val="00C16487"/>
    <w:rsid w:val="00C171F8"/>
    <w:rsid w:val="00C17F3E"/>
    <w:rsid w:val="00C20CC9"/>
    <w:rsid w:val="00C2526D"/>
    <w:rsid w:val="00C25899"/>
    <w:rsid w:val="00C27A87"/>
    <w:rsid w:val="00C40516"/>
    <w:rsid w:val="00C428E9"/>
    <w:rsid w:val="00C43185"/>
    <w:rsid w:val="00C43B51"/>
    <w:rsid w:val="00C45FF9"/>
    <w:rsid w:val="00C5052D"/>
    <w:rsid w:val="00C677CE"/>
    <w:rsid w:val="00C74138"/>
    <w:rsid w:val="00C764C4"/>
    <w:rsid w:val="00C846EE"/>
    <w:rsid w:val="00C85A9C"/>
    <w:rsid w:val="00C86240"/>
    <w:rsid w:val="00C86F64"/>
    <w:rsid w:val="00C90C84"/>
    <w:rsid w:val="00C92D5C"/>
    <w:rsid w:val="00CA1620"/>
    <w:rsid w:val="00CA3748"/>
    <w:rsid w:val="00CB291E"/>
    <w:rsid w:val="00CB4CAE"/>
    <w:rsid w:val="00CB6665"/>
    <w:rsid w:val="00CB77B0"/>
    <w:rsid w:val="00CC4E7D"/>
    <w:rsid w:val="00CC60F4"/>
    <w:rsid w:val="00CC662E"/>
    <w:rsid w:val="00CC7814"/>
    <w:rsid w:val="00CD521E"/>
    <w:rsid w:val="00CE0822"/>
    <w:rsid w:val="00CE14A5"/>
    <w:rsid w:val="00CE7DD5"/>
    <w:rsid w:val="00CF0310"/>
    <w:rsid w:val="00CF1F3E"/>
    <w:rsid w:val="00CF41CA"/>
    <w:rsid w:val="00CF7040"/>
    <w:rsid w:val="00CF7AD6"/>
    <w:rsid w:val="00D02CB9"/>
    <w:rsid w:val="00D074B7"/>
    <w:rsid w:val="00D17B1B"/>
    <w:rsid w:val="00D219FC"/>
    <w:rsid w:val="00D263A7"/>
    <w:rsid w:val="00D31425"/>
    <w:rsid w:val="00D40118"/>
    <w:rsid w:val="00D45726"/>
    <w:rsid w:val="00D470A7"/>
    <w:rsid w:val="00D539CA"/>
    <w:rsid w:val="00D552BD"/>
    <w:rsid w:val="00D61499"/>
    <w:rsid w:val="00D61919"/>
    <w:rsid w:val="00D67641"/>
    <w:rsid w:val="00D678C6"/>
    <w:rsid w:val="00D722CA"/>
    <w:rsid w:val="00D72611"/>
    <w:rsid w:val="00D740A3"/>
    <w:rsid w:val="00D74913"/>
    <w:rsid w:val="00D74A2A"/>
    <w:rsid w:val="00D76530"/>
    <w:rsid w:val="00D8727F"/>
    <w:rsid w:val="00D90943"/>
    <w:rsid w:val="00D96310"/>
    <w:rsid w:val="00D97ECA"/>
    <w:rsid w:val="00DA6EF2"/>
    <w:rsid w:val="00DB130E"/>
    <w:rsid w:val="00DB32A8"/>
    <w:rsid w:val="00DC4783"/>
    <w:rsid w:val="00DC6DAE"/>
    <w:rsid w:val="00DD0BFE"/>
    <w:rsid w:val="00DD450E"/>
    <w:rsid w:val="00DD6046"/>
    <w:rsid w:val="00DE0566"/>
    <w:rsid w:val="00DE6552"/>
    <w:rsid w:val="00DF163D"/>
    <w:rsid w:val="00DF2DD8"/>
    <w:rsid w:val="00DF531E"/>
    <w:rsid w:val="00DF771F"/>
    <w:rsid w:val="00E07D0C"/>
    <w:rsid w:val="00E15BBF"/>
    <w:rsid w:val="00E24038"/>
    <w:rsid w:val="00E30105"/>
    <w:rsid w:val="00E30BC0"/>
    <w:rsid w:val="00E320D7"/>
    <w:rsid w:val="00E32E10"/>
    <w:rsid w:val="00E36AF1"/>
    <w:rsid w:val="00E45396"/>
    <w:rsid w:val="00E45BC5"/>
    <w:rsid w:val="00E46E48"/>
    <w:rsid w:val="00E472E9"/>
    <w:rsid w:val="00E509E4"/>
    <w:rsid w:val="00E52352"/>
    <w:rsid w:val="00E54D18"/>
    <w:rsid w:val="00E5698C"/>
    <w:rsid w:val="00E579D4"/>
    <w:rsid w:val="00E60BF8"/>
    <w:rsid w:val="00E61C42"/>
    <w:rsid w:val="00E61F82"/>
    <w:rsid w:val="00E77CAC"/>
    <w:rsid w:val="00E8347E"/>
    <w:rsid w:val="00E834E1"/>
    <w:rsid w:val="00E87F6B"/>
    <w:rsid w:val="00E90708"/>
    <w:rsid w:val="00E90953"/>
    <w:rsid w:val="00E91FBD"/>
    <w:rsid w:val="00E9497E"/>
    <w:rsid w:val="00EA43D9"/>
    <w:rsid w:val="00EA4D35"/>
    <w:rsid w:val="00EA7C54"/>
    <w:rsid w:val="00EB7665"/>
    <w:rsid w:val="00EC0D06"/>
    <w:rsid w:val="00EC0F43"/>
    <w:rsid w:val="00EC2589"/>
    <w:rsid w:val="00EC3E2C"/>
    <w:rsid w:val="00EC614C"/>
    <w:rsid w:val="00ED002E"/>
    <w:rsid w:val="00ED4F13"/>
    <w:rsid w:val="00ED572D"/>
    <w:rsid w:val="00EE447C"/>
    <w:rsid w:val="00EE56C1"/>
    <w:rsid w:val="00EE786B"/>
    <w:rsid w:val="00EF3706"/>
    <w:rsid w:val="00EF3E71"/>
    <w:rsid w:val="00EF618E"/>
    <w:rsid w:val="00EF6B1B"/>
    <w:rsid w:val="00F07505"/>
    <w:rsid w:val="00F107C5"/>
    <w:rsid w:val="00F12560"/>
    <w:rsid w:val="00F1668E"/>
    <w:rsid w:val="00F22B6B"/>
    <w:rsid w:val="00F24758"/>
    <w:rsid w:val="00F272F5"/>
    <w:rsid w:val="00F31A7A"/>
    <w:rsid w:val="00F332EA"/>
    <w:rsid w:val="00F34080"/>
    <w:rsid w:val="00F44940"/>
    <w:rsid w:val="00F462BE"/>
    <w:rsid w:val="00F476E2"/>
    <w:rsid w:val="00F53D75"/>
    <w:rsid w:val="00F56C5C"/>
    <w:rsid w:val="00F72A65"/>
    <w:rsid w:val="00F8047B"/>
    <w:rsid w:val="00F80941"/>
    <w:rsid w:val="00F850FA"/>
    <w:rsid w:val="00F85FCE"/>
    <w:rsid w:val="00F94BE5"/>
    <w:rsid w:val="00FA0C67"/>
    <w:rsid w:val="00FA1464"/>
    <w:rsid w:val="00FB0CF1"/>
    <w:rsid w:val="00FD36F1"/>
    <w:rsid w:val="00FD4492"/>
    <w:rsid w:val="00FD63C3"/>
    <w:rsid w:val="00FE1CCF"/>
    <w:rsid w:val="00FE2292"/>
    <w:rsid w:val="00FF1C72"/>
    <w:rsid w:val="00FF3490"/>
    <w:rsid w:val="011439D3"/>
    <w:rsid w:val="011A0397"/>
    <w:rsid w:val="017A517D"/>
    <w:rsid w:val="03E570FD"/>
    <w:rsid w:val="042D3EB4"/>
    <w:rsid w:val="04443ACB"/>
    <w:rsid w:val="04B4513B"/>
    <w:rsid w:val="051B0A7D"/>
    <w:rsid w:val="05C4495A"/>
    <w:rsid w:val="06971AD7"/>
    <w:rsid w:val="07BB406C"/>
    <w:rsid w:val="07F233A6"/>
    <w:rsid w:val="08E94FEB"/>
    <w:rsid w:val="09631F37"/>
    <w:rsid w:val="0A013E4A"/>
    <w:rsid w:val="0AB20220"/>
    <w:rsid w:val="0ACD315C"/>
    <w:rsid w:val="0AD26605"/>
    <w:rsid w:val="0B47189F"/>
    <w:rsid w:val="0C2E20EE"/>
    <w:rsid w:val="0C67270B"/>
    <w:rsid w:val="0C690E73"/>
    <w:rsid w:val="0CC34C10"/>
    <w:rsid w:val="0D97764B"/>
    <w:rsid w:val="0DA2309C"/>
    <w:rsid w:val="11F75BD2"/>
    <w:rsid w:val="1285786E"/>
    <w:rsid w:val="12C31533"/>
    <w:rsid w:val="13215EAD"/>
    <w:rsid w:val="13B96EAB"/>
    <w:rsid w:val="13EF3253"/>
    <w:rsid w:val="16436DC9"/>
    <w:rsid w:val="169C6898"/>
    <w:rsid w:val="18383678"/>
    <w:rsid w:val="18502477"/>
    <w:rsid w:val="18A367C6"/>
    <w:rsid w:val="199C063C"/>
    <w:rsid w:val="1A6C7E75"/>
    <w:rsid w:val="1B0A5ECA"/>
    <w:rsid w:val="1C08356B"/>
    <w:rsid w:val="1C167C4B"/>
    <w:rsid w:val="1DBF16F4"/>
    <w:rsid w:val="1E8B4482"/>
    <w:rsid w:val="1E985487"/>
    <w:rsid w:val="1ECE32D3"/>
    <w:rsid w:val="1EF15C13"/>
    <w:rsid w:val="1F0349E6"/>
    <w:rsid w:val="1F6324E2"/>
    <w:rsid w:val="20D904F4"/>
    <w:rsid w:val="23D62926"/>
    <w:rsid w:val="2428464C"/>
    <w:rsid w:val="2524764D"/>
    <w:rsid w:val="252A2651"/>
    <w:rsid w:val="255D1FC4"/>
    <w:rsid w:val="256F4829"/>
    <w:rsid w:val="27803D36"/>
    <w:rsid w:val="27BC58F7"/>
    <w:rsid w:val="299A2D97"/>
    <w:rsid w:val="299B0B4C"/>
    <w:rsid w:val="2A301F2D"/>
    <w:rsid w:val="2ADD1482"/>
    <w:rsid w:val="2B7534A7"/>
    <w:rsid w:val="2BA41A30"/>
    <w:rsid w:val="2C4434C6"/>
    <w:rsid w:val="2C622C9A"/>
    <w:rsid w:val="2D100A4A"/>
    <w:rsid w:val="2D653995"/>
    <w:rsid w:val="2E2303A0"/>
    <w:rsid w:val="2E8E01E6"/>
    <w:rsid w:val="2E8E73CF"/>
    <w:rsid w:val="2E9811CC"/>
    <w:rsid w:val="2F1F4D75"/>
    <w:rsid w:val="336C759F"/>
    <w:rsid w:val="33BF3530"/>
    <w:rsid w:val="34125B05"/>
    <w:rsid w:val="36A77D2C"/>
    <w:rsid w:val="36FD51B2"/>
    <w:rsid w:val="377E7139"/>
    <w:rsid w:val="37C157EA"/>
    <w:rsid w:val="3807207D"/>
    <w:rsid w:val="38601D21"/>
    <w:rsid w:val="38FC1041"/>
    <w:rsid w:val="391235CF"/>
    <w:rsid w:val="395347BF"/>
    <w:rsid w:val="39DE545F"/>
    <w:rsid w:val="3AA34521"/>
    <w:rsid w:val="3AE82397"/>
    <w:rsid w:val="3BDF6BB3"/>
    <w:rsid w:val="3CFD036A"/>
    <w:rsid w:val="3EC35435"/>
    <w:rsid w:val="3F4A55F7"/>
    <w:rsid w:val="40D56298"/>
    <w:rsid w:val="43724B00"/>
    <w:rsid w:val="43DF0009"/>
    <w:rsid w:val="44A96436"/>
    <w:rsid w:val="44F83A1C"/>
    <w:rsid w:val="45401B7B"/>
    <w:rsid w:val="459231A9"/>
    <w:rsid w:val="45990F88"/>
    <w:rsid w:val="459A11A7"/>
    <w:rsid w:val="46686D66"/>
    <w:rsid w:val="46BD7D9C"/>
    <w:rsid w:val="46FC07CF"/>
    <w:rsid w:val="472D70A2"/>
    <w:rsid w:val="47DC7127"/>
    <w:rsid w:val="481920A5"/>
    <w:rsid w:val="48780080"/>
    <w:rsid w:val="48C227E0"/>
    <w:rsid w:val="48F55A07"/>
    <w:rsid w:val="492A76D6"/>
    <w:rsid w:val="49866B1F"/>
    <w:rsid w:val="49C34B0F"/>
    <w:rsid w:val="49D715C2"/>
    <w:rsid w:val="4A1C786A"/>
    <w:rsid w:val="4A27038E"/>
    <w:rsid w:val="4A321CB4"/>
    <w:rsid w:val="4A486B79"/>
    <w:rsid w:val="4BF50FFC"/>
    <w:rsid w:val="4E04092D"/>
    <w:rsid w:val="4F7B721D"/>
    <w:rsid w:val="504E09A5"/>
    <w:rsid w:val="51354D34"/>
    <w:rsid w:val="52983657"/>
    <w:rsid w:val="52BB7E9F"/>
    <w:rsid w:val="53633175"/>
    <w:rsid w:val="53930A33"/>
    <w:rsid w:val="54031579"/>
    <w:rsid w:val="549E413B"/>
    <w:rsid w:val="54C34A7E"/>
    <w:rsid w:val="54C650D5"/>
    <w:rsid w:val="5657484F"/>
    <w:rsid w:val="56C90143"/>
    <w:rsid w:val="580000E9"/>
    <w:rsid w:val="580A3765"/>
    <w:rsid w:val="588B488E"/>
    <w:rsid w:val="589152D8"/>
    <w:rsid w:val="58E748F1"/>
    <w:rsid w:val="590C298A"/>
    <w:rsid w:val="59671DF3"/>
    <w:rsid w:val="5CFE2B5C"/>
    <w:rsid w:val="5D830108"/>
    <w:rsid w:val="5D877526"/>
    <w:rsid w:val="5EC35617"/>
    <w:rsid w:val="5ECC57D8"/>
    <w:rsid w:val="5F3E4C9B"/>
    <w:rsid w:val="606B1101"/>
    <w:rsid w:val="60CF04F7"/>
    <w:rsid w:val="615142A2"/>
    <w:rsid w:val="616A2217"/>
    <w:rsid w:val="616A2AA0"/>
    <w:rsid w:val="61AF0D7C"/>
    <w:rsid w:val="61E32D31"/>
    <w:rsid w:val="6211336A"/>
    <w:rsid w:val="629B76B4"/>
    <w:rsid w:val="64807044"/>
    <w:rsid w:val="64BD3B58"/>
    <w:rsid w:val="666E629B"/>
    <w:rsid w:val="66A971FD"/>
    <w:rsid w:val="670C4FE7"/>
    <w:rsid w:val="670F0D10"/>
    <w:rsid w:val="67D72691"/>
    <w:rsid w:val="67F251D0"/>
    <w:rsid w:val="69890278"/>
    <w:rsid w:val="69B27310"/>
    <w:rsid w:val="69F83358"/>
    <w:rsid w:val="6A980A93"/>
    <w:rsid w:val="6AA21D86"/>
    <w:rsid w:val="6AB50F5A"/>
    <w:rsid w:val="6C1C46BE"/>
    <w:rsid w:val="6CCD0E69"/>
    <w:rsid w:val="6D977389"/>
    <w:rsid w:val="6DC43769"/>
    <w:rsid w:val="6E6110AC"/>
    <w:rsid w:val="6EA26216"/>
    <w:rsid w:val="6FBF49DD"/>
    <w:rsid w:val="70021A61"/>
    <w:rsid w:val="70375D7D"/>
    <w:rsid w:val="7087372D"/>
    <w:rsid w:val="72663300"/>
    <w:rsid w:val="738343E0"/>
    <w:rsid w:val="73E87DE8"/>
    <w:rsid w:val="74D10798"/>
    <w:rsid w:val="75583322"/>
    <w:rsid w:val="75713BBE"/>
    <w:rsid w:val="768F2EB2"/>
    <w:rsid w:val="77EB56EB"/>
    <w:rsid w:val="77F061BF"/>
    <w:rsid w:val="79543F38"/>
    <w:rsid w:val="79B60017"/>
    <w:rsid w:val="79ED45C4"/>
    <w:rsid w:val="7B533221"/>
    <w:rsid w:val="7BA53D99"/>
    <w:rsid w:val="7C230D83"/>
    <w:rsid w:val="7C6E7334"/>
    <w:rsid w:val="7C9147DF"/>
    <w:rsid w:val="7CC5642F"/>
    <w:rsid w:val="7D09518F"/>
    <w:rsid w:val="7D90741C"/>
    <w:rsid w:val="7E760FB3"/>
    <w:rsid w:val="7ECF4B1A"/>
    <w:rsid w:val="7F790A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tabs>
        <w:tab w:val="left" w:pos="432"/>
      </w:tabs>
      <w:spacing w:before="340" w:after="330" w:line="576" w:lineRule="auto"/>
      <w:ind w:left="432" w:hanging="432"/>
      <w:outlineLvl w:val="0"/>
    </w:pPr>
    <w:rPr>
      <w:b/>
      <w:kern w:val="44"/>
      <w:sz w:val="44"/>
    </w:rPr>
  </w:style>
  <w:style w:type="paragraph" w:styleId="4">
    <w:name w:val="heading 2"/>
    <w:basedOn w:val="1"/>
    <w:next w:val="1"/>
    <w:qFormat/>
    <w:uiPriority w:val="0"/>
    <w:pPr>
      <w:keepNext/>
      <w:keepLines/>
      <w:spacing w:line="360" w:lineRule="auto"/>
      <w:outlineLvl w:val="1"/>
    </w:pPr>
    <w:rPr>
      <w:rFonts w:ascii="仿宋_GB2312" w:eastAsia="仿宋_GB2312"/>
      <w:b/>
      <w:sz w:val="24"/>
      <w:lang w:val="zh-CN"/>
    </w:rPr>
  </w:style>
  <w:style w:type="paragraph" w:styleId="5">
    <w:name w:val="heading 3"/>
    <w:basedOn w:val="1"/>
    <w:next w:val="1"/>
    <w:link w:val="129"/>
    <w:qFormat/>
    <w:uiPriority w:val="0"/>
    <w:pPr>
      <w:keepNext/>
      <w:keepLines/>
      <w:tabs>
        <w:tab w:val="left" w:pos="720"/>
      </w:tabs>
      <w:spacing w:before="260" w:after="260" w:line="413" w:lineRule="auto"/>
      <w:ind w:left="720" w:hanging="720"/>
      <w:outlineLvl w:val="2"/>
    </w:pPr>
    <w:rPr>
      <w:b/>
      <w:sz w:val="32"/>
    </w:rPr>
  </w:style>
  <w:style w:type="paragraph" w:styleId="6">
    <w:name w:val="heading 4"/>
    <w:basedOn w:val="1"/>
    <w:next w:val="1"/>
    <w:qFormat/>
    <w:uiPriority w:val="0"/>
    <w:pPr>
      <w:keepNext/>
      <w:keepLines/>
      <w:tabs>
        <w:tab w:val="left" w:pos="864"/>
      </w:tabs>
      <w:spacing w:before="280" w:after="290" w:line="372" w:lineRule="auto"/>
      <w:ind w:left="864" w:hanging="864"/>
      <w:outlineLvl w:val="3"/>
    </w:pPr>
    <w:rPr>
      <w:rFonts w:ascii="Arial" w:hAnsi="Arial" w:eastAsia="黑体"/>
      <w:b/>
      <w:sz w:val="28"/>
      <w:lang w:val="zh-CN"/>
    </w:rPr>
  </w:style>
  <w:style w:type="paragraph" w:styleId="7">
    <w:name w:val="heading 5"/>
    <w:basedOn w:val="1"/>
    <w:next w:val="1"/>
    <w:qFormat/>
    <w:uiPriority w:val="0"/>
    <w:pPr>
      <w:keepNext/>
      <w:keepLines/>
      <w:tabs>
        <w:tab w:val="left" w:pos="1008"/>
      </w:tabs>
      <w:spacing w:before="280" w:after="290" w:line="372" w:lineRule="auto"/>
      <w:ind w:left="1008" w:hanging="1008"/>
      <w:outlineLvl w:val="4"/>
    </w:pPr>
    <w:rPr>
      <w:b/>
      <w:sz w:val="28"/>
    </w:rPr>
  </w:style>
  <w:style w:type="paragraph" w:styleId="8">
    <w:name w:val="heading 6"/>
    <w:basedOn w:val="1"/>
    <w:next w:val="1"/>
    <w:qFormat/>
    <w:uiPriority w:val="0"/>
    <w:pPr>
      <w:keepNext/>
      <w:keepLines/>
      <w:tabs>
        <w:tab w:val="left" w:pos="1152"/>
      </w:tabs>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1"/>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1"/>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Normal Indent"/>
    <w:basedOn w:val="1"/>
    <w:link w:val="118"/>
    <w:qFormat/>
    <w:uiPriority w:val="0"/>
    <w:pPr>
      <w:widowControl/>
      <w:adjustRightInd w:val="0"/>
      <w:snapToGrid w:val="0"/>
      <w:spacing w:line="480" w:lineRule="exact"/>
      <w:ind w:firstLine="567"/>
    </w:pPr>
    <w:rPr>
      <w:rFonts w:ascii="宋体"/>
      <w:snapToGrid w:val="0"/>
      <w:color w:val="000000"/>
      <w:kern w:val="28"/>
      <w:sz w:val="28"/>
    </w:rPr>
  </w:style>
  <w:style w:type="paragraph" w:styleId="14">
    <w:name w:val="Document Map"/>
    <w:basedOn w:val="1"/>
    <w:qFormat/>
    <w:uiPriority w:val="0"/>
    <w:pPr>
      <w:shd w:val="clear" w:color="auto" w:fill="000080"/>
    </w:pPr>
  </w:style>
  <w:style w:type="paragraph" w:styleId="15">
    <w:name w:val="annotation text"/>
    <w:basedOn w:val="1"/>
    <w:link w:val="124"/>
    <w:qFormat/>
    <w:uiPriority w:val="0"/>
    <w:pPr>
      <w:jc w:val="left"/>
    </w:pPr>
  </w:style>
  <w:style w:type="paragraph" w:styleId="16">
    <w:name w:val="Salutation"/>
    <w:basedOn w:val="1"/>
    <w:next w:val="1"/>
    <w:link w:val="133"/>
    <w:qFormat/>
    <w:uiPriority w:val="0"/>
    <w:rPr>
      <w:sz w:val="32"/>
      <w:szCs w:val="32"/>
    </w:rPr>
  </w:style>
  <w:style w:type="paragraph" w:styleId="17">
    <w:name w:val="Body Text 3"/>
    <w:basedOn w:val="1"/>
    <w:qFormat/>
    <w:uiPriority w:val="0"/>
    <w:pPr>
      <w:jc w:val="center"/>
    </w:pPr>
  </w:style>
  <w:style w:type="paragraph" w:styleId="18">
    <w:name w:val="Body Text"/>
    <w:basedOn w:val="1"/>
    <w:qFormat/>
    <w:uiPriority w:val="0"/>
    <w:pPr>
      <w:autoSpaceDE w:val="0"/>
      <w:autoSpaceDN w:val="0"/>
      <w:adjustRightInd w:val="0"/>
      <w:spacing w:line="360" w:lineRule="auto"/>
    </w:pPr>
    <w:rPr>
      <w:rFonts w:ascii="宋体"/>
      <w:sz w:val="24"/>
      <w:lang w:val="zh-CN"/>
    </w:rPr>
  </w:style>
  <w:style w:type="paragraph" w:styleId="19">
    <w:name w:val="toc 5"/>
    <w:basedOn w:val="1"/>
    <w:next w:val="1"/>
    <w:qFormat/>
    <w:uiPriority w:val="0"/>
    <w:pPr>
      <w:ind w:left="1680" w:leftChars="800"/>
    </w:pPr>
  </w:style>
  <w:style w:type="paragraph" w:styleId="20">
    <w:name w:val="toc 3"/>
    <w:basedOn w:val="1"/>
    <w:next w:val="1"/>
    <w:qFormat/>
    <w:uiPriority w:val="0"/>
    <w:pPr>
      <w:tabs>
        <w:tab w:val="right" w:leader="dot" w:pos="8268"/>
      </w:tabs>
      <w:adjustRightInd w:val="0"/>
      <w:snapToGrid w:val="0"/>
      <w:spacing w:line="300" w:lineRule="auto"/>
      <w:ind w:firstLine="560" w:firstLineChars="200"/>
    </w:pPr>
    <w:rPr>
      <w:rFonts w:ascii="宋体" w:hAnsi="宋体" w:eastAsia="方正黑体简体"/>
      <w:sz w:val="28"/>
    </w:rPr>
  </w:style>
  <w:style w:type="paragraph" w:styleId="21">
    <w:name w:val="Plain Text"/>
    <w:basedOn w:val="1"/>
    <w:link w:val="131"/>
    <w:qFormat/>
    <w:uiPriority w:val="0"/>
    <w:rPr>
      <w:rFonts w:ascii="宋体" w:hAnsi="Courier New"/>
    </w:rPr>
  </w:style>
  <w:style w:type="paragraph" w:styleId="22">
    <w:name w:val="toc 8"/>
    <w:basedOn w:val="1"/>
    <w:next w:val="1"/>
    <w:qFormat/>
    <w:uiPriority w:val="0"/>
    <w:pPr>
      <w:ind w:left="2940" w:leftChars="1400"/>
    </w:pPr>
  </w:style>
  <w:style w:type="paragraph" w:styleId="23">
    <w:name w:val="Date"/>
    <w:basedOn w:val="1"/>
    <w:next w:val="1"/>
    <w:qFormat/>
    <w:uiPriority w:val="0"/>
    <w:pPr>
      <w:ind w:left="100" w:leftChars="2500"/>
    </w:pPr>
    <w:rPr>
      <w:rFonts w:ascii="宋体"/>
      <w:sz w:val="24"/>
      <w:lang w:val="zh-CN"/>
    </w:rPr>
  </w:style>
  <w:style w:type="paragraph" w:styleId="24">
    <w:name w:val="Body Text Indent 2"/>
    <w:basedOn w:val="1"/>
    <w:qFormat/>
    <w:uiPriority w:val="0"/>
    <w:pPr>
      <w:adjustRightInd w:val="0"/>
      <w:spacing w:line="360" w:lineRule="auto"/>
      <w:ind w:firstLine="601"/>
      <w:textAlignment w:val="baseline"/>
    </w:pPr>
    <w:rPr>
      <w:rFonts w:ascii="宋体"/>
      <w:kern w:val="0"/>
      <w:sz w:val="28"/>
    </w:rPr>
  </w:style>
  <w:style w:type="paragraph" w:styleId="25">
    <w:name w:val="Balloon Text"/>
    <w:basedOn w:val="1"/>
    <w:link w:val="140"/>
    <w:qFormat/>
    <w:uiPriority w:val="0"/>
    <w:rPr>
      <w:sz w:val="18"/>
    </w:rPr>
  </w:style>
  <w:style w:type="paragraph" w:styleId="26">
    <w:name w:val="footer"/>
    <w:basedOn w:val="1"/>
    <w:link w:val="143"/>
    <w:qFormat/>
    <w:uiPriority w:val="0"/>
    <w:pPr>
      <w:tabs>
        <w:tab w:val="center" w:pos="4153"/>
        <w:tab w:val="right" w:pos="8306"/>
      </w:tabs>
      <w:snapToGrid w:val="0"/>
      <w:jc w:val="left"/>
    </w:pPr>
    <w:rPr>
      <w:sz w:val="18"/>
    </w:rPr>
  </w:style>
  <w:style w:type="paragraph" w:styleId="27">
    <w:name w:val="header"/>
    <w:basedOn w:val="1"/>
    <w:link w:val="142"/>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style>
  <w:style w:type="paragraph" w:styleId="29">
    <w:name w:val="toc 4"/>
    <w:basedOn w:val="1"/>
    <w:next w:val="1"/>
    <w:qFormat/>
    <w:uiPriority w:val="0"/>
    <w:pPr>
      <w:ind w:left="1260" w:leftChars="600"/>
    </w:pPr>
  </w:style>
  <w:style w:type="paragraph" w:styleId="30">
    <w:name w:val="toc 6"/>
    <w:basedOn w:val="1"/>
    <w:next w:val="1"/>
    <w:qFormat/>
    <w:uiPriority w:val="0"/>
    <w:pPr>
      <w:ind w:left="2100" w:leftChars="1000"/>
    </w:pPr>
  </w:style>
  <w:style w:type="paragraph" w:styleId="31">
    <w:name w:val="Body Text Indent 3"/>
    <w:basedOn w:val="1"/>
    <w:qFormat/>
    <w:uiPriority w:val="0"/>
    <w:pPr>
      <w:spacing w:line="360" w:lineRule="auto"/>
      <w:ind w:firstLine="420"/>
    </w:pPr>
    <w:rPr>
      <w:sz w:val="24"/>
    </w:rPr>
  </w:style>
  <w:style w:type="paragraph" w:styleId="32">
    <w:name w:val="toc 2"/>
    <w:basedOn w:val="1"/>
    <w:next w:val="1"/>
    <w:qFormat/>
    <w:uiPriority w:val="39"/>
    <w:pPr>
      <w:ind w:left="420" w:leftChars="200"/>
    </w:pPr>
  </w:style>
  <w:style w:type="paragraph" w:styleId="33">
    <w:name w:val="toc 9"/>
    <w:basedOn w:val="1"/>
    <w:next w:val="1"/>
    <w:qFormat/>
    <w:uiPriority w:val="0"/>
    <w:pPr>
      <w:ind w:left="3360" w:leftChars="1600"/>
    </w:pPr>
  </w:style>
  <w:style w:type="paragraph" w:styleId="34">
    <w:name w:val="Body Text 2"/>
    <w:basedOn w:val="1"/>
    <w:qFormat/>
    <w:uiPriority w:val="0"/>
    <w:pPr>
      <w:spacing w:after="120" w:line="480" w:lineRule="auto"/>
    </w:p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Title"/>
    <w:basedOn w:val="1"/>
    <w:link w:val="141"/>
    <w:qFormat/>
    <w:uiPriority w:val="0"/>
    <w:pPr>
      <w:widowControl/>
      <w:overflowPunct w:val="0"/>
      <w:autoSpaceDE w:val="0"/>
      <w:autoSpaceDN w:val="0"/>
      <w:adjustRightInd w:val="0"/>
      <w:jc w:val="center"/>
      <w:textAlignment w:val="baseline"/>
    </w:pPr>
    <w:rPr>
      <w:b/>
      <w:kern w:val="0"/>
      <w:sz w:val="24"/>
      <w:lang w:val="en-GB"/>
    </w:rPr>
  </w:style>
  <w:style w:type="paragraph" w:styleId="37">
    <w:name w:val="annotation subject"/>
    <w:basedOn w:val="15"/>
    <w:next w:val="15"/>
    <w:semiHidden/>
    <w:qFormat/>
    <w:uiPriority w:val="0"/>
    <w:rPr>
      <w:b/>
      <w:bCs/>
    </w:rPr>
  </w:style>
  <w:style w:type="paragraph" w:styleId="38">
    <w:name w:val="Body Text First Indent"/>
    <w:basedOn w:val="18"/>
    <w:link w:val="132"/>
    <w:qFormat/>
    <w:uiPriority w:val="0"/>
    <w:pPr>
      <w:ind w:firstLine="420"/>
    </w:pPr>
  </w:style>
  <w:style w:type="table" w:styleId="40">
    <w:name w:val="Table Grid"/>
    <w:basedOn w:val="3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Hyperlink"/>
    <w:qFormat/>
    <w:uiPriority w:val="99"/>
    <w:rPr>
      <w:color w:val="0000FF"/>
      <w:u w:val="single"/>
    </w:rPr>
  </w:style>
  <w:style w:type="character" w:styleId="46">
    <w:name w:val="annotation reference"/>
    <w:basedOn w:val="41"/>
    <w:qFormat/>
    <w:uiPriority w:val="0"/>
    <w:rPr>
      <w:sz w:val="21"/>
    </w:rPr>
  </w:style>
  <w:style w:type="paragraph" w:customStyle="1" w:styleId="47">
    <w:name w:val="Char3"/>
    <w:basedOn w:val="1"/>
    <w:qFormat/>
    <w:uiPriority w:val="0"/>
    <w:rPr>
      <w:rFonts w:ascii="Tahoma" w:hAnsi="Tahoma"/>
      <w:sz w:val="24"/>
    </w:rPr>
  </w:style>
  <w:style w:type="paragraph" w:customStyle="1" w:styleId="4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49">
    <w:name w:val="_Style 48"/>
    <w:basedOn w:val="1"/>
    <w:qFormat/>
    <w:uiPriority w:val="0"/>
    <w:pPr>
      <w:spacing w:line="360" w:lineRule="auto"/>
      <w:ind w:firstLine="200" w:firstLineChars="200"/>
    </w:pPr>
    <w:rPr>
      <w:rFonts w:eastAsia="楷体_GB2312" w:cs="Lucida Sans"/>
      <w:sz w:val="24"/>
      <w:szCs w:val="24"/>
    </w:rPr>
  </w:style>
  <w:style w:type="paragraph" w:customStyle="1" w:styleId="50">
    <w:name w:val="Char Char Char Char Char Char Char1"/>
    <w:basedOn w:val="1"/>
    <w:qFormat/>
    <w:uiPriority w:val="0"/>
    <w:rPr>
      <w:rFonts w:ascii="仿宋_GB2312" w:eastAsia="仿宋_GB2312"/>
      <w:b/>
      <w:sz w:val="32"/>
      <w:szCs w:val="32"/>
    </w:rPr>
  </w:style>
  <w:style w:type="paragraph" w:customStyle="1" w:styleId="51">
    <w:name w:val="一级条标题"/>
    <w:basedOn w:val="52"/>
    <w:next w:val="53"/>
    <w:qFormat/>
    <w:uiPriority w:val="0"/>
    <w:pPr>
      <w:spacing w:beforeLines="0" w:afterLines="0"/>
      <w:ind w:left="525"/>
      <w:outlineLvl w:val="2"/>
    </w:pPr>
  </w:style>
  <w:style w:type="paragraph" w:customStyle="1" w:styleId="52">
    <w:name w:val="章标题"/>
    <w:next w:val="53"/>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正文文字表格居中"/>
    <w:basedOn w:val="1"/>
    <w:next w:val="34"/>
    <w:qFormat/>
    <w:uiPriority w:val="0"/>
    <w:pPr>
      <w:snapToGrid w:val="0"/>
      <w:spacing w:line="360" w:lineRule="auto"/>
    </w:pPr>
    <w:rPr>
      <w:rFonts w:ascii="宋体"/>
      <w:b/>
      <w:sz w:val="24"/>
    </w:rPr>
  </w:style>
  <w:style w:type="paragraph" w:customStyle="1" w:styleId="55">
    <w:name w:val="Char3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6">
    <w:name w:val="Char Char Char Char Char Char Char Char"/>
    <w:basedOn w:val="1"/>
    <w:qFormat/>
    <w:uiPriority w:val="0"/>
    <w:pPr>
      <w:tabs>
        <w:tab w:val="left" w:pos="360"/>
      </w:tabs>
    </w:pPr>
    <w:rPr>
      <w:sz w:val="24"/>
    </w:rPr>
  </w:style>
  <w:style w:type="paragraph" w:customStyle="1" w:styleId="57">
    <w:name w:val="Char1"/>
    <w:basedOn w:val="1"/>
    <w:qFormat/>
    <w:uiPriority w:val="0"/>
    <w:rPr>
      <w:rFonts w:ascii="仿宋_GB2312" w:eastAsia="仿宋_GB2312"/>
      <w:b/>
      <w:sz w:val="32"/>
    </w:rPr>
  </w:style>
  <w:style w:type="paragraph" w:customStyle="1" w:styleId="58">
    <w:name w:val="样式 标题 3标题 3 Char第二层条h33Bold Headbh章标题1小标题level_3PIM 3..."/>
    <w:basedOn w:val="5"/>
    <w:qFormat/>
    <w:uiPriority w:val="0"/>
    <w:pPr>
      <w:adjustRightInd w:val="0"/>
      <w:snapToGrid w:val="0"/>
      <w:spacing w:before="0" w:after="0" w:line="360" w:lineRule="auto"/>
      <w:ind w:left="0" w:firstLine="0"/>
    </w:pPr>
    <w:rPr>
      <w:rFonts w:ascii="黑体" w:hAnsi="宋体" w:eastAsia="黑体" w:cs="宋体"/>
      <w:b w:val="0"/>
      <w:color w:val="000000"/>
      <w:kern w:val="0"/>
      <w:sz w:val="28"/>
    </w:rPr>
  </w:style>
  <w:style w:type="paragraph" w:customStyle="1" w:styleId="59">
    <w:name w:val="默认段落字体 Para Char Char Char Char Char Char Char"/>
    <w:basedOn w:val="1"/>
    <w:qFormat/>
    <w:uiPriority w:val="0"/>
    <w:rPr>
      <w:rFonts w:eastAsia="仿宋_GB2312"/>
      <w:sz w:val="28"/>
    </w:rPr>
  </w:style>
  <w:style w:type="paragraph" w:customStyle="1" w:styleId="60">
    <w:name w:val="Char"/>
    <w:basedOn w:val="1"/>
    <w:qFormat/>
    <w:uiPriority w:val="0"/>
    <w:rPr>
      <w:szCs w:val="24"/>
    </w:rPr>
  </w:style>
  <w:style w:type="paragraph" w:customStyle="1" w:styleId="61">
    <w:name w:val="附注"/>
    <w:basedOn w:val="1"/>
    <w:qFormat/>
    <w:uiPriority w:val="0"/>
    <w:pPr>
      <w:ind w:firstLine="640"/>
    </w:pPr>
    <w:rPr>
      <w:rFonts w:eastAsia="仿宋_GB2312"/>
      <w:sz w:val="32"/>
    </w:rPr>
  </w:style>
  <w:style w:type="paragraph" w:customStyle="1" w:styleId="62">
    <w:name w:val="正文段"/>
    <w:basedOn w:val="1"/>
    <w:qFormat/>
    <w:uiPriority w:val="0"/>
    <w:pPr>
      <w:widowControl/>
      <w:snapToGrid w:val="0"/>
      <w:spacing w:afterLines="50"/>
      <w:ind w:firstLine="200" w:firstLineChars="200"/>
    </w:pPr>
    <w:rPr>
      <w:kern w:val="0"/>
      <w:sz w:val="24"/>
    </w:rPr>
  </w:style>
  <w:style w:type="paragraph" w:customStyle="1" w:styleId="63">
    <w:name w:val="Char Char Char Char"/>
    <w:basedOn w:val="1"/>
    <w:qFormat/>
    <w:uiPriority w:val="0"/>
    <w:rPr>
      <w:rFonts w:ascii="Tahoma" w:hAnsi="Tahoma"/>
      <w:sz w:val="24"/>
    </w:rPr>
  </w:style>
  <w:style w:type="paragraph" w:customStyle="1" w:styleId="64">
    <w:name w:val="Char Char1 Char Char Char"/>
    <w:basedOn w:val="1"/>
    <w:qFormat/>
    <w:uiPriority w:val="0"/>
    <w:rPr>
      <w:rFonts w:ascii="仿宋_GB2312" w:eastAsia="仿宋_GB2312"/>
      <w:b/>
      <w:sz w:val="32"/>
    </w:rPr>
  </w:style>
  <w:style w:type="paragraph" w:customStyle="1" w:styleId="65">
    <w:name w:val="Char2 Char Char Char"/>
    <w:basedOn w:val="1"/>
    <w:qFormat/>
    <w:uiPriority w:val="0"/>
    <w:rPr>
      <w:rFonts w:ascii="仿宋_GB2312" w:eastAsia="仿宋_GB2312"/>
      <w:b/>
      <w:sz w:val="32"/>
      <w:szCs w:val="32"/>
    </w:rPr>
  </w:style>
  <w:style w:type="paragraph" w:customStyle="1" w:styleId="66">
    <w:name w:val="Test2"/>
    <w:basedOn w:val="4"/>
    <w:qFormat/>
    <w:uiPriority w:val="0"/>
    <w:pPr>
      <w:widowControl/>
      <w:adjustRightInd w:val="0"/>
      <w:snapToGrid w:val="0"/>
      <w:spacing w:before="360" w:after="360" w:line="240" w:lineRule="atLeast"/>
      <w:jc w:val="left"/>
    </w:pPr>
    <w:rPr>
      <w:rFonts w:ascii="宋体" w:hAnsi="Arial" w:eastAsia="宋体"/>
      <w:snapToGrid w:val="0"/>
      <w:kern w:val="0"/>
      <w:sz w:val="28"/>
      <w:lang w:val="en-US"/>
    </w:rPr>
  </w:style>
  <w:style w:type="paragraph" w:customStyle="1" w:styleId="67">
    <w:name w:val="Char1 Char Char Char"/>
    <w:basedOn w:val="1"/>
    <w:qFormat/>
    <w:uiPriority w:val="0"/>
    <w:rPr>
      <w:rFonts w:ascii="Tahoma" w:hAnsi="Tahoma"/>
      <w:sz w:val="24"/>
    </w:rPr>
  </w:style>
  <w:style w:type="paragraph" w:customStyle="1" w:styleId="68">
    <w:name w:val="默认段落字体 Para Char Char Char1 Char"/>
    <w:basedOn w:val="1"/>
    <w:qFormat/>
    <w:uiPriority w:val="0"/>
    <w:pPr>
      <w:spacing w:line="240" w:lineRule="atLeast"/>
      <w:ind w:left="420" w:firstLine="420"/>
    </w:pPr>
    <w:rPr>
      <w:sz w:val="24"/>
      <w:szCs w:val="24"/>
    </w:rPr>
  </w:style>
  <w:style w:type="paragraph" w:customStyle="1" w:styleId="69">
    <w:name w:val="Char Char1 Char Char Char Char Char Char"/>
    <w:basedOn w:val="1"/>
    <w:qFormat/>
    <w:uiPriority w:val="0"/>
    <w:rPr>
      <w:rFonts w:ascii="仿宋_GB2312" w:eastAsia="仿宋_GB2312"/>
      <w:b/>
      <w:sz w:val="32"/>
    </w:rPr>
  </w:style>
  <w:style w:type="paragraph" w:customStyle="1" w:styleId="7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1">
    <w:name w:val="Char2"/>
    <w:basedOn w:val="1"/>
    <w:qFormat/>
    <w:uiPriority w:val="0"/>
    <w:rPr>
      <w:rFonts w:ascii="仿宋_GB2312" w:eastAsia="仿宋_GB2312"/>
      <w:b/>
      <w:sz w:val="32"/>
    </w:rPr>
  </w:style>
  <w:style w:type="paragraph" w:customStyle="1" w:styleId="72">
    <w:name w:val="默认段落样式"/>
    <w:basedOn w:val="73"/>
    <w:qFormat/>
    <w:uiPriority w:val="0"/>
    <w:pPr>
      <w:spacing w:before="0"/>
      <w:ind w:firstLine="480"/>
      <w:outlineLvl w:val="2"/>
    </w:pPr>
    <w:rPr>
      <w:rFonts w:ascii="仿宋_GB2312" w:hAnsi="宋体" w:eastAsia="仿宋_GB2312"/>
      <w:color w:val="000000"/>
      <w:szCs w:val="24"/>
    </w:rPr>
  </w:style>
  <w:style w:type="paragraph" w:customStyle="1" w:styleId="73">
    <w:name w:val="正文2"/>
    <w:basedOn w:val="1"/>
    <w:link w:val="139"/>
    <w:qFormat/>
    <w:uiPriority w:val="0"/>
    <w:pPr>
      <w:spacing w:before="156" w:line="360" w:lineRule="auto"/>
      <w:ind w:firstLine="510" w:firstLineChars="200"/>
    </w:pPr>
    <w:rPr>
      <w:sz w:val="24"/>
    </w:rPr>
  </w:style>
  <w:style w:type="paragraph" w:customStyle="1" w:styleId="74">
    <w:name w:val="正文1"/>
    <w:basedOn w:val="1"/>
    <w:next w:val="1"/>
    <w:qFormat/>
    <w:uiPriority w:val="0"/>
    <w:pPr>
      <w:spacing w:before="156" w:line="360" w:lineRule="auto"/>
      <w:ind w:left="426"/>
    </w:pPr>
    <w:rPr>
      <w:sz w:val="24"/>
    </w:rPr>
  </w:style>
  <w:style w:type="paragraph" w:customStyle="1" w:styleId="75">
    <w:name w:val="样式"/>
    <w:basedOn w:val="1"/>
    <w:qFormat/>
    <w:uiPriority w:val="0"/>
    <w:pPr>
      <w:autoSpaceDE w:val="0"/>
      <w:autoSpaceDN w:val="0"/>
      <w:snapToGrid w:val="0"/>
      <w:spacing w:before="120" w:after="120" w:line="360" w:lineRule="auto"/>
    </w:pPr>
    <w:rPr>
      <w:rFonts w:ascii="宋体"/>
      <w:sz w:val="24"/>
    </w:rPr>
  </w:style>
  <w:style w:type="paragraph" w:customStyle="1" w:styleId="7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7">
    <w:name w:val="Char Char1 Char Char Char Char Char Char1"/>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78">
    <w:name w:val="二级条标题"/>
    <w:basedOn w:val="51"/>
    <w:next w:val="53"/>
    <w:qFormat/>
    <w:uiPriority w:val="0"/>
    <w:pPr>
      <w:outlineLvl w:val="3"/>
    </w:pPr>
  </w:style>
  <w:style w:type="paragraph" w:customStyle="1" w:styleId="79">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80">
    <w:name w:val="a1"/>
    <w:basedOn w:val="1"/>
    <w:qFormat/>
    <w:uiPriority w:val="0"/>
    <w:pPr>
      <w:widowControl/>
      <w:spacing w:line="300" w:lineRule="atLeast"/>
      <w:jc w:val="left"/>
    </w:pPr>
    <w:rPr>
      <w:rFonts w:ascii="宋体" w:hAnsi="宋体"/>
      <w:kern w:val="0"/>
      <w:sz w:val="18"/>
    </w:rPr>
  </w:style>
  <w:style w:type="paragraph" w:customStyle="1" w:styleId="81">
    <w:name w:val="Char Char Char Char Char Char Char"/>
    <w:basedOn w:val="1"/>
    <w:qFormat/>
    <w:uiPriority w:val="0"/>
    <w:pPr>
      <w:tabs>
        <w:tab w:val="left" w:pos="432"/>
      </w:tabs>
      <w:spacing w:line="360" w:lineRule="auto"/>
      <w:ind w:left="432" w:hanging="432"/>
    </w:pPr>
    <w:rPr>
      <w:rFonts w:ascii="仿宋_GB2312" w:eastAsia="仿宋_GB2312"/>
      <w:kern w:val="0"/>
      <w:sz w:val="24"/>
      <w:szCs w:val="24"/>
      <w:lang w:val="zh-CN"/>
    </w:rPr>
  </w:style>
  <w:style w:type="paragraph" w:customStyle="1" w:styleId="8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5">
    <w:name w:val="正文缩进HS-正文1"/>
    <w:basedOn w:val="1"/>
    <w:qFormat/>
    <w:uiPriority w:val="0"/>
    <w:pPr>
      <w:suppressAutoHyphens/>
      <w:spacing w:line="360" w:lineRule="auto"/>
      <w:ind w:firstLine="480"/>
    </w:pPr>
    <w:rPr>
      <w:rFonts w:ascii="宋体" w:hAnsi="宋体"/>
      <w:color w:val="000000"/>
      <w:kern w:val="1"/>
      <w:lang w:eastAsia="ar-SA"/>
    </w:rPr>
  </w:style>
  <w:style w:type="paragraph" w:customStyle="1" w:styleId="86">
    <w:name w:val="Char Char Char1 Char"/>
    <w:basedOn w:val="1"/>
    <w:qFormat/>
    <w:uiPriority w:val="0"/>
  </w:style>
  <w:style w:type="paragraph" w:customStyle="1" w:styleId="87">
    <w:name w:val="Char Char1 Char Char Char1"/>
    <w:basedOn w:val="1"/>
    <w:qFormat/>
    <w:uiPriority w:val="0"/>
    <w:rPr>
      <w:rFonts w:ascii="仿宋_GB2312" w:eastAsia="仿宋_GB2312"/>
      <w:b/>
      <w:sz w:val="32"/>
    </w:rPr>
  </w:style>
  <w:style w:type="paragraph" w:customStyle="1" w:styleId="88">
    <w:name w:val="Char Char1"/>
    <w:basedOn w:val="1"/>
    <w:qFormat/>
    <w:uiPriority w:val="0"/>
    <w:pPr>
      <w:widowControl/>
      <w:spacing w:after="160" w:line="240" w:lineRule="exact"/>
      <w:jc w:val="left"/>
    </w:pPr>
    <w:rPr>
      <w:rFonts w:eastAsia="仿宋_GB2312"/>
      <w:sz w:val="28"/>
    </w:rPr>
  </w:style>
  <w:style w:type="paragraph" w:customStyle="1" w:styleId="89">
    <w:name w:val="Char4"/>
    <w:basedOn w:val="1"/>
    <w:link w:val="116"/>
    <w:qFormat/>
    <w:uiPriority w:val="0"/>
    <w:rPr>
      <w:rFonts w:ascii="宋体" w:hAnsi="Courier New"/>
    </w:rPr>
  </w:style>
  <w:style w:type="paragraph" w:customStyle="1" w:styleId="90">
    <w:name w:val="0"/>
    <w:basedOn w:val="1"/>
    <w:qFormat/>
    <w:uiPriority w:val="0"/>
    <w:pPr>
      <w:widowControl/>
    </w:pPr>
    <w:rPr>
      <w:kern w:val="0"/>
      <w:sz w:val="24"/>
    </w:rPr>
  </w:style>
  <w:style w:type="paragraph" w:customStyle="1" w:styleId="91">
    <w:name w:val="FA正文"/>
    <w:basedOn w:val="1"/>
    <w:link w:val="121"/>
    <w:qFormat/>
    <w:uiPriority w:val="0"/>
    <w:pPr>
      <w:spacing w:line="360" w:lineRule="auto"/>
      <w:ind w:firstLine="480" w:firstLineChars="200"/>
    </w:pPr>
    <w:rPr>
      <w:rFonts w:hAnsi="宋体"/>
      <w:sz w:val="24"/>
    </w:rPr>
  </w:style>
  <w:style w:type="paragraph" w:customStyle="1" w:styleId="9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3">
    <w:name w:val="默认段落字体 Para Char"/>
    <w:basedOn w:val="1"/>
    <w:qFormat/>
    <w:uiPriority w:val="0"/>
    <w:rPr>
      <w:rFonts w:ascii="Tahoma" w:hAnsi="Tahoma"/>
      <w:sz w:val="24"/>
    </w:rPr>
  </w:style>
  <w:style w:type="paragraph" w:customStyle="1" w:styleId="9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5">
    <w:name w:val="四级条标题"/>
    <w:basedOn w:val="96"/>
    <w:next w:val="53"/>
    <w:qFormat/>
    <w:uiPriority w:val="0"/>
    <w:pPr>
      <w:outlineLvl w:val="5"/>
    </w:pPr>
  </w:style>
  <w:style w:type="paragraph" w:customStyle="1" w:styleId="96">
    <w:name w:val="三级条标题"/>
    <w:basedOn w:val="78"/>
    <w:next w:val="53"/>
    <w:qFormat/>
    <w:uiPriority w:val="0"/>
    <w:pPr>
      <w:outlineLvl w:val="4"/>
    </w:pPr>
  </w:style>
  <w:style w:type="paragraph" w:customStyle="1" w:styleId="97">
    <w:name w:val="正文缩进1"/>
    <w:basedOn w:val="1"/>
    <w:next w:val="2"/>
    <w:qFormat/>
    <w:uiPriority w:val="0"/>
    <w:pPr>
      <w:autoSpaceDE w:val="0"/>
      <w:autoSpaceDN w:val="0"/>
      <w:adjustRightInd w:val="0"/>
      <w:snapToGrid w:val="0"/>
      <w:spacing w:after="120" w:line="360" w:lineRule="auto"/>
      <w:ind w:left="420" w:leftChars="200" w:firstLine="480" w:firstLineChars="200"/>
    </w:pPr>
    <w:rPr>
      <w:sz w:val="24"/>
    </w:rPr>
  </w:style>
  <w:style w:type="paragraph" w:customStyle="1" w:styleId="98">
    <w:name w:val="表格（小）"/>
    <w:basedOn w:val="1"/>
    <w:qFormat/>
    <w:uiPriority w:val="0"/>
    <w:pPr>
      <w:snapToGrid w:val="0"/>
      <w:spacing w:line="300" w:lineRule="auto"/>
    </w:pPr>
    <w:rPr>
      <w:rFonts w:eastAsia="仿宋"/>
      <w:szCs w:val="21"/>
    </w:rPr>
  </w:style>
  <w:style w:type="paragraph" w:customStyle="1" w:styleId="99">
    <w:name w:val="默认段落字体 Para Char Char Char Char"/>
    <w:basedOn w:val="1"/>
    <w:qFormat/>
    <w:uiPriority w:val="0"/>
    <w:pPr>
      <w:adjustRightInd w:val="0"/>
      <w:spacing w:line="360" w:lineRule="auto"/>
    </w:pPr>
  </w:style>
  <w:style w:type="paragraph" w:customStyle="1" w:styleId="100">
    <w:name w:val="gf正文1"/>
    <w:basedOn w:val="1"/>
    <w:link w:val="123"/>
    <w:qFormat/>
    <w:uiPriority w:val="0"/>
    <w:pPr>
      <w:adjustRightInd w:val="0"/>
      <w:snapToGrid w:val="0"/>
      <w:spacing w:beforeLines="50" w:line="360" w:lineRule="auto"/>
      <w:ind w:firstLine="480" w:firstLineChars="200"/>
    </w:pPr>
    <w:rPr>
      <w:rFonts w:ascii="宋体" w:hAnsi="宋体" w:cs="宋体"/>
      <w:sz w:val="24"/>
      <w:szCs w:val="24"/>
    </w:rPr>
  </w:style>
  <w:style w:type="paragraph" w:customStyle="1" w:styleId="10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rPr>
  </w:style>
  <w:style w:type="paragraph" w:customStyle="1" w:styleId="102">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103">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104">
    <w:name w:val="Char Char Char Char Char Char Char Char Char Char"/>
    <w:basedOn w:val="1"/>
    <w:qFormat/>
    <w:uiPriority w:val="0"/>
    <w:rPr>
      <w:rFonts w:ascii="仿宋_GB2312" w:eastAsia="仿宋_GB2312"/>
      <w:b/>
      <w:sz w:val="32"/>
      <w:szCs w:val="32"/>
    </w:rPr>
  </w:style>
  <w:style w:type="paragraph" w:customStyle="1" w:styleId="105">
    <w:name w:val="Char Char Char1"/>
    <w:basedOn w:val="1"/>
    <w:qFormat/>
    <w:uiPriority w:val="0"/>
    <w:pPr>
      <w:widowControl/>
      <w:spacing w:after="160" w:line="240" w:lineRule="exact"/>
      <w:jc w:val="left"/>
    </w:pPr>
    <w:rPr>
      <w:rFonts w:ascii="Verdana" w:hAnsi="Verdana"/>
      <w:kern w:val="0"/>
      <w:sz w:val="20"/>
      <w:lang w:eastAsia="en-US"/>
    </w:rPr>
  </w:style>
  <w:style w:type="paragraph" w:customStyle="1" w:styleId="106">
    <w:name w:val="正文表标题"/>
    <w:next w:val="53"/>
    <w:qFormat/>
    <w:uiPriority w:val="0"/>
    <w:pPr>
      <w:ind w:left="3240"/>
      <w:jc w:val="center"/>
    </w:pPr>
    <w:rPr>
      <w:rFonts w:ascii="黑体" w:hAnsi="Times New Roman" w:eastAsia="黑体" w:cs="Times New Roman"/>
      <w:sz w:val="21"/>
      <w:lang w:val="en-US" w:eastAsia="zh-CN" w:bidi="ar-SA"/>
    </w:rPr>
  </w:style>
  <w:style w:type="paragraph" w:customStyle="1" w:styleId="10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08">
    <w:name w:val="4"/>
    <w:basedOn w:val="1"/>
    <w:next w:val="24"/>
    <w:qFormat/>
    <w:uiPriority w:val="0"/>
    <w:pPr>
      <w:spacing w:after="120" w:line="480" w:lineRule="auto"/>
      <w:ind w:left="420" w:leftChars="200"/>
    </w:pPr>
    <w:rPr>
      <w:sz w:val="24"/>
    </w:rPr>
  </w:style>
  <w:style w:type="paragraph" w:customStyle="1" w:styleId="109">
    <w:name w:val="五级条标题"/>
    <w:basedOn w:val="95"/>
    <w:next w:val="53"/>
    <w:qFormat/>
    <w:uiPriority w:val="0"/>
    <w:pPr>
      <w:outlineLvl w:val="6"/>
    </w:pPr>
  </w:style>
  <w:style w:type="paragraph" w:customStyle="1" w:styleId="110">
    <w:name w:val="Char Char Char Char Char Char Char Char Char Char Char1 Char"/>
    <w:basedOn w:val="1"/>
    <w:semiHidden/>
    <w:qFormat/>
    <w:uiPriority w:val="0"/>
    <w:rPr>
      <w:rFonts w:ascii="Tahoma" w:hAnsi="Tahoma"/>
      <w:sz w:val="24"/>
      <w:szCs w:val="24"/>
    </w:rPr>
  </w:style>
  <w:style w:type="paragraph" w:customStyle="1" w:styleId="111">
    <w:name w:val="公文正文"/>
    <w:basedOn w:val="1"/>
    <w:link w:val="137"/>
    <w:qFormat/>
    <w:uiPriority w:val="0"/>
    <w:pPr>
      <w:spacing w:before="156" w:line="360" w:lineRule="auto"/>
      <w:ind w:firstLine="360" w:firstLineChars="200"/>
    </w:pPr>
    <w:rPr>
      <w:rFonts w:ascii="仿宋_GB2312" w:eastAsia="仿宋_GB2312"/>
      <w:sz w:val="24"/>
      <w:szCs w:val="24"/>
    </w:rPr>
  </w:style>
  <w:style w:type="paragraph" w:customStyle="1" w:styleId="112">
    <w:name w:val="样式 正文文本缩进 2 + 仿宋_GB2312 黑色 行距: 1.5 倍行距"/>
    <w:basedOn w:val="1"/>
    <w:next w:val="8"/>
    <w:qFormat/>
    <w:uiPriority w:val="0"/>
    <w:pPr>
      <w:spacing w:line="360" w:lineRule="auto"/>
      <w:ind w:firstLine="560" w:firstLineChars="200"/>
    </w:pPr>
    <w:rPr>
      <w:rFonts w:ascii="宋体" w:hAnsi="宋体" w:cs="宋体"/>
      <w:color w:val="000000"/>
      <w:sz w:val="24"/>
    </w:rPr>
  </w:style>
  <w:style w:type="paragraph" w:customStyle="1" w:styleId="113">
    <w:name w:val="规范正文"/>
    <w:basedOn w:val="1"/>
    <w:qFormat/>
    <w:uiPriority w:val="0"/>
    <w:pPr>
      <w:tabs>
        <w:tab w:val="left" w:pos="900"/>
      </w:tabs>
      <w:adjustRightInd w:val="0"/>
      <w:spacing w:beforeLines="50" w:line="360" w:lineRule="auto"/>
      <w:ind w:left="900" w:hanging="420"/>
      <w:textAlignment w:val="baseline"/>
    </w:pPr>
  </w:style>
  <w:style w:type="paragraph" w:customStyle="1" w:styleId="114">
    <w:name w:val="正文首行缩进1"/>
    <w:basedOn w:val="18"/>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15">
    <w:name w:val="数字标题4"/>
    <w:basedOn w:val="6"/>
    <w:qFormat/>
    <w:uiPriority w:val="0"/>
    <w:pPr>
      <w:spacing w:line="240" w:lineRule="auto"/>
      <w:ind w:left="0" w:firstLine="0"/>
    </w:pPr>
    <w:rPr>
      <w:rFonts w:ascii="仿宋_GB2312" w:hAnsi="Times New Roman" w:eastAsia="仿宋_GB2312"/>
      <w:sz w:val="24"/>
      <w:lang w:val="en-US"/>
    </w:rPr>
  </w:style>
  <w:style w:type="character" w:customStyle="1" w:styleId="116">
    <w:name w:val="Char Char Char"/>
    <w:link w:val="89"/>
    <w:qFormat/>
    <w:uiPriority w:val="0"/>
    <w:rPr>
      <w:rFonts w:ascii="宋体" w:hAnsi="Courier New" w:eastAsia="宋体"/>
      <w:kern w:val="2"/>
      <w:sz w:val="21"/>
      <w:lang w:val="en-US" w:eastAsia="zh-CN"/>
    </w:rPr>
  </w:style>
  <w:style w:type="character" w:customStyle="1" w:styleId="117">
    <w:name w:val="表正文 Char"/>
    <w:qFormat/>
    <w:uiPriority w:val="0"/>
    <w:rPr>
      <w:rFonts w:ascii="宋体" w:eastAsia="宋体"/>
      <w:snapToGrid w:val="0"/>
      <w:color w:val="000000"/>
      <w:kern w:val="28"/>
      <w:sz w:val="28"/>
      <w:lang w:val="en-US" w:eastAsia="zh-CN" w:bidi="ar-SA"/>
    </w:rPr>
  </w:style>
  <w:style w:type="character" w:customStyle="1" w:styleId="118">
    <w:name w:val="正文缩进 Char"/>
    <w:link w:val="13"/>
    <w:qFormat/>
    <w:uiPriority w:val="0"/>
    <w:rPr>
      <w:rFonts w:ascii="宋体" w:eastAsia="宋体"/>
      <w:snapToGrid w:val="0"/>
      <w:color w:val="000000"/>
      <w:kern w:val="28"/>
      <w:sz w:val="28"/>
      <w:lang w:val="en-US" w:eastAsia="zh-CN" w:bidi="ar-SA"/>
    </w:rPr>
  </w:style>
  <w:style w:type="character" w:customStyle="1" w:styleId="119">
    <w:name w:val="shadow11"/>
    <w:qFormat/>
    <w:uiPriority w:val="0"/>
    <w:rPr>
      <w:color w:val="000000"/>
      <w:sz w:val="21"/>
    </w:rPr>
  </w:style>
  <w:style w:type="character" w:customStyle="1" w:styleId="120">
    <w:name w:val="普通文字 Char1"/>
    <w:qFormat/>
    <w:uiPriority w:val="0"/>
    <w:rPr>
      <w:rFonts w:ascii="宋体" w:hAnsi="Courier New" w:eastAsia="宋体"/>
      <w:kern w:val="2"/>
      <w:sz w:val="21"/>
      <w:lang w:val="en-US" w:eastAsia="zh-CN"/>
    </w:rPr>
  </w:style>
  <w:style w:type="character" w:customStyle="1" w:styleId="121">
    <w:name w:val="FA正文 Char Char"/>
    <w:link w:val="91"/>
    <w:qFormat/>
    <w:uiPriority w:val="0"/>
    <w:rPr>
      <w:rFonts w:hAnsi="宋体"/>
      <w:kern w:val="2"/>
      <w:sz w:val="24"/>
    </w:rPr>
  </w:style>
  <w:style w:type="character" w:customStyle="1" w:styleId="122">
    <w:name w:val="标题 1 Char Char"/>
    <w:qFormat/>
    <w:uiPriority w:val="0"/>
    <w:rPr>
      <w:rFonts w:eastAsia="宋体"/>
      <w:b/>
      <w:spacing w:val="-2"/>
      <w:sz w:val="24"/>
      <w:lang w:val="en-US" w:eastAsia="zh-CN" w:bidi="ar-SA"/>
    </w:rPr>
  </w:style>
  <w:style w:type="character" w:customStyle="1" w:styleId="123">
    <w:name w:val="gf正文1 Char Char"/>
    <w:link w:val="100"/>
    <w:qFormat/>
    <w:uiPriority w:val="0"/>
    <w:rPr>
      <w:rFonts w:ascii="宋体" w:hAnsi="宋体" w:eastAsia="宋体" w:cs="宋体"/>
      <w:kern w:val="2"/>
      <w:sz w:val="24"/>
      <w:szCs w:val="24"/>
      <w:lang w:val="en-US" w:eastAsia="zh-CN" w:bidi="ar-SA"/>
    </w:rPr>
  </w:style>
  <w:style w:type="character" w:customStyle="1" w:styleId="124">
    <w:name w:val="批注文字 Char"/>
    <w:link w:val="15"/>
    <w:qFormat/>
    <w:uiPriority w:val="0"/>
    <w:rPr>
      <w:rFonts w:eastAsia="宋体"/>
      <w:kern w:val="2"/>
      <w:sz w:val="21"/>
      <w:lang w:val="en-US" w:eastAsia="zh-CN" w:bidi="ar-SA"/>
    </w:rPr>
  </w:style>
  <w:style w:type="character" w:customStyle="1" w:styleId="125">
    <w:name w:val="md"/>
    <w:basedOn w:val="41"/>
    <w:qFormat/>
    <w:uiPriority w:val="0"/>
  </w:style>
  <w:style w:type="character" w:customStyle="1" w:styleId="126">
    <w:name w:val="普通文字 Char Char"/>
    <w:qFormat/>
    <w:uiPriority w:val="0"/>
    <w:rPr>
      <w:rFonts w:ascii="宋体" w:hAnsi="Courier New" w:eastAsia="宋体"/>
      <w:kern w:val="2"/>
      <w:sz w:val="21"/>
      <w:lang w:val="en-US" w:eastAsia="zh-CN"/>
    </w:rPr>
  </w:style>
  <w:style w:type="character" w:customStyle="1" w:styleId="127">
    <w:name w:val="普通文字 Char Char1"/>
    <w:qFormat/>
    <w:uiPriority w:val="0"/>
    <w:rPr>
      <w:rFonts w:ascii="宋体" w:hAnsi="Courier New"/>
      <w:kern w:val="2"/>
      <w:sz w:val="21"/>
    </w:rPr>
  </w:style>
  <w:style w:type="character" w:customStyle="1" w:styleId="128">
    <w:name w:val="正文2 Char"/>
    <w:qFormat/>
    <w:uiPriority w:val="0"/>
    <w:rPr>
      <w:rFonts w:eastAsia="宋体"/>
      <w:kern w:val="2"/>
      <w:sz w:val="24"/>
      <w:lang w:val="en-US" w:eastAsia="zh-CN" w:bidi="ar-SA"/>
    </w:rPr>
  </w:style>
  <w:style w:type="character" w:customStyle="1" w:styleId="129">
    <w:name w:val="标题 3 Char"/>
    <w:link w:val="5"/>
    <w:qFormat/>
    <w:uiPriority w:val="0"/>
    <w:rPr>
      <w:b/>
      <w:kern w:val="2"/>
      <w:sz w:val="32"/>
    </w:rPr>
  </w:style>
  <w:style w:type="character" w:customStyle="1" w:styleId="130">
    <w:name w:val="h3 Char"/>
    <w:qFormat/>
    <w:uiPriority w:val="0"/>
    <w:rPr>
      <w:rFonts w:eastAsia="宋体"/>
      <w:b/>
      <w:kern w:val="2"/>
      <w:sz w:val="32"/>
      <w:lang w:val="en-US" w:eastAsia="zh-CN" w:bidi="ar-SA"/>
    </w:rPr>
  </w:style>
  <w:style w:type="character" w:customStyle="1" w:styleId="131">
    <w:name w:val="纯文本 Char"/>
    <w:link w:val="21"/>
    <w:qFormat/>
    <w:uiPriority w:val="0"/>
    <w:rPr>
      <w:rFonts w:ascii="宋体" w:hAnsi="Courier New" w:eastAsia="宋体"/>
      <w:kern w:val="2"/>
      <w:sz w:val="21"/>
      <w:lang w:val="en-US" w:eastAsia="zh-CN"/>
    </w:rPr>
  </w:style>
  <w:style w:type="character" w:customStyle="1" w:styleId="132">
    <w:name w:val="正文首行缩进 Char"/>
    <w:link w:val="38"/>
    <w:qFormat/>
    <w:uiPriority w:val="0"/>
    <w:rPr>
      <w:rFonts w:ascii="宋体"/>
      <w:kern w:val="2"/>
      <w:sz w:val="24"/>
      <w:lang w:val="zh-CN"/>
    </w:rPr>
  </w:style>
  <w:style w:type="character" w:customStyle="1" w:styleId="133">
    <w:name w:val="称呼 Char"/>
    <w:link w:val="16"/>
    <w:qFormat/>
    <w:uiPriority w:val="0"/>
    <w:rPr>
      <w:kern w:val="2"/>
      <w:sz w:val="32"/>
      <w:szCs w:val="32"/>
    </w:rPr>
  </w:style>
  <w:style w:type="character" w:customStyle="1" w:styleId="134">
    <w:name w:val="dectext1"/>
    <w:qFormat/>
    <w:uiPriority w:val="0"/>
    <w:rPr>
      <w:rFonts w:ascii="宋体" w:hAnsi="宋体" w:eastAsia="宋体"/>
      <w:color w:val="333333"/>
      <w:sz w:val="21"/>
      <w:szCs w:val="21"/>
      <w:u w:val="none"/>
    </w:rPr>
  </w:style>
  <w:style w:type="character" w:customStyle="1" w:styleId="135">
    <w:name w:val="正文非缩进 Char"/>
    <w:qFormat/>
    <w:uiPriority w:val="0"/>
    <w:rPr>
      <w:rFonts w:ascii="宋体" w:eastAsia="宋体"/>
      <w:snapToGrid w:val="0"/>
      <w:color w:val="000000"/>
      <w:kern w:val="28"/>
      <w:sz w:val="28"/>
      <w:lang w:val="en-US" w:eastAsia="zh-CN" w:bidi="ar-SA"/>
    </w:rPr>
  </w:style>
  <w:style w:type="character" w:customStyle="1" w:styleId="136">
    <w:name w:val="Char Char3"/>
    <w:qFormat/>
    <w:uiPriority w:val="0"/>
    <w:rPr>
      <w:rFonts w:ascii="宋体" w:eastAsia="宋体"/>
      <w:snapToGrid w:val="0"/>
      <w:color w:val="000000"/>
      <w:kern w:val="28"/>
      <w:sz w:val="28"/>
      <w:lang w:val="en-US" w:eastAsia="zh-CN" w:bidi="ar-SA"/>
    </w:rPr>
  </w:style>
  <w:style w:type="character" w:customStyle="1" w:styleId="137">
    <w:name w:val="公文正文 Char Char"/>
    <w:link w:val="111"/>
    <w:qFormat/>
    <w:uiPriority w:val="0"/>
    <w:rPr>
      <w:rFonts w:ascii="仿宋_GB2312" w:eastAsia="仿宋_GB2312"/>
      <w:kern w:val="2"/>
      <w:sz w:val="24"/>
      <w:szCs w:val="24"/>
      <w:lang w:val="en-US" w:eastAsia="zh-CN" w:bidi="ar-SA"/>
    </w:rPr>
  </w:style>
  <w:style w:type="character" w:customStyle="1" w:styleId="138">
    <w:name w:val="unnamed11"/>
    <w:qFormat/>
    <w:uiPriority w:val="0"/>
    <w:rPr>
      <w:sz w:val="20"/>
      <w:szCs w:val="20"/>
    </w:rPr>
  </w:style>
  <w:style w:type="character" w:customStyle="1" w:styleId="139">
    <w:name w:val="正文2 Char Char"/>
    <w:link w:val="73"/>
    <w:qFormat/>
    <w:uiPriority w:val="0"/>
    <w:rPr>
      <w:rFonts w:eastAsia="宋体"/>
      <w:kern w:val="2"/>
      <w:sz w:val="24"/>
      <w:lang w:val="en-US" w:eastAsia="zh-CN" w:bidi="ar-SA"/>
    </w:rPr>
  </w:style>
  <w:style w:type="character" w:customStyle="1" w:styleId="140">
    <w:name w:val="批注框文本 Char"/>
    <w:link w:val="25"/>
    <w:qFormat/>
    <w:uiPriority w:val="0"/>
    <w:rPr>
      <w:kern w:val="2"/>
      <w:sz w:val="18"/>
    </w:rPr>
  </w:style>
  <w:style w:type="character" w:customStyle="1" w:styleId="141">
    <w:name w:val="标题 Char"/>
    <w:basedOn w:val="41"/>
    <w:link w:val="36"/>
    <w:qFormat/>
    <w:uiPriority w:val="0"/>
    <w:rPr>
      <w:b/>
      <w:sz w:val="24"/>
      <w:lang w:val="en-GB"/>
    </w:rPr>
  </w:style>
  <w:style w:type="character" w:customStyle="1" w:styleId="142">
    <w:name w:val="页眉 Char"/>
    <w:basedOn w:val="41"/>
    <w:link w:val="27"/>
    <w:qFormat/>
    <w:uiPriority w:val="0"/>
    <w:rPr>
      <w:kern w:val="2"/>
      <w:sz w:val="18"/>
    </w:rPr>
  </w:style>
  <w:style w:type="character" w:customStyle="1" w:styleId="143">
    <w:name w:val="页脚 Char"/>
    <w:basedOn w:val="41"/>
    <w:link w:val="26"/>
    <w:qFormat/>
    <w:uiPriority w:val="0"/>
    <w:rPr>
      <w:kern w:val="2"/>
      <w:sz w:val="18"/>
    </w:rPr>
  </w:style>
  <w:style w:type="character" w:customStyle="1" w:styleId="144">
    <w:name w:val="font31"/>
    <w:basedOn w:val="41"/>
    <w:qFormat/>
    <w:uiPriority w:val="0"/>
    <w:rPr>
      <w:rFonts w:hint="default" w:ascii="Times New Roman" w:hAnsi="Times New Roman" w:cs="Times New Roman"/>
      <w:color w:val="000000"/>
      <w:sz w:val="18"/>
      <w:szCs w:val="18"/>
      <w:u w:val="none"/>
    </w:rPr>
  </w:style>
  <w:style w:type="character" w:customStyle="1" w:styleId="145">
    <w:name w:val="font41"/>
    <w:basedOn w:val="41"/>
    <w:qFormat/>
    <w:uiPriority w:val="0"/>
    <w:rPr>
      <w:rFonts w:hint="eastAsia" w:ascii="宋体" w:hAnsi="宋体" w:eastAsia="宋体" w:cs="宋体"/>
      <w:color w:val="000000"/>
      <w:sz w:val="18"/>
      <w:szCs w:val="18"/>
      <w:u w:val="none"/>
    </w:rPr>
  </w:style>
  <w:style w:type="character" w:customStyle="1" w:styleId="146">
    <w:name w:val="font11"/>
    <w:basedOn w:val="41"/>
    <w:qFormat/>
    <w:uiPriority w:val="0"/>
    <w:rPr>
      <w:rFonts w:hint="default" w:ascii="Times New Roman" w:hAnsi="Times New Roman" w:cs="Times New Roman"/>
      <w:color w:val="000000"/>
      <w:sz w:val="18"/>
      <w:szCs w:val="18"/>
      <w:u w:val="none"/>
      <w:vertAlign w:val="subscript"/>
    </w:rPr>
  </w:style>
  <w:style w:type="character" w:customStyle="1" w:styleId="147">
    <w:name w:val="font01"/>
    <w:basedOn w:val="41"/>
    <w:qFormat/>
    <w:uiPriority w:val="0"/>
    <w:rPr>
      <w:rFonts w:hint="eastAsia" w:ascii="宋体" w:hAnsi="宋体" w:eastAsia="宋体" w:cs="宋体"/>
      <w:color w:val="000000"/>
      <w:sz w:val="20"/>
      <w:szCs w:val="20"/>
      <w:u w:val="none"/>
    </w:rPr>
  </w:style>
  <w:style w:type="character" w:customStyle="1" w:styleId="148">
    <w:name w:val="font51"/>
    <w:basedOn w:val="41"/>
    <w:qFormat/>
    <w:uiPriority w:val="0"/>
    <w:rPr>
      <w:rFonts w:hint="eastAsia" w:ascii="宋体" w:hAnsi="宋体" w:eastAsia="宋体" w:cs="宋体"/>
      <w:color w:val="000000"/>
      <w:sz w:val="20"/>
      <w:szCs w:val="20"/>
      <w:u w:val="none"/>
      <w:vertAlign w:val="subscript"/>
    </w:rPr>
  </w:style>
  <w:style w:type="character" w:customStyle="1" w:styleId="149">
    <w:name w:val="font21"/>
    <w:basedOn w:val="41"/>
    <w:qFormat/>
    <w:uiPriority w:val="0"/>
    <w:rPr>
      <w:rFonts w:hint="eastAsia" w:ascii="宋体" w:hAnsi="宋体" w:eastAsia="宋体" w:cs="宋体"/>
      <w:color w:val="000000"/>
      <w:sz w:val="24"/>
      <w:szCs w:val="24"/>
      <w:u w:val="none"/>
      <w:vertAlign w:val="subscript"/>
    </w:rPr>
  </w:style>
  <w:style w:type="paragraph" w:customStyle="1" w:styleId="150">
    <w:name w:val="纯文本_0_0"/>
    <w:basedOn w:val="151"/>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2">
    <w:name w:val="List Paragraph"/>
    <w:basedOn w:val="1"/>
    <w:qFormat/>
    <w:uiPriority w:val="34"/>
    <w:pPr>
      <w:ind w:firstLine="420" w:firstLineChars="200"/>
    </w:pPr>
  </w:style>
  <w:style w:type="paragraph" w:customStyle="1" w:styleId="15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58C73A-3665-468B-ACB4-8E9454BD9FB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6044</Words>
  <Characters>34453</Characters>
  <Lines>287</Lines>
  <Paragraphs>80</Paragraphs>
  <TotalTime>32</TotalTime>
  <ScaleCrop>false</ScaleCrop>
  <LinksUpToDate>false</LinksUpToDate>
  <CharactersWithSpaces>40417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2020-03-20T08:08:00Z</dcterms:created>
  <dc:creator>孔伟</dc:creator>
  <cp:lastModifiedBy>校对</cp:lastModifiedBy>
  <cp:lastPrinted>2019-06-12T01:13:00Z</cp:lastPrinted>
  <dcterms:modified xsi:type="dcterms:W3CDTF">2021-01-11T05:01:35Z</dcterms:modified>
  <dc:title>www</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