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spacing w:val="5"/>
          <w:sz w:val="32"/>
          <w:szCs w:val="32"/>
        </w:rPr>
      </w:pPr>
      <w:bookmarkStart w:id="0" w:name="_GoBack"/>
      <w:bookmarkEnd w:id="0"/>
      <w:r>
        <w:rPr>
          <w:rFonts w:hint="eastAsia" w:ascii="黑体" w:hAnsi="黑体" w:eastAsia="黑体"/>
          <w:bCs/>
          <w:spacing w:val="5"/>
          <w:sz w:val="32"/>
          <w:szCs w:val="32"/>
        </w:rPr>
        <w:t>附件3</w:t>
      </w:r>
    </w:p>
    <w:p>
      <w:pPr>
        <w:jc w:val="both"/>
        <w:rPr>
          <w:rFonts w:ascii="Times New Roman" w:hAnsi="Times New Roman" w:eastAsia="方正小标宋简体"/>
          <w:bCs/>
          <w:spacing w:val="5"/>
          <w:sz w:val="32"/>
          <w:szCs w:val="32"/>
        </w:rPr>
      </w:pPr>
    </w:p>
    <w:p>
      <w:pPr>
        <w:keepNext w:val="0"/>
        <w:keepLines w:val="0"/>
        <w:pageBreakBefore w:val="0"/>
        <w:kinsoku/>
        <w:wordWrap/>
        <w:topLinePunct w:val="0"/>
        <w:bidi w:val="0"/>
        <w:adjustRightInd/>
        <w:spacing w:line="594" w:lineRule="exact"/>
        <w:ind w:right="0" w:rightChars="0"/>
        <w:jc w:val="center"/>
        <w:rPr>
          <w:rFonts w:hint="eastAsia" w:ascii="Times New Roman" w:hAnsi="Times New Roman" w:eastAsia="黑体" w:cs="Times New Roman"/>
          <w:sz w:val="42"/>
          <w:szCs w:val="42"/>
        </w:rPr>
      </w:pPr>
      <w:r>
        <w:rPr>
          <w:rFonts w:hint="eastAsia" w:ascii="Times New Roman" w:hAnsi="Times New Roman" w:eastAsia="黑体" w:cs="Times New Roman"/>
          <w:sz w:val="42"/>
          <w:szCs w:val="42"/>
        </w:rPr>
        <w:t>小麦粉中曲酸的测定</w:t>
      </w:r>
    </w:p>
    <w:p>
      <w:pPr>
        <w:keepNext w:val="0"/>
        <w:keepLines w:val="0"/>
        <w:pageBreakBefore w:val="0"/>
        <w:kinsoku/>
        <w:wordWrap/>
        <w:topLinePunct w:val="0"/>
        <w:bidi w:val="0"/>
        <w:adjustRightInd/>
        <w:spacing w:line="594" w:lineRule="exact"/>
        <w:ind w:right="0" w:rightChars="0"/>
        <w:jc w:val="center"/>
        <w:rPr>
          <w:rFonts w:hint="default" w:ascii="Times New Roman" w:hAnsi="Times New Roman" w:eastAsia="黑体" w:cs="Times New Roman"/>
          <w:sz w:val="42"/>
          <w:szCs w:val="42"/>
          <w:lang w:val="en-US" w:eastAsia="zh-CN"/>
        </w:rPr>
      </w:pPr>
      <w:r>
        <w:rPr>
          <w:rFonts w:hint="default" w:ascii="Times New Roman" w:hAnsi="Times New Roman" w:eastAsia="黑体" w:cs="Times New Roman"/>
          <w:bCs/>
          <w:sz w:val="42"/>
          <w:szCs w:val="42"/>
        </w:rPr>
        <w:t>BJS 20</w:t>
      </w:r>
      <w:r>
        <w:rPr>
          <w:rFonts w:hint="eastAsia" w:ascii="Times New Roman" w:hAnsi="Times New Roman" w:eastAsia="黑体" w:cs="Times New Roman"/>
          <w:bCs/>
          <w:sz w:val="42"/>
          <w:szCs w:val="42"/>
          <w:lang w:val="en-US" w:eastAsia="zh-CN"/>
        </w:rPr>
        <w:t>2003</w:t>
      </w:r>
    </w:p>
    <w:p>
      <w:pPr>
        <w:keepNext w:val="0"/>
        <w:keepLines w:val="0"/>
        <w:pageBreakBefore w:val="0"/>
        <w:kinsoku/>
        <w:wordWrap/>
        <w:topLinePunct w:val="0"/>
        <w:bidi w:val="0"/>
        <w:adjustRightInd/>
        <w:spacing w:line="594" w:lineRule="exact"/>
        <w:ind w:right="0" w:rightChars="0"/>
        <w:jc w:val="center"/>
        <w:rPr>
          <w:rFonts w:hint="eastAsia" w:ascii="Times New Roman" w:hAnsi="Times New Roman" w:eastAsia="黑体" w:cs="Times New Roman"/>
          <w:sz w:val="42"/>
          <w:szCs w:val="42"/>
        </w:rPr>
      </w:pP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1 范围</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本标准规定了小麦粉中曲酸的高效液相色谱测定方法。</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本标准适用于小麦粉中曲酸的测定。</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2 原理</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用纯水提取试样中曲酸，采用配有二极管阵列检测器或紫外检测器的高效液相色谱仪检测，外标法定量。</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3 试剂和材料</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除另有规定，本方法所用试剂均为分析纯，水为GB/T 6682规定的一级水。</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szCs w:val="21"/>
        </w:rPr>
      </w:pPr>
      <w:r>
        <w:rPr>
          <w:rFonts w:ascii="Times New Roman" w:hAnsi="Times New Roman" w:eastAsia="黑体"/>
          <w:szCs w:val="21"/>
        </w:rPr>
        <w:t>3.1 试剂</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szCs w:val="24"/>
        </w:rPr>
      </w:pPr>
      <w:r>
        <w:rPr>
          <w:rFonts w:ascii="Times New Roman" w:hAnsi="Times New Roman"/>
          <w:szCs w:val="21"/>
        </w:rPr>
        <w:t>3.1.1甲醇（CH</w:t>
      </w:r>
      <w:r>
        <w:rPr>
          <w:rFonts w:ascii="Times New Roman" w:hAnsi="Times New Roman"/>
          <w:szCs w:val="21"/>
          <w:vertAlign w:val="subscript"/>
        </w:rPr>
        <w:t>3</w:t>
      </w:r>
      <w:r>
        <w:rPr>
          <w:rFonts w:ascii="Times New Roman" w:hAnsi="Times New Roman"/>
          <w:szCs w:val="21"/>
        </w:rPr>
        <w:t>OH）：色谱纯。</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szCs w:val="21"/>
        </w:rPr>
      </w:pPr>
      <w:r>
        <w:rPr>
          <w:rFonts w:ascii="Times New Roman" w:hAnsi="Times New Roman"/>
          <w:szCs w:val="21"/>
        </w:rPr>
        <w:t>3.1.2 磷酸二氢钾（KH</w:t>
      </w:r>
      <w:r>
        <w:rPr>
          <w:rFonts w:ascii="Times New Roman" w:hAnsi="Times New Roman"/>
          <w:szCs w:val="21"/>
          <w:vertAlign w:val="subscript"/>
        </w:rPr>
        <w:t>2</w:t>
      </w:r>
      <w:r>
        <w:rPr>
          <w:rFonts w:ascii="Times New Roman" w:hAnsi="Times New Roman"/>
          <w:szCs w:val="21"/>
        </w:rPr>
        <w:t>PO</w:t>
      </w:r>
      <w:r>
        <w:rPr>
          <w:rFonts w:ascii="Times New Roman" w:hAnsi="Times New Roman"/>
          <w:szCs w:val="21"/>
          <w:vertAlign w:val="subscript"/>
        </w:rPr>
        <w:t>4</w:t>
      </w:r>
      <w:r>
        <w:rPr>
          <w:rFonts w:ascii="Times New Roman" w:hAnsi="Times New Roman"/>
          <w:szCs w:val="21"/>
        </w:rPr>
        <w:t>）。</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szCs w:val="21"/>
        </w:rPr>
      </w:pPr>
      <w:r>
        <w:rPr>
          <w:rFonts w:ascii="Times New Roman" w:hAnsi="Times New Roman"/>
          <w:szCs w:val="21"/>
        </w:rPr>
        <w:t>3.1.3 磷酸（H</w:t>
      </w:r>
      <w:r>
        <w:rPr>
          <w:rFonts w:ascii="Times New Roman" w:hAnsi="Times New Roman"/>
          <w:szCs w:val="21"/>
          <w:vertAlign w:val="subscript"/>
        </w:rPr>
        <w:t>3</w:t>
      </w:r>
      <w:r>
        <w:rPr>
          <w:rFonts w:ascii="Times New Roman" w:hAnsi="Times New Roman"/>
          <w:szCs w:val="21"/>
        </w:rPr>
        <w:t>PO</w:t>
      </w:r>
      <w:r>
        <w:rPr>
          <w:rFonts w:ascii="Times New Roman" w:hAnsi="Times New Roman"/>
          <w:szCs w:val="21"/>
          <w:vertAlign w:val="subscript"/>
        </w:rPr>
        <w:t>4</w:t>
      </w:r>
      <w:r>
        <w:rPr>
          <w:rFonts w:ascii="Times New Roman" w:hAnsi="Times New Roman"/>
          <w:szCs w:val="21"/>
        </w:rPr>
        <w:t>）。</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eastAsia="黑体"/>
          <w:szCs w:val="21"/>
        </w:rPr>
      </w:pPr>
      <w:r>
        <w:rPr>
          <w:rFonts w:ascii="Times New Roman" w:hAnsi="Times New Roman" w:eastAsia="黑体"/>
          <w:szCs w:val="21"/>
        </w:rPr>
        <w:t>3.2 试剂配制</w:t>
      </w:r>
    </w:p>
    <w:p>
      <w:pPr>
        <w:keepNext w:val="0"/>
        <w:keepLines w:val="0"/>
        <w:pageBreakBefore w:val="0"/>
        <w:kinsoku/>
        <w:wordWrap/>
        <w:overflowPunct/>
        <w:topLinePunct w:val="0"/>
        <w:autoSpaceDE/>
        <w:autoSpaceDN/>
        <w:bidi w:val="0"/>
        <w:adjustRightInd/>
        <w:spacing w:line="594" w:lineRule="exact"/>
        <w:ind w:firstLine="420" w:firstLineChars="200"/>
        <w:jc w:val="left"/>
        <w:textAlignment w:val="auto"/>
        <w:rPr>
          <w:rFonts w:ascii="Times New Roman" w:hAnsi="Times New Roman"/>
          <w:szCs w:val="24"/>
        </w:rPr>
      </w:pPr>
      <w:r>
        <w:rPr>
          <w:rFonts w:ascii="Times New Roman" w:hAnsi="Times New Roman"/>
          <w:szCs w:val="24"/>
        </w:rPr>
        <w:t>磷酸二氢钾溶液（0.02 mol/L，pH 3.7）</w:t>
      </w:r>
      <w:r>
        <w:rPr>
          <w:rFonts w:hint="eastAsia" w:ascii="Times New Roman" w:hAnsi="Times New Roman"/>
          <w:szCs w:val="24"/>
        </w:rPr>
        <w:t>：</w:t>
      </w:r>
      <w:r>
        <w:rPr>
          <w:rFonts w:ascii="Times New Roman" w:hAnsi="Times New Roman"/>
          <w:szCs w:val="24"/>
        </w:rPr>
        <w:t>称取2.722 g磷酸二氢钾（3.1.2），加水溶解并定容至1000 mL，加入磷酸（3.1.3）调节pH在3.7</w:t>
      </w:r>
      <w:r>
        <w:rPr>
          <w:rFonts w:hint="eastAsia" w:ascii="Times New Roman" w:hAnsi="Times New Roman"/>
          <w:szCs w:val="24"/>
        </w:rPr>
        <w:t xml:space="preserve"> </w:t>
      </w:r>
      <w:r>
        <w:rPr>
          <w:rFonts w:ascii="Times New Roman" w:hAnsi="Times New Roman"/>
          <w:szCs w:val="24"/>
        </w:rPr>
        <w:t>±</w:t>
      </w:r>
      <w:r>
        <w:rPr>
          <w:rFonts w:hint="eastAsia" w:ascii="Times New Roman" w:hAnsi="Times New Roman"/>
          <w:szCs w:val="24"/>
        </w:rPr>
        <w:t xml:space="preserve"> </w:t>
      </w:r>
      <w:r>
        <w:rPr>
          <w:rFonts w:ascii="Times New Roman" w:hAnsi="Times New Roman"/>
          <w:szCs w:val="24"/>
        </w:rPr>
        <w:t>0.1之间，经水相微孔滤膜</w:t>
      </w:r>
      <w:r>
        <w:rPr>
          <w:rFonts w:hint="eastAsia" w:ascii="Times New Roman"/>
          <w:color w:val="000000"/>
        </w:rPr>
        <w:t>（</w:t>
      </w:r>
      <w:r>
        <w:rPr>
          <w:rFonts w:ascii="Times New Roman"/>
          <w:color w:val="000000"/>
        </w:rPr>
        <w:t>0.</w:t>
      </w:r>
      <w:r>
        <w:rPr>
          <w:rFonts w:hint="eastAsia" w:ascii="Times New Roman"/>
          <w:color w:val="000000"/>
        </w:rPr>
        <w:t>45</w:t>
      </w:r>
      <w:r>
        <w:rPr>
          <w:rFonts w:ascii="Times New Roman"/>
          <w:color w:val="000000"/>
        </w:rPr>
        <w:t xml:space="preserve"> μm</w:t>
      </w:r>
      <w:r>
        <w:rPr>
          <w:rFonts w:hint="eastAsia" w:ascii="Times New Roman"/>
          <w:color w:val="000000"/>
        </w:rPr>
        <w:t>）</w:t>
      </w:r>
      <w:r>
        <w:rPr>
          <w:rFonts w:ascii="Times New Roman" w:hAnsi="Times New Roman"/>
          <w:szCs w:val="24"/>
        </w:rPr>
        <w:t>过滤后备用。</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eastAsia="黑体"/>
          <w:szCs w:val="21"/>
        </w:rPr>
      </w:pPr>
      <w:r>
        <w:rPr>
          <w:rFonts w:ascii="Times New Roman" w:hAnsi="Times New Roman" w:eastAsia="黑体"/>
          <w:szCs w:val="21"/>
        </w:rPr>
        <w:t xml:space="preserve">3.3 标准品  </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曲酸标准品英文名称、CAS号、分子式、相对分子质量、结构式见附录A，纯度≥</w:t>
      </w:r>
      <w:r>
        <w:rPr>
          <w:rFonts w:ascii="Times New Roman" w:hAnsi="Times New Roman"/>
        </w:rPr>
        <w:t>99%。</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szCs w:val="21"/>
        </w:rPr>
      </w:pPr>
      <w:r>
        <w:rPr>
          <w:rFonts w:ascii="Times New Roman" w:hAnsi="Times New Roman" w:eastAsia="黑体"/>
          <w:szCs w:val="21"/>
        </w:rPr>
        <w:t>3.4 标准溶液配制</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szCs w:val="24"/>
        </w:rPr>
        <w:t>3.4.1 标准储备液（1000 mg/L）：准确称取曲酸标准品10</w:t>
      </w:r>
      <w:r>
        <w:rPr>
          <w:rFonts w:hint="eastAsia" w:ascii="Times New Roman" w:hAnsi="Times New Roman"/>
          <w:szCs w:val="24"/>
        </w:rPr>
        <w:t>0</w:t>
      </w:r>
      <w:r>
        <w:rPr>
          <w:rFonts w:ascii="Times New Roman" w:hAnsi="Times New Roman"/>
          <w:szCs w:val="24"/>
        </w:rPr>
        <w:t xml:space="preserve"> mg（精确至0.0001 g），加水溶解并</w:t>
      </w:r>
      <w:r>
        <w:rPr>
          <w:rFonts w:hint="eastAsia" w:ascii="Times New Roman" w:hAnsi="Times New Roman"/>
          <w:szCs w:val="24"/>
        </w:rPr>
        <w:t>转移至</w:t>
      </w:r>
      <w:r>
        <w:rPr>
          <w:rFonts w:ascii="Times New Roman" w:hAnsi="Times New Roman"/>
          <w:szCs w:val="24"/>
        </w:rPr>
        <w:t>100 mL容量瓶中，</w:t>
      </w:r>
      <w:r>
        <w:rPr>
          <w:rFonts w:hint="eastAsia" w:ascii="Times New Roman" w:hAnsi="Times New Roman"/>
          <w:szCs w:val="24"/>
        </w:rPr>
        <w:t>定容</w:t>
      </w:r>
      <w:r>
        <w:rPr>
          <w:rFonts w:ascii="Times New Roman" w:hAnsi="Times New Roman"/>
          <w:szCs w:val="24"/>
        </w:rPr>
        <w:t>至刻度，摇匀，制成浓度为1000 mg/L标准储备液，4℃避光保存，有效期3个月。</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szCs w:val="24"/>
        </w:rPr>
        <w:t>3.4.2 标准使用液（10</w:t>
      </w:r>
      <w:r>
        <w:rPr>
          <w:rFonts w:hint="eastAsia" w:ascii="Times New Roman" w:hAnsi="Times New Roman"/>
          <w:szCs w:val="24"/>
        </w:rPr>
        <w:t>.0</w:t>
      </w:r>
      <w:r>
        <w:rPr>
          <w:rFonts w:ascii="Times New Roman" w:hAnsi="Times New Roman"/>
          <w:szCs w:val="24"/>
        </w:rPr>
        <w:t xml:space="preserve"> mg/L）：</w:t>
      </w:r>
      <w:r>
        <w:rPr>
          <w:rFonts w:hint="eastAsia" w:ascii="Times New Roman" w:hAnsi="Times New Roman"/>
          <w:szCs w:val="24"/>
        </w:rPr>
        <w:t>准确吸</w:t>
      </w:r>
      <w:r>
        <w:rPr>
          <w:rFonts w:ascii="Times New Roman" w:hAnsi="Times New Roman"/>
          <w:szCs w:val="24"/>
        </w:rPr>
        <w:t>取标准储备液（3.4.1）1</w:t>
      </w:r>
      <w:r>
        <w:rPr>
          <w:rFonts w:hint="eastAsia" w:ascii="Times New Roman" w:hAnsi="Times New Roman"/>
          <w:szCs w:val="24"/>
        </w:rPr>
        <w:t>.0</w:t>
      </w:r>
      <w:r>
        <w:rPr>
          <w:rFonts w:ascii="Times New Roman" w:hAnsi="Times New Roman"/>
          <w:szCs w:val="24"/>
        </w:rPr>
        <w:t xml:space="preserve"> mL于100 mL容量瓶中，用水稀释至刻度，摇匀，制成浓度为10</w:t>
      </w:r>
      <w:r>
        <w:rPr>
          <w:rFonts w:hint="eastAsia" w:ascii="Times New Roman" w:hAnsi="Times New Roman"/>
          <w:szCs w:val="24"/>
        </w:rPr>
        <w:t>.0</w:t>
      </w:r>
      <w:r>
        <w:rPr>
          <w:rFonts w:ascii="Times New Roman" w:hAnsi="Times New Roman"/>
          <w:szCs w:val="24"/>
        </w:rPr>
        <w:t xml:space="preserve"> mg/L的标准使用液，4℃避光保存，有效期3个月。</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szCs w:val="24"/>
        </w:rPr>
        <w:t>3.4.3 标准系列工作溶液：准确</w:t>
      </w:r>
      <w:r>
        <w:rPr>
          <w:rFonts w:hint="eastAsia" w:ascii="Times New Roman" w:hAnsi="Times New Roman"/>
          <w:szCs w:val="24"/>
        </w:rPr>
        <w:t>吸</w:t>
      </w:r>
      <w:r>
        <w:rPr>
          <w:rFonts w:ascii="Times New Roman" w:hAnsi="Times New Roman"/>
          <w:szCs w:val="24"/>
        </w:rPr>
        <w:t>取标准使用液（3.4.2）适量，用水配制成质量浓度为0.1 mg/L、0.2 mg/L、0.5 mg/L、1.0 mg/L、5.0 mg/L，或依仪器响应和实际情况配制适当浓度的标准系列工作溶液。</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4 仪器与设备</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szCs w:val="24"/>
        </w:rPr>
      </w:pPr>
      <w:r>
        <w:rPr>
          <w:rFonts w:ascii="Times New Roman" w:hAnsi="Times New Roman"/>
          <w:szCs w:val="24"/>
        </w:rPr>
        <w:t>4.1 液相色谱仪：配有二极管阵列检测器或紫外检测器。</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szCs w:val="24"/>
        </w:rPr>
      </w:pPr>
      <w:r>
        <w:rPr>
          <w:rFonts w:ascii="Times New Roman" w:hAnsi="Times New Roman"/>
          <w:szCs w:val="24"/>
        </w:rPr>
        <w:t>4.2 分析天平：感量分别为0.01 g和0.0001 g。</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szCs w:val="24"/>
        </w:rPr>
      </w:pPr>
      <w:r>
        <w:rPr>
          <w:rFonts w:ascii="Times New Roman" w:hAnsi="Times New Roman"/>
          <w:szCs w:val="24"/>
        </w:rPr>
        <w:t>4.3  pH计</w:t>
      </w:r>
      <w:r>
        <w:rPr>
          <w:rFonts w:hint="eastAsia" w:ascii="Times New Roman" w:hAnsi="Times New Roman"/>
          <w:szCs w:val="24"/>
        </w:rPr>
        <w:t>：精度0.01。</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szCs w:val="24"/>
        </w:rPr>
      </w:pPr>
      <w:r>
        <w:rPr>
          <w:rFonts w:hint="eastAsia" w:ascii="Times New Roman" w:hAnsi="Times New Roman"/>
          <w:szCs w:val="24"/>
        </w:rPr>
        <w:t xml:space="preserve">4.4 </w:t>
      </w:r>
      <w:r>
        <w:rPr>
          <w:rFonts w:ascii="Times New Roman" w:hAnsi="Times New Roman"/>
          <w:szCs w:val="24"/>
        </w:rPr>
        <w:t>超声波水浴。</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szCs w:val="24"/>
        </w:rPr>
      </w:pPr>
      <w:r>
        <w:rPr>
          <w:rFonts w:ascii="Times New Roman" w:hAnsi="Times New Roman"/>
          <w:szCs w:val="24"/>
        </w:rPr>
        <w:t>4.5 离心机：</w:t>
      </w:r>
      <w:r>
        <w:rPr>
          <w:rFonts w:ascii="Times New Roman" w:hAnsi="Times New Roman"/>
          <w:szCs w:val="21"/>
        </w:rPr>
        <w:t>转速≥8000 r/min。</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color w:val="000000"/>
          <w:szCs w:val="21"/>
        </w:rPr>
      </w:pPr>
      <w:r>
        <w:rPr>
          <w:rFonts w:ascii="Times New Roman" w:hAnsi="Times New Roman" w:eastAsia="黑体"/>
          <w:szCs w:val="21"/>
        </w:rPr>
        <w:t xml:space="preserve">5 </w:t>
      </w:r>
      <w:r>
        <w:rPr>
          <w:rFonts w:ascii="Times New Roman" w:hAnsi="Times New Roman" w:eastAsia="黑体"/>
          <w:color w:val="000000"/>
          <w:szCs w:val="21"/>
        </w:rPr>
        <w:t>分析步骤</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color w:val="000000"/>
          <w:szCs w:val="21"/>
        </w:rPr>
      </w:pPr>
      <w:r>
        <w:rPr>
          <w:rFonts w:ascii="Times New Roman" w:hAnsi="Times New Roman" w:eastAsia="黑体"/>
          <w:color w:val="000000"/>
          <w:szCs w:val="21"/>
        </w:rPr>
        <w:t>5.1 试样提取</w:t>
      </w:r>
    </w:p>
    <w:p>
      <w:pPr>
        <w:keepNext w:val="0"/>
        <w:keepLines w:val="0"/>
        <w:pageBreakBefore w:val="0"/>
        <w:kinsoku/>
        <w:wordWrap/>
        <w:overflowPunct/>
        <w:topLinePunct w:val="0"/>
        <w:autoSpaceDE/>
        <w:autoSpaceDN/>
        <w:bidi w:val="0"/>
        <w:adjustRightInd/>
        <w:spacing w:line="594" w:lineRule="exact"/>
        <w:ind w:firstLine="420" w:firstLineChars="200"/>
        <w:jc w:val="left"/>
        <w:textAlignment w:val="auto"/>
        <w:rPr>
          <w:rFonts w:ascii="Times New Roman" w:hAnsi="Times New Roman"/>
          <w:color w:val="000000"/>
          <w:szCs w:val="21"/>
        </w:rPr>
      </w:pPr>
      <w:r>
        <w:rPr>
          <w:rFonts w:ascii="Times New Roman" w:hAnsi="Times New Roman"/>
          <w:color w:val="000000"/>
          <w:szCs w:val="21"/>
        </w:rPr>
        <w:t>称取</w:t>
      </w:r>
      <w:r>
        <w:rPr>
          <w:rFonts w:ascii="Times New Roman" w:hAnsi="Times New Roman"/>
          <w:szCs w:val="21"/>
        </w:rPr>
        <w:t>1 g</w:t>
      </w:r>
      <w:r>
        <w:rPr>
          <w:rFonts w:ascii="Times New Roman" w:hAnsi="Times New Roman"/>
          <w:szCs w:val="24"/>
        </w:rPr>
        <w:t>（</w:t>
      </w:r>
      <w:r>
        <w:rPr>
          <w:rFonts w:ascii="Times New Roman" w:hAnsi="Times New Roman"/>
          <w:szCs w:val="21"/>
        </w:rPr>
        <w:t>精确至0.01</w:t>
      </w:r>
      <w:r>
        <w:rPr>
          <w:rFonts w:hint="eastAsia" w:ascii="Times New Roman" w:hAnsi="Times New Roman"/>
          <w:szCs w:val="21"/>
        </w:rPr>
        <w:t xml:space="preserve"> </w:t>
      </w:r>
      <w:r>
        <w:rPr>
          <w:rFonts w:ascii="Times New Roman" w:hAnsi="Times New Roman"/>
          <w:szCs w:val="21"/>
        </w:rPr>
        <w:t>g</w:t>
      </w:r>
      <w:r>
        <w:rPr>
          <w:rFonts w:ascii="Times New Roman" w:hAnsi="Times New Roman"/>
          <w:szCs w:val="24"/>
        </w:rPr>
        <w:t>）</w:t>
      </w:r>
      <w:r>
        <w:rPr>
          <w:rFonts w:ascii="Times New Roman" w:hAnsi="Times New Roman"/>
          <w:color w:val="000000"/>
          <w:szCs w:val="21"/>
        </w:rPr>
        <w:t>试样于50</w:t>
      </w:r>
      <w:r>
        <w:rPr>
          <w:rFonts w:hint="eastAsia" w:ascii="Times New Roman" w:hAnsi="Times New Roman"/>
          <w:color w:val="000000"/>
          <w:szCs w:val="21"/>
        </w:rPr>
        <w:t xml:space="preserve"> </w:t>
      </w:r>
      <w:r>
        <w:rPr>
          <w:rFonts w:ascii="Times New Roman" w:hAnsi="Times New Roman"/>
          <w:color w:val="000000"/>
          <w:szCs w:val="21"/>
        </w:rPr>
        <w:t>mL离心管中，加入20</w:t>
      </w:r>
      <w:r>
        <w:rPr>
          <w:rFonts w:hint="eastAsia" w:ascii="Times New Roman" w:hAnsi="Times New Roman"/>
          <w:color w:val="000000"/>
          <w:szCs w:val="21"/>
        </w:rPr>
        <w:t xml:space="preserve"> </w:t>
      </w:r>
      <w:r>
        <w:rPr>
          <w:rFonts w:ascii="Times New Roman" w:hAnsi="Times New Roman"/>
          <w:color w:val="000000"/>
          <w:szCs w:val="21"/>
        </w:rPr>
        <w:t>mL水，超声提取20</w:t>
      </w:r>
      <w:r>
        <w:rPr>
          <w:rFonts w:hint="eastAsia" w:ascii="Times New Roman" w:hAnsi="Times New Roman"/>
          <w:color w:val="000000"/>
          <w:szCs w:val="21"/>
        </w:rPr>
        <w:t xml:space="preserve"> </w:t>
      </w:r>
      <w:r>
        <w:rPr>
          <w:rFonts w:ascii="Times New Roman" w:hAnsi="Times New Roman"/>
          <w:color w:val="000000"/>
          <w:szCs w:val="21"/>
        </w:rPr>
        <w:t>min，</w:t>
      </w:r>
      <w:r>
        <w:rPr>
          <w:rFonts w:ascii="Times New Roman" w:hAnsi="Times New Roman"/>
          <w:szCs w:val="21"/>
        </w:rPr>
        <w:t xml:space="preserve"> 8000 r/min</w:t>
      </w:r>
      <w:r>
        <w:rPr>
          <w:rFonts w:ascii="Times New Roman" w:hAnsi="Times New Roman"/>
          <w:color w:val="000000"/>
          <w:szCs w:val="21"/>
        </w:rPr>
        <w:t>离心10</w:t>
      </w:r>
      <w:r>
        <w:rPr>
          <w:rFonts w:hint="eastAsia" w:ascii="Times New Roman" w:hAnsi="Times New Roman"/>
          <w:color w:val="000000"/>
          <w:szCs w:val="21"/>
        </w:rPr>
        <w:t xml:space="preserve"> </w:t>
      </w:r>
      <w:r>
        <w:rPr>
          <w:rFonts w:ascii="Times New Roman" w:hAnsi="Times New Roman"/>
          <w:color w:val="000000"/>
          <w:szCs w:val="21"/>
        </w:rPr>
        <w:t>min。上清液转移至25 mL容量瓶中，用水稀释至刻度，摇匀，过</w:t>
      </w:r>
      <w:r>
        <w:rPr>
          <w:rFonts w:hint="eastAsia" w:ascii="Times New Roman" w:hAnsi="Times New Roman"/>
          <w:color w:val="000000"/>
          <w:szCs w:val="21"/>
        </w:rPr>
        <w:t>水相</w:t>
      </w:r>
      <w:r>
        <w:rPr>
          <w:rFonts w:ascii="Times New Roman" w:hAnsi="Times New Roman"/>
          <w:szCs w:val="21"/>
        </w:rPr>
        <w:t>微孔滤膜（</w:t>
      </w:r>
      <w:r>
        <w:rPr>
          <w:rFonts w:ascii="Times New Roman"/>
          <w:color w:val="000000"/>
        </w:rPr>
        <w:t>0.</w:t>
      </w:r>
      <w:r>
        <w:rPr>
          <w:rFonts w:hint="eastAsia" w:ascii="Times New Roman"/>
          <w:color w:val="000000"/>
        </w:rPr>
        <w:t>45</w:t>
      </w:r>
      <w:r>
        <w:rPr>
          <w:rFonts w:ascii="Times New Roman"/>
          <w:color w:val="000000"/>
        </w:rPr>
        <w:t xml:space="preserve"> μm</w:t>
      </w:r>
      <w:r>
        <w:rPr>
          <w:rFonts w:ascii="Times New Roman" w:hAnsi="Times New Roman"/>
          <w:szCs w:val="21"/>
        </w:rPr>
        <w:t>）</w:t>
      </w:r>
      <w:r>
        <w:rPr>
          <w:rFonts w:ascii="Times New Roman" w:hAnsi="Times New Roman"/>
          <w:color w:val="000000"/>
          <w:szCs w:val="21"/>
        </w:rPr>
        <w:t>，取续滤液</w:t>
      </w:r>
      <w:r>
        <w:rPr>
          <w:rFonts w:hint="eastAsia" w:ascii="Times New Roman" w:hAnsi="Times New Roman"/>
          <w:color w:val="000000"/>
          <w:szCs w:val="21"/>
        </w:rPr>
        <w:t>，待测</w:t>
      </w:r>
      <w:r>
        <w:rPr>
          <w:rFonts w:ascii="Times New Roman" w:hAnsi="Times New Roman"/>
          <w:color w:val="000000"/>
          <w:szCs w:val="21"/>
        </w:rPr>
        <w:t>。</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color w:val="000000"/>
          <w:szCs w:val="21"/>
        </w:rPr>
      </w:pPr>
      <w:r>
        <w:rPr>
          <w:rFonts w:ascii="Times New Roman" w:hAnsi="Times New Roman" w:eastAsia="黑体"/>
          <w:color w:val="000000"/>
          <w:szCs w:val="21"/>
        </w:rPr>
        <w:t>5.2 仪器参考条件</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color w:val="000000"/>
          <w:szCs w:val="24"/>
        </w:rPr>
      </w:pPr>
      <w:r>
        <w:rPr>
          <w:rFonts w:ascii="Times New Roman" w:hAnsi="Times New Roman"/>
          <w:color w:val="000000"/>
          <w:szCs w:val="24"/>
        </w:rPr>
        <w:t>5.2.1色谱柱：C</w:t>
      </w:r>
      <w:r>
        <w:rPr>
          <w:rFonts w:ascii="Times New Roman" w:hAnsi="Times New Roman"/>
          <w:color w:val="000000"/>
          <w:szCs w:val="24"/>
          <w:vertAlign w:val="subscript"/>
        </w:rPr>
        <w:t>18</w:t>
      </w:r>
      <w:r>
        <w:rPr>
          <w:rFonts w:ascii="Times New Roman" w:hAnsi="Times New Roman"/>
          <w:color w:val="000000"/>
          <w:szCs w:val="24"/>
        </w:rPr>
        <w:t>柱，4.6 mm×250 mm，5 μm，或同等性能的色谱柱。</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color w:val="000000"/>
          <w:szCs w:val="24"/>
        </w:rPr>
        <w:t>5.2.</w:t>
      </w:r>
      <w:r>
        <w:rPr>
          <w:rFonts w:ascii="Times New Roman" w:hAnsi="Times New Roman"/>
          <w:szCs w:val="24"/>
        </w:rPr>
        <w:t>2 流动相：甲醇∶磷酸二氢钾</w:t>
      </w:r>
      <w:r>
        <w:rPr>
          <w:rFonts w:hint="eastAsia" w:ascii="Times New Roman" w:hAnsi="Times New Roman"/>
          <w:szCs w:val="24"/>
        </w:rPr>
        <w:t>溶液</w:t>
      </w:r>
      <w:r>
        <w:rPr>
          <w:rFonts w:ascii="Times New Roman" w:hAnsi="Times New Roman"/>
          <w:szCs w:val="24"/>
        </w:rPr>
        <w:t>（0.02 mol/L，pH 3.7）=</w:t>
      </w:r>
      <w:r>
        <w:rPr>
          <w:rFonts w:hint="eastAsia" w:ascii="Times New Roman" w:hAnsi="Times New Roman"/>
          <w:szCs w:val="24"/>
        </w:rPr>
        <w:t xml:space="preserve"> 8</w:t>
      </w:r>
      <w:r>
        <w:rPr>
          <w:rFonts w:ascii="Times New Roman" w:hAnsi="Times New Roman"/>
          <w:szCs w:val="24"/>
        </w:rPr>
        <w:t>:9</w:t>
      </w:r>
      <w:r>
        <w:rPr>
          <w:rFonts w:hint="eastAsia" w:ascii="Times New Roman" w:hAnsi="Times New Roman"/>
          <w:szCs w:val="24"/>
        </w:rPr>
        <w:t>2</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color w:val="000000"/>
          <w:szCs w:val="24"/>
        </w:rPr>
        <w:t>5.2.</w:t>
      </w:r>
      <w:r>
        <w:rPr>
          <w:rFonts w:ascii="Times New Roman" w:hAnsi="Times New Roman"/>
          <w:szCs w:val="24"/>
        </w:rPr>
        <w:t>3 流速：1.0 mL/min</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color w:val="000000"/>
          <w:szCs w:val="24"/>
        </w:rPr>
        <w:t>5.2.</w:t>
      </w:r>
      <w:r>
        <w:rPr>
          <w:rFonts w:ascii="Times New Roman" w:hAnsi="Times New Roman"/>
          <w:szCs w:val="24"/>
        </w:rPr>
        <w:t>4 检测波长：273 nm</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color w:val="000000"/>
          <w:szCs w:val="24"/>
        </w:rPr>
        <w:t>5.2.</w:t>
      </w:r>
      <w:r>
        <w:rPr>
          <w:rFonts w:ascii="Times New Roman" w:hAnsi="Times New Roman"/>
          <w:szCs w:val="24"/>
        </w:rPr>
        <w:t>5 柱温：30</w:t>
      </w:r>
      <w:r>
        <w:rPr>
          <w:rFonts w:hint="eastAsia" w:ascii="Times New Roman" w:hAnsi="Times New Roman"/>
          <w:szCs w:val="24"/>
        </w:rPr>
        <w:t xml:space="preserve"> </w:t>
      </w:r>
      <w:r>
        <w:rPr>
          <w:rFonts w:ascii="Times New Roman" w:hAnsi="Times New Roman"/>
          <w:sz w:val="24"/>
          <w:szCs w:val="24"/>
        </w:rPr>
        <w:t>°C</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color w:val="000000"/>
          <w:szCs w:val="24"/>
        </w:rPr>
        <w:t>5.2.</w:t>
      </w:r>
      <w:r>
        <w:rPr>
          <w:rFonts w:ascii="Times New Roman" w:hAnsi="Times New Roman"/>
          <w:szCs w:val="24"/>
        </w:rPr>
        <w:t>6进样量：10 μL</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color w:val="000000"/>
          <w:szCs w:val="21"/>
        </w:rPr>
      </w:pPr>
      <w:r>
        <w:rPr>
          <w:rFonts w:ascii="Times New Roman" w:hAnsi="Times New Roman" w:eastAsia="黑体"/>
          <w:color w:val="000000"/>
          <w:szCs w:val="21"/>
        </w:rPr>
        <w:t xml:space="preserve">5.3 </w:t>
      </w:r>
      <w:r>
        <w:rPr>
          <w:rFonts w:hint="eastAsia" w:ascii="Times New Roman" w:hAnsi="Times New Roman" w:eastAsia="黑体"/>
          <w:color w:val="000000"/>
          <w:szCs w:val="21"/>
        </w:rPr>
        <w:t>标准曲线的制作</w:t>
      </w:r>
    </w:p>
    <w:p>
      <w:pPr>
        <w:keepNext w:val="0"/>
        <w:keepLines w:val="0"/>
        <w:pageBreakBefore w:val="0"/>
        <w:kinsoku/>
        <w:wordWrap/>
        <w:overflowPunct/>
        <w:topLinePunct w:val="0"/>
        <w:autoSpaceDE/>
        <w:autoSpaceDN/>
        <w:bidi w:val="0"/>
        <w:adjustRightInd/>
        <w:snapToGrid w:val="0"/>
        <w:spacing w:line="594" w:lineRule="exact"/>
        <w:ind w:firstLine="420" w:firstLineChars="200"/>
        <w:textAlignment w:val="auto"/>
        <w:outlineLvl w:val="0"/>
        <w:rPr>
          <w:rFonts w:ascii="Times New Roman" w:hAnsi="Times New Roman"/>
          <w:szCs w:val="21"/>
        </w:rPr>
      </w:pPr>
      <w:r>
        <w:rPr>
          <w:rFonts w:ascii="Times New Roman" w:hAnsi="Times New Roman"/>
          <w:szCs w:val="21"/>
        </w:rPr>
        <w:t>将</w:t>
      </w:r>
      <w:r>
        <w:rPr>
          <w:rFonts w:hint="eastAsia" w:ascii="Times New Roman" w:hAnsi="Times New Roman"/>
          <w:szCs w:val="21"/>
        </w:rPr>
        <w:t>曲酸</w:t>
      </w:r>
      <w:r>
        <w:rPr>
          <w:rFonts w:ascii="Times New Roman" w:hAnsi="Times New Roman"/>
          <w:szCs w:val="21"/>
        </w:rPr>
        <w:t>标准系列工作液注入高效液相色谱仪中</w:t>
      </w:r>
      <w:r>
        <w:rPr>
          <w:rFonts w:hint="eastAsia" w:ascii="Times New Roman" w:hAnsi="Times New Roman"/>
          <w:szCs w:val="21"/>
        </w:rPr>
        <w:t>，</w:t>
      </w:r>
      <w:r>
        <w:rPr>
          <w:rFonts w:ascii="Times New Roman" w:hAnsi="Times New Roman"/>
          <w:szCs w:val="21"/>
        </w:rPr>
        <w:t>测定</w:t>
      </w:r>
      <w:r>
        <w:rPr>
          <w:rFonts w:hint="eastAsia" w:ascii="Times New Roman" w:hAnsi="Times New Roman"/>
          <w:szCs w:val="21"/>
        </w:rPr>
        <w:t>组分的峰面积</w:t>
      </w:r>
      <w:r>
        <w:rPr>
          <w:rFonts w:ascii="Times New Roman" w:hAnsi="Times New Roman"/>
          <w:szCs w:val="21"/>
        </w:rPr>
        <w:t>。以</w:t>
      </w:r>
      <w:r>
        <w:rPr>
          <w:rFonts w:hint="eastAsia" w:ascii="Times New Roman" w:hAnsi="Times New Roman"/>
          <w:szCs w:val="21"/>
        </w:rPr>
        <w:t>相应标准工作液的</w:t>
      </w:r>
      <w:r>
        <w:rPr>
          <w:rFonts w:ascii="Times New Roman" w:hAnsi="Times New Roman"/>
          <w:szCs w:val="21"/>
        </w:rPr>
        <w:t>浓度为横坐标，</w:t>
      </w:r>
      <w:r>
        <w:rPr>
          <w:rFonts w:hint="eastAsia" w:ascii="Times New Roman" w:hAnsi="Times New Roman"/>
          <w:szCs w:val="21"/>
        </w:rPr>
        <w:t>以</w:t>
      </w:r>
      <w:r>
        <w:rPr>
          <w:rFonts w:ascii="Times New Roman" w:hAnsi="Times New Roman"/>
          <w:szCs w:val="21"/>
        </w:rPr>
        <w:t>峰面积为纵坐标</w:t>
      </w:r>
      <w:r>
        <w:rPr>
          <w:rFonts w:hint="eastAsia" w:ascii="Times New Roman" w:hAnsi="Times New Roman"/>
          <w:szCs w:val="21"/>
        </w:rPr>
        <w:t>，绘制标准曲线</w:t>
      </w:r>
      <w:r>
        <w:rPr>
          <w:rFonts w:ascii="Times New Roman" w:hAnsi="Times New Roman"/>
          <w:szCs w:val="21"/>
        </w:rPr>
        <w:t>。</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color w:val="000000"/>
          <w:szCs w:val="21"/>
        </w:rPr>
      </w:pPr>
      <w:r>
        <w:rPr>
          <w:rFonts w:ascii="Times New Roman" w:hAnsi="Times New Roman" w:eastAsia="黑体"/>
          <w:color w:val="000000"/>
          <w:szCs w:val="21"/>
        </w:rPr>
        <w:t>5.</w:t>
      </w:r>
      <w:r>
        <w:rPr>
          <w:rFonts w:hint="eastAsia" w:ascii="Times New Roman" w:hAnsi="Times New Roman" w:eastAsia="黑体"/>
          <w:color w:val="000000"/>
          <w:szCs w:val="21"/>
        </w:rPr>
        <w:t>4</w:t>
      </w:r>
      <w:r>
        <w:rPr>
          <w:rFonts w:ascii="Times New Roman" w:hAnsi="Times New Roman" w:eastAsia="黑体"/>
          <w:color w:val="000000"/>
          <w:szCs w:val="21"/>
        </w:rPr>
        <w:t xml:space="preserve"> 试样</w:t>
      </w:r>
      <w:r>
        <w:rPr>
          <w:rFonts w:hint="eastAsia" w:ascii="Times New Roman" w:hAnsi="Times New Roman" w:eastAsia="黑体"/>
          <w:color w:val="000000"/>
          <w:szCs w:val="21"/>
        </w:rPr>
        <w:t>溶液的</w:t>
      </w:r>
      <w:r>
        <w:rPr>
          <w:rFonts w:ascii="Times New Roman" w:hAnsi="Times New Roman" w:eastAsia="黑体"/>
          <w:color w:val="000000"/>
          <w:szCs w:val="21"/>
        </w:rPr>
        <w:t>测定</w:t>
      </w:r>
    </w:p>
    <w:p>
      <w:pPr>
        <w:keepNext w:val="0"/>
        <w:keepLines w:val="0"/>
        <w:pageBreakBefore w:val="0"/>
        <w:kinsoku/>
        <w:wordWrap/>
        <w:overflowPunct/>
        <w:topLinePunct w:val="0"/>
        <w:autoSpaceDE/>
        <w:autoSpaceDN/>
        <w:bidi w:val="0"/>
        <w:adjustRightInd/>
        <w:snapToGrid w:val="0"/>
        <w:spacing w:line="594" w:lineRule="exact"/>
        <w:ind w:firstLine="420" w:firstLineChars="200"/>
        <w:textAlignment w:val="auto"/>
        <w:outlineLvl w:val="0"/>
        <w:rPr>
          <w:rFonts w:ascii="Times New Roman" w:hAnsi="Times New Roman"/>
          <w:szCs w:val="21"/>
        </w:rPr>
      </w:pPr>
      <w:r>
        <w:rPr>
          <w:rFonts w:hint="eastAsia" w:ascii="Times New Roman" w:hAnsi="Times New Roman"/>
          <w:szCs w:val="21"/>
        </w:rPr>
        <w:t>将试样溶液注入高效液相色谱仪中，得到相应的峰面积。试样中目标化合物色谱峰的保留时间与相应标准色谱峰的保留时间相比较，变化范围应在±2.5%之内。根据标准曲线得到待测试样溶液中组分的浓度</w:t>
      </w:r>
      <w:r>
        <w:rPr>
          <w:rFonts w:ascii="Times New Roman" w:hAnsi="Times New Roman"/>
          <w:szCs w:val="21"/>
        </w:rPr>
        <w:t>。</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6 空白试验</w:t>
      </w:r>
    </w:p>
    <w:p>
      <w:pPr>
        <w:keepNext w:val="0"/>
        <w:keepLines w:val="0"/>
        <w:pageBreakBefore w:val="0"/>
        <w:kinsoku/>
        <w:wordWrap/>
        <w:overflowPunct/>
        <w:topLinePunct w:val="0"/>
        <w:autoSpaceDE/>
        <w:autoSpaceDN/>
        <w:bidi w:val="0"/>
        <w:adjustRightInd/>
        <w:snapToGrid w:val="0"/>
        <w:spacing w:line="594" w:lineRule="exact"/>
        <w:ind w:firstLine="420" w:firstLineChars="200"/>
        <w:textAlignment w:val="auto"/>
        <w:outlineLvl w:val="0"/>
        <w:rPr>
          <w:rFonts w:ascii="Times New Roman" w:hAnsi="Times New Roman"/>
          <w:szCs w:val="21"/>
        </w:rPr>
      </w:pPr>
      <w:r>
        <w:rPr>
          <w:rFonts w:ascii="Times New Roman" w:hAnsi="Times New Roman"/>
          <w:szCs w:val="21"/>
        </w:rPr>
        <w:t>除不加试样外，均按试样同法处理。</w:t>
      </w:r>
      <w:r>
        <w:rPr>
          <w:rFonts w:hint="eastAsia" w:ascii="Times New Roman" w:hAnsi="Times New Roman"/>
          <w:szCs w:val="21"/>
        </w:rPr>
        <w:t>应确认不含有干扰待测组分的物质。</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7 结果计算</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试样中曲酸的含量按式</w:t>
      </w:r>
      <w:r>
        <w:rPr>
          <w:rFonts w:hint="eastAsia" w:ascii="Times New Roman" w:hAnsi="Times New Roman"/>
          <w:szCs w:val="21"/>
        </w:rPr>
        <w:t>（1）</w:t>
      </w:r>
      <w:r>
        <w:rPr>
          <w:rFonts w:ascii="Times New Roman" w:hAnsi="Times New Roman"/>
          <w:szCs w:val="21"/>
        </w:rPr>
        <w:t>计算：</w:t>
      </w:r>
    </w:p>
    <w:p>
      <w:pPr>
        <w:keepNext w:val="0"/>
        <w:keepLines w:val="0"/>
        <w:pageBreakBefore w:val="0"/>
        <w:kinsoku/>
        <w:wordWrap/>
        <w:overflowPunct/>
        <w:topLinePunct w:val="0"/>
        <w:autoSpaceDE/>
        <w:autoSpaceDN/>
        <w:bidi w:val="0"/>
        <w:adjustRightInd/>
        <w:spacing w:line="594" w:lineRule="exact"/>
        <w:ind w:firstLine="1558" w:firstLineChars="742"/>
        <w:jc w:val="left"/>
        <w:textAlignment w:val="auto"/>
        <w:rPr>
          <w:rFonts w:ascii="Times New Roman" w:hAnsi="Times New Roman"/>
          <w:szCs w:val="21"/>
        </w:rPr>
      </w:pPr>
      <w:r>
        <w:rPr>
          <w:rFonts w:ascii="Times New Roman" w:hAnsi="Times New Roman"/>
          <w:position w:val="-24"/>
          <w:szCs w:val="21"/>
        </w:rPr>
        <w:object>
          <v:shape id="_x0000_i1025" o:spt="75" type="#_x0000_t75" style="height:32.95pt;width:98.05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ascii="Times New Roman" w:hAnsi="Times New Roman"/>
          <w:szCs w:val="21"/>
        </w:rPr>
        <w:t>………………………………………………</w:t>
      </w:r>
      <w:r>
        <w:rPr>
          <w:rFonts w:hint="eastAsia" w:ascii="Times New Roman" w:hAnsi="Times New Roman"/>
          <w:szCs w:val="21"/>
        </w:rPr>
        <w:t>（1）</w:t>
      </w:r>
    </w:p>
    <w:p>
      <w:pPr>
        <w:keepNext w:val="0"/>
        <w:keepLines w:val="0"/>
        <w:pageBreakBefore w:val="0"/>
        <w:kinsoku/>
        <w:wordWrap/>
        <w:overflowPunct/>
        <w:topLinePunct w:val="0"/>
        <w:autoSpaceDE/>
        <w:autoSpaceDN/>
        <w:bidi w:val="0"/>
        <w:adjustRightInd/>
        <w:spacing w:line="594" w:lineRule="exact"/>
        <w:ind w:firstLine="440" w:firstLineChars="200"/>
        <w:textAlignment w:val="auto"/>
        <w:rPr>
          <w:rFonts w:ascii="Times New Roman" w:hAnsi="Times New Roman"/>
          <w:spacing w:val="5"/>
          <w:szCs w:val="21"/>
        </w:rPr>
      </w:pPr>
      <w:r>
        <w:rPr>
          <w:rFonts w:ascii="Times New Roman" w:hAnsi="Times New Roman"/>
          <w:spacing w:val="5"/>
          <w:szCs w:val="21"/>
        </w:rPr>
        <w:t>式中：</w:t>
      </w:r>
    </w:p>
    <w:p>
      <w:pPr>
        <w:keepNext w:val="0"/>
        <w:keepLines w:val="0"/>
        <w:pageBreakBefore w:val="0"/>
        <w:kinsoku/>
        <w:wordWrap/>
        <w:overflowPunct/>
        <w:topLinePunct w:val="0"/>
        <w:autoSpaceDE/>
        <w:autoSpaceDN/>
        <w:bidi w:val="0"/>
        <w:adjustRightInd/>
        <w:spacing w:line="594" w:lineRule="exact"/>
        <w:ind w:firstLine="440" w:firstLineChars="200"/>
        <w:textAlignment w:val="auto"/>
        <w:rPr>
          <w:rFonts w:ascii="Times New Roman" w:hAnsi="Times New Roman"/>
          <w:spacing w:val="5"/>
          <w:szCs w:val="21"/>
        </w:rPr>
      </w:pPr>
      <w:r>
        <w:rPr>
          <w:rFonts w:ascii="Times New Roman" w:hAnsi="Times New Roman"/>
          <w:i/>
          <w:spacing w:val="5"/>
          <w:szCs w:val="21"/>
        </w:rPr>
        <w:t>X</w:t>
      </w:r>
      <w:r>
        <w:rPr>
          <w:rFonts w:ascii="Times New Roman" w:hAnsi="Times New Roman"/>
          <w:szCs w:val="21"/>
        </w:rPr>
        <w:t>—试样中曲酸的含量，mg/kg；</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pacing w:val="5"/>
          <w:szCs w:val="21"/>
        </w:rPr>
      </w:pPr>
      <w:r>
        <w:rPr>
          <w:rFonts w:ascii="Times New Roman" w:hAnsi="Times New Roman"/>
          <w:i/>
          <w:szCs w:val="21"/>
        </w:rPr>
        <w:t>c</w:t>
      </w:r>
      <w:r>
        <w:rPr>
          <w:rFonts w:ascii="Times New Roman" w:hAnsi="Times New Roman"/>
          <w:szCs w:val="21"/>
        </w:rPr>
        <w:t>—试样溶液中曲酸的浓度，</w:t>
      </w:r>
      <w:r>
        <w:rPr>
          <w:rFonts w:ascii="Times New Roman" w:hAnsi="Times New Roman"/>
          <w:szCs w:val="24"/>
        </w:rPr>
        <w:t>mg/L</w:t>
      </w:r>
      <w:r>
        <w:rPr>
          <w:rFonts w:ascii="Times New Roman" w:hAnsi="Times New Roman"/>
          <w:szCs w:val="21"/>
        </w:rPr>
        <w:t>；</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pacing w:val="5"/>
          <w:szCs w:val="21"/>
        </w:rPr>
      </w:pPr>
      <w:r>
        <w:rPr>
          <w:rFonts w:ascii="Times New Roman" w:hAnsi="Times New Roman"/>
          <w:i/>
          <w:szCs w:val="21"/>
        </w:rPr>
        <w:t>V</w:t>
      </w:r>
      <w:r>
        <w:rPr>
          <w:rFonts w:ascii="Times New Roman" w:hAnsi="Times New Roman"/>
          <w:szCs w:val="21"/>
        </w:rPr>
        <w:t>—试样</w:t>
      </w:r>
      <w:r>
        <w:rPr>
          <w:rFonts w:hint="eastAsia" w:ascii="Times New Roman" w:hAnsi="Times New Roman"/>
          <w:szCs w:val="21"/>
        </w:rPr>
        <w:t>定容</w:t>
      </w:r>
      <w:r>
        <w:rPr>
          <w:rFonts w:ascii="Times New Roman" w:hAnsi="Times New Roman"/>
          <w:szCs w:val="21"/>
        </w:rPr>
        <w:t>体积，mL；</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i/>
          <w:szCs w:val="21"/>
        </w:rPr>
        <w:t>m</w:t>
      </w:r>
      <w:r>
        <w:rPr>
          <w:rFonts w:ascii="Times New Roman" w:hAnsi="Times New Roman"/>
          <w:szCs w:val="21"/>
        </w:rPr>
        <w:t>—试样质量，g</w:t>
      </w:r>
      <w:r>
        <w:rPr>
          <w:rFonts w:hint="eastAsia" w:ascii="Times New Roman" w:hAnsi="Times New Roman"/>
          <w:szCs w:val="21"/>
        </w:rPr>
        <w:t>；</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1000—单位换算</w:t>
      </w:r>
      <w:r>
        <w:rPr>
          <w:rFonts w:hint="eastAsia" w:ascii="Times New Roman" w:hAnsi="Times New Roman"/>
          <w:szCs w:val="21"/>
        </w:rPr>
        <w:t>。</w:t>
      </w:r>
    </w:p>
    <w:p>
      <w:pPr>
        <w:keepNext w:val="0"/>
        <w:keepLines w:val="0"/>
        <w:pageBreakBefore w:val="0"/>
        <w:widowControl/>
        <w:kinsoku/>
        <w:wordWrap/>
        <w:overflowPunct/>
        <w:topLinePunct w:val="0"/>
        <w:autoSpaceDE/>
        <w:autoSpaceDN/>
        <w:bidi w:val="0"/>
        <w:adjustRightInd/>
        <w:spacing w:line="594" w:lineRule="exact"/>
        <w:ind w:firstLine="420" w:firstLineChars="200"/>
        <w:textAlignment w:val="auto"/>
        <w:outlineLvl w:val="2"/>
        <w:rPr>
          <w:rFonts w:ascii="Times New Roman" w:hAnsi="Times New Roman"/>
          <w:szCs w:val="21"/>
        </w:rPr>
      </w:pPr>
      <w:r>
        <w:rPr>
          <w:rFonts w:ascii="Times New Roman" w:hAnsi="Times New Roman"/>
          <w:szCs w:val="21"/>
        </w:rPr>
        <w:t>计算结果以重复性条件下获得的两次独立测定结果的算术平均值表示</w:t>
      </w:r>
      <w:r>
        <w:rPr>
          <w:rFonts w:hint="eastAsia" w:ascii="Times New Roman" w:hAnsi="Times New Roman"/>
          <w:szCs w:val="21"/>
        </w:rPr>
        <w:t>。曲酸含量</w:t>
      </w:r>
      <w:r>
        <w:rPr>
          <w:rFonts w:ascii="Times New Roman" w:hAnsi="Times New Roman"/>
          <w:szCs w:val="21"/>
        </w:rPr>
        <w:t>≥</w:t>
      </w:r>
      <w:r>
        <w:rPr>
          <w:rFonts w:hint="eastAsia" w:ascii="Times New Roman" w:hAnsi="Times New Roman"/>
          <w:szCs w:val="21"/>
        </w:rPr>
        <w:t xml:space="preserve">1 </w:t>
      </w:r>
      <w:r>
        <w:rPr>
          <w:rFonts w:ascii="Times New Roman" w:hAnsi="Times New Roman"/>
          <w:szCs w:val="21"/>
        </w:rPr>
        <w:t>mg/kg</w:t>
      </w:r>
      <w:r>
        <w:rPr>
          <w:rFonts w:hint="eastAsia" w:ascii="Times New Roman" w:hAnsi="Times New Roman"/>
          <w:szCs w:val="21"/>
        </w:rPr>
        <w:t>时，计算结果保留三位有效数字；曲酸含量</w:t>
      </w:r>
      <w:r>
        <w:rPr>
          <w:rFonts w:hint="eastAsia" w:ascii="宋体" w:hAnsi="宋体"/>
          <w:szCs w:val="21"/>
        </w:rPr>
        <w:t>＜</w:t>
      </w:r>
      <w:r>
        <w:rPr>
          <w:rFonts w:hint="eastAsia" w:ascii="Times New Roman" w:hAnsi="Times New Roman"/>
          <w:szCs w:val="21"/>
        </w:rPr>
        <w:t xml:space="preserve">1 </w:t>
      </w:r>
      <w:r>
        <w:rPr>
          <w:rFonts w:ascii="Times New Roman" w:hAnsi="Times New Roman"/>
          <w:szCs w:val="21"/>
        </w:rPr>
        <w:t>mg/kg</w:t>
      </w:r>
      <w:r>
        <w:rPr>
          <w:rFonts w:hint="eastAsia" w:ascii="Times New Roman" w:hAnsi="Times New Roman"/>
          <w:szCs w:val="21"/>
        </w:rPr>
        <w:t>时计算</w:t>
      </w:r>
      <w:r>
        <w:rPr>
          <w:rFonts w:ascii="Times New Roman" w:hAnsi="Times New Roman"/>
          <w:szCs w:val="21"/>
        </w:rPr>
        <w:t>结果保留</w:t>
      </w:r>
      <w:r>
        <w:rPr>
          <w:rFonts w:hint="eastAsia" w:ascii="Times New Roman" w:hAnsi="Times New Roman"/>
          <w:szCs w:val="21"/>
        </w:rPr>
        <w:t>两</w:t>
      </w:r>
      <w:r>
        <w:rPr>
          <w:rFonts w:ascii="Times New Roman" w:hAnsi="Times New Roman"/>
          <w:szCs w:val="21"/>
        </w:rPr>
        <w:t>位有效数字。</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 xml:space="preserve">8 </w:t>
      </w:r>
      <w:r>
        <w:rPr>
          <w:rFonts w:hint="eastAsia" w:ascii="Times New Roman" w:hAnsi="Times New Roman" w:eastAsia="黑体"/>
          <w:szCs w:val="21"/>
        </w:rPr>
        <w:t>精密度</w:t>
      </w:r>
    </w:p>
    <w:p>
      <w:pPr>
        <w:keepNext w:val="0"/>
        <w:keepLines w:val="0"/>
        <w:pageBreakBefore w:val="0"/>
        <w:kinsoku/>
        <w:wordWrap/>
        <w:overflowPunct/>
        <w:topLinePunct w:val="0"/>
        <w:autoSpaceDE/>
        <w:autoSpaceDN/>
        <w:bidi w:val="0"/>
        <w:adjustRightInd/>
        <w:snapToGrid w:val="0"/>
        <w:spacing w:line="594" w:lineRule="exact"/>
        <w:ind w:firstLine="420" w:firstLineChars="200"/>
        <w:textAlignment w:val="auto"/>
        <w:outlineLvl w:val="0"/>
        <w:rPr>
          <w:rFonts w:ascii="Times New Roman" w:hAnsi="Times New Roman"/>
          <w:szCs w:val="21"/>
        </w:rPr>
      </w:pPr>
      <w:r>
        <w:rPr>
          <w:rFonts w:ascii="Times New Roman" w:hAnsi="Times New Roman"/>
          <w:szCs w:val="21"/>
        </w:rPr>
        <w:t>在重复性条件下获得的两次独立测定结果的绝对差值不得超过算术平均值的10</w:t>
      </w:r>
      <w:r>
        <w:rPr>
          <w:rFonts w:hint="eastAsia" w:ascii="Times New Roman" w:hAnsi="Times New Roman"/>
          <w:szCs w:val="21"/>
        </w:rPr>
        <w:t>%</w:t>
      </w:r>
      <w:r>
        <w:rPr>
          <w:rFonts w:ascii="Times New Roman" w:hAnsi="Times New Roman"/>
          <w:szCs w:val="21"/>
        </w:rPr>
        <w:t>。</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hint="eastAsia" w:ascii="Times New Roman" w:hAnsi="Times New Roman" w:eastAsia="黑体"/>
          <w:szCs w:val="21"/>
        </w:rPr>
        <w:t>9</w:t>
      </w:r>
      <w:r>
        <w:rPr>
          <w:rFonts w:ascii="Times New Roman" w:hAnsi="Times New Roman" w:eastAsia="黑体"/>
          <w:szCs w:val="21"/>
        </w:rPr>
        <w:t xml:space="preserve"> </w:t>
      </w:r>
      <w:r>
        <w:rPr>
          <w:rFonts w:hint="eastAsia" w:ascii="Times New Roman" w:hAnsi="Times New Roman" w:eastAsia="黑体"/>
          <w:szCs w:val="21"/>
        </w:rPr>
        <w:t>检出限和定量限</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取样量为1 g，定容体积为25mL时，定量限为2.5 mg/kg，检出限为1</w:t>
      </w:r>
      <w:r>
        <w:rPr>
          <w:rFonts w:hint="eastAsia" w:ascii="Times New Roman" w:hAnsi="Times New Roman"/>
          <w:szCs w:val="21"/>
        </w:rPr>
        <w:t>.0</w:t>
      </w:r>
      <w:r>
        <w:rPr>
          <w:rFonts w:ascii="Times New Roman" w:hAnsi="Times New Roman"/>
          <w:szCs w:val="21"/>
        </w:rPr>
        <w:t xml:space="preserve"> mg/kg。</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szCs w:val="21"/>
        </w:rPr>
      </w:pPr>
      <w:r>
        <w:rPr>
          <w:rFonts w:ascii="Times New Roman" w:hAnsi="Times New Roman"/>
          <w:szCs w:val="21"/>
        </w:rPr>
        <w:br w:type="page"/>
      </w:r>
      <w:r>
        <w:rPr>
          <w:rFonts w:hint="default" w:ascii="Times New Roman" w:hAnsi="Times New Roman" w:eastAsia="黑体" w:cs="Times New Roman"/>
          <w:sz w:val="32"/>
          <w:szCs w:val="32"/>
        </w:rPr>
        <w:t>附录A</w:t>
      </w:r>
    </w:p>
    <w:p>
      <w:pPr>
        <w:jc w:val="center"/>
        <w:rPr>
          <w:rFonts w:hint="eastAsia"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曲酸相关信息</w:t>
      </w: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表A.1 曲酸名称、CAS号、分子式、分子量、结构式</w:t>
      </w:r>
    </w:p>
    <w:tbl>
      <w:tblPr>
        <w:tblStyle w:val="5"/>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417"/>
        <w:gridCol w:w="1701"/>
        <w:gridCol w:w="113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844" w:type="dxa"/>
            <w:noWrap w:val="0"/>
            <w:vAlign w:val="center"/>
          </w:tcPr>
          <w:p>
            <w:pPr>
              <w:jc w:val="center"/>
              <w:rPr>
                <w:rFonts w:ascii="Times New Roman" w:hAnsi="Times New Roman"/>
                <w:szCs w:val="21"/>
              </w:rPr>
            </w:pPr>
            <w:r>
              <w:rPr>
                <w:rFonts w:ascii="Times New Roman" w:hAnsi="Times New Roman"/>
                <w:szCs w:val="21"/>
              </w:rPr>
              <w:t>名称</w:t>
            </w:r>
          </w:p>
        </w:tc>
        <w:tc>
          <w:tcPr>
            <w:tcW w:w="1417" w:type="dxa"/>
            <w:noWrap w:val="0"/>
            <w:vAlign w:val="center"/>
          </w:tcPr>
          <w:p>
            <w:pPr>
              <w:jc w:val="center"/>
              <w:rPr>
                <w:rFonts w:ascii="Times New Roman" w:hAnsi="Times New Roman"/>
                <w:szCs w:val="21"/>
              </w:rPr>
            </w:pPr>
            <w:r>
              <w:rPr>
                <w:rFonts w:ascii="Times New Roman" w:hAnsi="Times New Roman"/>
                <w:szCs w:val="21"/>
              </w:rPr>
              <w:t>CAS号</w:t>
            </w:r>
          </w:p>
        </w:tc>
        <w:tc>
          <w:tcPr>
            <w:tcW w:w="1701" w:type="dxa"/>
            <w:noWrap w:val="0"/>
            <w:vAlign w:val="center"/>
          </w:tcPr>
          <w:p>
            <w:pPr>
              <w:jc w:val="center"/>
              <w:rPr>
                <w:rFonts w:ascii="Times New Roman" w:hAnsi="Times New Roman"/>
                <w:szCs w:val="21"/>
              </w:rPr>
            </w:pPr>
            <w:r>
              <w:rPr>
                <w:rFonts w:ascii="Times New Roman" w:hAnsi="Times New Roman"/>
                <w:szCs w:val="21"/>
              </w:rPr>
              <w:t>分子式</w:t>
            </w:r>
          </w:p>
        </w:tc>
        <w:tc>
          <w:tcPr>
            <w:tcW w:w="1134" w:type="dxa"/>
            <w:noWrap w:val="0"/>
            <w:vAlign w:val="center"/>
          </w:tcPr>
          <w:p>
            <w:pPr>
              <w:jc w:val="center"/>
              <w:rPr>
                <w:rFonts w:ascii="Times New Roman" w:hAnsi="Times New Roman"/>
                <w:szCs w:val="21"/>
              </w:rPr>
            </w:pPr>
            <w:r>
              <w:rPr>
                <w:rFonts w:ascii="Times New Roman" w:hAnsi="Times New Roman"/>
                <w:szCs w:val="21"/>
              </w:rPr>
              <w:t>分子量</w:t>
            </w:r>
          </w:p>
        </w:tc>
        <w:tc>
          <w:tcPr>
            <w:tcW w:w="3827" w:type="dxa"/>
            <w:noWrap w:val="0"/>
            <w:vAlign w:val="center"/>
          </w:tcPr>
          <w:p>
            <w:pPr>
              <w:jc w:val="center"/>
              <w:rPr>
                <w:rFonts w:ascii="Times New Roman" w:hAnsi="Times New Roman"/>
                <w:szCs w:val="21"/>
              </w:rPr>
            </w:pPr>
            <w:r>
              <w:rPr>
                <w:rFonts w:ascii="Times New Roman" w:hAnsi="Times New Roman"/>
                <w:szCs w:val="21"/>
              </w:rPr>
              <w:t>结构式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844" w:type="dxa"/>
            <w:noWrap w:val="0"/>
            <w:vAlign w:val="center"/>
          </w:tcPr>
          <w:p>
            <w:pPr>
              <w:jc w:val="center"/>
              <w:rPr>
                <w:rFonts w:ascii="Times New Roman" w:hAnsi="Times New Roman"/>
                <w:szCs w:val="21"/>
              </w:rPr>
            </w:pPr>
            <w:r>
              <w:rPr>
                <w:rFonts w:ascii="Times New Roman" w:hAnsi="Times New Roman"/>
                <w:szCs w:val="21"/>
              </w:rPr>
              <w:t>曲酸</w:t>
            </w:r>
          </w:p>
          <w:p>
            <w:pPr>
              <w:jc w:val="center"/>
              <w:rPr>
                <w:rFonts w:ascii="Times New Roman" w:hAnsi="Times New Roman"/>
                <w:szCs w:val="21"/>
              </w:rPr>
            </w:pPr>
            <w:r>
              <w:rPr>
                <w:rFonts w:ascii="Times New Roman" w:hAnsi="Times New Roman" w:eastAsia="仿宋_GB2312"/>
                <w:bCs/>
                <w:color w:val="000000"/>
                <w:szCs w:val="21"/>
              </w:rPr>
              <w:t>Kojic acid</w:t>
            </w:r>
          </w:p>
        </w:tc>
        <w:tc>
          <w:tcPr>
            <w:tcW w:w="1417" w:type="dxa"/>
            <w:noWrap w:val="0"/>
            <w:vAlign w:val="center"/>
          </w:tcPr>
          <w:p>
            <w:pPr>
              <w:jc w:val="center"/>
              <w:rPr>
                <w:rFonts w:ascii="Times New Roman" w:hAnsi="Times New Roman"/>
                <w:szCs w:val="21"/>
              </w:rPr>
            </w:pPr>
            <w:r>
              <w:rPr>
                <w:rFonts w:ascii="Times New Roman" w:hAnsi="Times New Roman"/>
                <w:szCs w:val="21"/>
              </w:rPr>
              <w:t>501-30-4</w:t>
            </w:r>
          </w:p>
        </w:tc>
        <w:tc>
          <w:tcPr>
            <w:tcW w:w="1701" w:type="dxa"/>
            <w:noWrap w:val="0"/>
            <w:vAlign w:val="center"/>
          </w:tcPr>
          <w:p>
            <w:pPr>
              <w:jc w:val="center"/>
              <w:rPr>
                <w:rFonts w:ascii="Times New Roman" w:hAnsi="Times New Roman"/>
                <w:szCs w:val="21"/>
              </w:rPr>
            </w:pPr>
            <w:r>
              <w:rPr>
                <w:rFonts w:ascii="Times New Roman" w:hAnsi="Times New Roman"/>
                <w:szCs w:val="21"/>
              </w:rPr>
              <w:t>C</w:t>
            </w:r>
            <w:r>
              <w:rPr>
                <w:rFonts w:ascii="Times New Roman" w:hAnsi="Times New Roman"/>
                <w:szCs w:val="21"/>
                <w:vertAlign w:val="subscript"/>
              </w:rPr>
              <w:t>6</w:t>
            </w:r>
            <w:r>
              <w:rPr>
                <w:rFonts w:ascii="Times New Roman" w:hAnsi="Times New Roman"/>
                <w:szCs w:val="21"/>
              </w:rPr>
              <w:t>H</w:t>
            </w:r>
            <w:r>
              <w:rPr>
                <w:rFonts w:ascii="Times New Roman" w:hAnsi="Times New Roman"/>
                <w:szCs w:val="21"/>
                <w:vertAlign w:val="subscript"/>
              </w:rPr>
              <w:t>6</w:t>
            </w:r>
            <w:r>
              <w:rPr>
                <w:rFonts w:ascii="Times New Roman" w:hAnsi="Times New Roman"/>
                <w:szCs w:val="21"/>
              </w:rPr>
              <w:t>O</w:t>
            </w:r>
            <w:r>
              <w:rPr>
                <w:rFonts w:ascii="Times New Roman" w:hAnsi="Times New Roman"/>
                <w:szCs w:val="21"/>
                <w:vertAlign w:val="subscript"/>
              </w:rPr>
              <w:t>4</w:t>
            </w:r>
          </w:p>
        </w:tc>
        <w:tc>
          <w:tcPr>
            <w:tcW w:w="1134" w:type="dxa"/>
            <w:noWrap w:val="0"/>
            <w:vAlign w:val="center"/>
          </w:tcPr>
          <w:p>
            <w:pPr>
              <w:jc w:val="center"/>
              <w:rPr>
                <w:rFonts w:ascii="Times New Roman" w:hAnsi="Times New Roman"/>
                <w:szCs w:val="21"/>
              </w:rPr>
            </w:pPr>
            <w:r>
              <w:rPr>
                <w:rFonts w:ascii="Times New Roman" w:hAnsi="Times New Roman"/>
                <w:szCs w:val="21"/>
              </w:rPr>
              <w:t>142.11</w:t>
            </w:r>
          </w:p>
        </w:tc>
        <w:tc>
          <w:tcPr>
            <w:tcW w:w="3827" w:type="dxa"/>
            <w:noWrap w:val="0"/>
            <w:vAlign w:val="top"/>
          </w:tcPr>
          <w:p>
            <w:pPr>
              <w:jc w:val="center"/>
              <w:rPr>
                <w:rFonts w:ascii="Times New Roman" w:hAnsi="Times New Roman"/>
                <w:szCs w:val="21"/>
              </w:rPr>
            </w:pPr>
            <w:r>
              <w:rPr>
                <w:rFonts w:ascii="Times New Roman" w:hAnsi="Times New Roman"/>
                <w:szCs w:val="21"/>
              </w:rPr>
              <w:drawing>
                <wp:inline distT="0" distB="0" distL="114300" distR="114300">
                  <wp:extent cx="1317625" cy="972185"/>
                  <wp:effectExtent l="0" t="0" r="3175" b="571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7"/>
                          <a:stretch>
                            <a:fillRect/>
                          </a:stretch>
                        </pic:blipFill>
                        <pic:spPr>
                          <a:xfrm>
                            <a:off x="0" y="0"/>
                            <a:ext cx="1317625" cy="972185"/>
                          </a:xfrm>
                          <a:prstGeom prst="rect">
                            <a:avLst/>
                          </a:prstGeom>
                          <a:noFill/>
                          <a:ln>
                            <a:noFill/>
                          </a:ln>
                        </pic:spPr>
                      </pic:pic>
                    </a:graphicData>
                  </a:graphic>
                </wp:inline>
              </w:drawing>
            </w:r>
          </w:p>
        </w:tc>
      </w:tr>
    </w:tbl>
    <w:p>
      <w:pPr>
        <w:rPr>
          <w:rFonts w:ascii="Times New Roman" w:hAnsi="Times New Roman"/>
          <w:szCs w:val="21"/>
        </w:rPr>
      </w:pPr>
    </w:p>
    <w:p>
      <w:pPr>
        <w:rPr>
          <w:rFonts w:ascii="Times New Roman" w:hAnsi="Times New Roman"/>
          <w:szCs w:val="21"/>
        </w:rPr>
      </w:pPr>
      <w:r>
        <w:rPr>
          <w:rFonts w:ascii="Times New Roman" w:hAnsi="Times New Roman"/>
          <w:szCs w:val="21"/>
        </w:rPr>
        <w:br w:type="page"/>
      </w:r>
      <w:r>
        <w:rPr>
          <w:rFonts w:hint="default" w:ascii="Times New Roman" w:hAnsi="Times New Roman" w:eastAsia="黑体" w:cs="Times New Roman"/>
          <w:sz w:val="32"/>
          <w:szCs w:val="32"/>
        </w:rPr>
        <w:t>附录B</w:t>
      </w:r>
    </w:p>
    <w:p>
      <w:pPr>
        <w:jc w:val="center"/>
        <w:rPr>
          <w:rFonts w:hint="eastAsia"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标准色谱图</w:t>
      </w:r>
    </w:p>
    <w:p>
      <w:pPr>
        <w:jc w:val="center"/>
        <w:rPr>
          <w:rFonts w:ascii="Times New Roman" w:hAnsi="Times New Roman"/>
          <w:szCs w:val="21"/>
        </w:rPr>
      </w:pPr>
    </w:p>
    <w:p>
      <w:pPr>
        <w:rPr>
          <w:rFonts w:ascii="Times New Roman" w:hAnsi="Times New Roman"/>
          <w:szCs w:val="21"/>
        </w:rPr>
      </w:pPr>
      <w:r>
        <w:drawing>
          <wp:inline distT="0" distB="0" distL="114300" distR="114300">
            <wp:extent cx="5266055" cy="2590165"/>
            <wp:effectExtent l="0" t="0" r="444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66055" cy="2590165"/>
                    </a:xfrm>
                    <a:prstGeom prst="rect">
                      <a:avLst/>
                    </a:prstGeom>
                    <a:noFill/>
                    <a:ln>
                      <a:noFill/>
                    </a:ln>
                  </pic:spPr>
                </pic:pic>
              </a:graphicData>
            </a:graphic>
          </wp:inline>
        </w:drawing>
      </w:r>
    </w:p>
    <w:p>
      <w:pPr>
        <w:spacing w:line="300" w:lineRule="auto"/>
        <w:jc w:val="center"/>
        <w:rPr>
          <w:rFonts w:ascii="Times New Roman" w:hAnsi="Times New Roman"/>
          <w:szCs w:val="21"/>
        </w:rPr>
      </w:pPr>
      <w:r>
        <w:rPr>
          <w:rFonts w:hint="eastAsia" w:ascii="Times New Roman" w:hAnsi="Times New Roman"/>
          <w:szCs w:val="21"/>
        </w:rPr>
        <w:t>图</w:t>
      </w:r>
      <w:r>
        <w:rPr>
          <w:rFonts w:ascii="Times New Roman" w:hAnsi="Times New Roman"/>
          <w:szCs w:val="21"/>
        </w:rPr>
        <w:t xml:space="preserve">B.1 </w:t>
      </w:r>
      <w:r>
        <w:rPr>
          <w:rFonts w:hint="eastAsia" w:ascii="Times New Roman" w:hAnsi="Times New Roman"/>
          <w:szCs w:val="21"/>
        </w:rPr>
        <w:t>曲酸标准溶液</w:t>
      </w:r>
      <w:r>
        <w:rPr>
          <w:rFonts w:ascii="Times New Roman" w:hAnsi="Times New Roman"/>
          <w:szCs w:val="21"/>
        </w:rPr>
        <w:t>色谱图</w:t>
      </w:r>
      <w:r>
        <w:rPr>
          <w:rFonts w:hint="eastAsia"/>
          <w:color w:val="000000"/>
          <w:kern w:val="0"/>
          <w:szCs w:val="21"/>
        </w:rPr>
        <w:t>（浓度：</w:t>
      </w:r>
      <w:r>
        <w:rPr>
          <w:rFonts w:ascii="Times New Roman" w:hAnsi="Times New Roman"/>
          <w:szCs w:val="24"/>
        </w:rPr>
        <w:t>1.0 mg/L</w:t>
      </w:r>
      <w:r>
        <w:rPr>
          <w:rFonts w:hint="eastAsia"/>
          <w:color w:val="000000"/>
          <w:kern w:val="0"/>
          <w:szCs w:val="21"/>
        </w:rPr>
        <w:t>）</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keepNext w:val="0"/>
        <w:keepLines w:val="0"/>
        <w:pageBreakBefore w:val="0"/>
        <w:widowControl w:val="0"/>
        <w:kinsoku/>
        <w:wordWrap/>
        <w:overflowPunct/>
        <w:topLinePunct w:val="0"/>
        <w:autoSpaceDE/>
        <w:autoSpaceDN/>
        <w:bidi w:val="0"/>
        <w:adjustRightInd/>
        <w:snapToGrid/>
        <w:spacing w:line="594" w:lineRule="exact"/>
        <w:ind w:firstLine="424" w:firstLineChars="202"/>
        <w:textAlignment w:val="auto"/>
        <w:outlineLvl w:val="9"/>
        <w:rPr>
          <w:rFonts w:ascii="Times New Roman" w:hAnsi="Times New Roman"/>
          <w:szCs w:val="21"/>
        </w:rPr>
      </w:pPr>
      <w:r>
        <w:rPr>
          <w:rFonts w:ascii="Times New Roman" w:hAnsi="Times New Roman"/>
          <w:szCs w:val="21"/>
        </w:rPr>
        <w:t>本方法负责起草单位：中国食品药品检定研究院</w:t>
      </w:r>
    </w:p>
    <w:p>
      <w:pPr>
        <w:keepNext w:val="0"/>
        <w:keepLines w:val="0"/>
        <w:pageBreakBefore w:val="0"/>
        <w:widowControl w:val="0"/>
        <w:kinsoku/>
        <w:wordWrap/>
        <w:overflowPunct/>
        <w:topLinePunct w:val="0"/>
        <w:autoSpaceDE/>
        <w:autoSpaceDN/>
        <w:bidi w:val="0"/>
        <w:adjustRightInd/>
        <w:snapToGrid/>
        <w:spacing w:line="594" w:lineRule="exact"/>
        <w:ind w:firstLine="424" w:firstLineChars="202"/>
        <w:textAlignment w:val="auto"/>
        <w:outlineLvl w:val="9"/>
        <w:rPr>
          <w:rFonts w:ascii="Times New Roman" w:hAnsi="Times New Roman"/>
          <w:szCs w:val="21"/>
        </w:rPr>
      </w:pPr>
      <w:r>
        <w:rPr>
          <w:rFonts w:ascii="Times New Roman" w:hAnsi="Times New Roman"/>
          <w:szCs w:val="21"/>
        </w:rPr>
        <w:t>验证单位：中国检验检疫科学</w:t>
      </w:r>
      <w:r>
        <w:rPr>
          <w:rFonts w:hint="eastAsia" w:ascii="Times New Roman" w:hAnsi="Times New Roman"/>
          <w:szCs w:val="21"/>
        </w:rPr>
        <w:t>研究</w:t>
      </w:r>
      <w:r>
        <w:rPr>
          <w:rFonts w:ascii="Times New Roman" w:hAnsi="Times New Roman"/>
          <w:szCs w:val="21"/>
        </w:rPr>
        <w:t>院</w:t>
      </w:r>
      <w:r>
        <w:rPr>
          <w:rFonts w:hint="eastAsia" w:ascii="Times New Roman" w:hAnsi="Times New Roman"/>
          <w:szCs w:val="21"/>
        </w:rPr>
        <w:t>综合检测中心</w:t>
      </w:r>
      <w:r>
        <w:rPr>
          <w:rFonts w:ascii="Times New Roman" w:hAnsi="Times New Roman"/>
          <w:szCs w:val="21"/>
        </w:rPr>
        <w:t>、山东省食品药品检验研究院、四川省食品药品检验检测院</w:t>
      </w:r>
      <w:r>
        <w:rPr>
          <w:rFonts w:hint="eastAsia" w:ascii="Times New Roman" w:hAnsi="Times New Roman"/>
          <w:szCs w:val="21"/>
        </w:rPr>
        <w:t>、</w:t>
      </w:r>
      <w:r>
        <w:rPr>
          <w:rFonts w:ascii="Times New Roman" w:hAnsi="Times New Roman"/>
          <w:szCs w:val="21"/>
        </w:rPr>
        <w:t>国家食品质量安全监督检验中心、河北省</w:t>
      </w:r>
      <w:r>
        <w:rPr>
          <w:rFonts w:hint="eastAsia" w:ascii="Times New Roman" w:hAnsi="Times New Roman"/>
          <w:szCs w:val="21"/>
        </w:rPr>
        <w:t>食品</w:t>
      </w:r>
      <w:r>
        <w:rPr>
          <w:rFonts w:ascii="Times New Roman" w:hAnsi="Times New Roman"/>
          <w:szCs w:val="21"/>
        </w:rPr>
        <w:t>检验研究院</w:t>
      </w:r>
    </w:p>
    <w:p>
      <w:pPr>
        <w:keepNext w:val="0"/>
        <w:keepLines w:val="0"/>
        <w:pageBreakBefore w:val="0"/>
        <w:widowControl w:val="0"/>
        <w:kinsoku/>
        <w:wordWrap/>
        <w:overflowPunct/>
        <w:topLinePunct w:val="0"/>
        <w:autoSpaceDE/>
        <w:autoSpaceDN/>
        <w:bidi w:val="0"/>
        <w:adjustRightInd/>
        <w:snapToGrid/>
        <w:spacing w:line="594" w:lineRule="exact"/>
        <w:ind w:firstLine="424" w:firstLineChars="202"/>
        <w:textAlignment w:val="auto"/>
        <w:outlineLvl w:val="9"/>
        <w:rPr>
          <w:rFonts w:ascii="Times New Roman" w:hAnsi="Times New Roman"/>
          <w:szCs w:val="21"/>
        </w:rPr>
      </w:pPr>
      <w:r>
        <w:rPr>
          <w:rFonts w:ascii="Times New Roman" w:hAnsi="Times New Roman"/>
          <w:szCs w:val="21"/>
        </w:rPr>
        <w:t>主要起草人：金绍明、宁霄、曹进、赵梅、刘彬丽、李道霞</w:t>
      </w:r>
    </w:p>
    <w:sectPr>
      <w:footerReference r:id="rId3" w:type="default"/>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3DD3"/>
    <w:multiLevelType w:val="multilevel"/>
    <w:tmpl w:val="46C53DD3"/>
    <w:lvl w:ilvl="0" w:tentative="0">
      <w:start w:val="1"/>
      <w:numFmt w:val="decimal"/>
      <w:lvlText w:val="%1)"/>
      <w:lvlJc w:val="left"/>
      <w:pPr>
        <w:ind w:left="780" w:hanging="420"/>
      </w:pPr>
    </w:lvl>
    <w:lvl w:ilvl="1" w:tentative="0">
      <w:start w:val="1"/>
      <w:numFmt w:val="lowerLetter"/>
      <w:pStyle w:val="8"/>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53"/>
    <w:rsid w:val="00066DE5"/>
    <w:rsid w:val="0007501A"/>
    <w:rsid w:val="0009416E"/>
    <w:rsid w:val="00160917"/>
    <w:rsid w:val="00167E8A"/>
    <w:rsid w:val="00186BEC"/>
    <w:rsid w:val="00196247"/>
    <w:rsid w:val="001D05F7"/>
    <w:rsid w:val="00210BA2"/>
    <w:rsid w:val="002158B5"/>
    <w:rsid w:val="0025313A"/>
    <w:rsid w:val="00267B95"/>
    <w:rsid w:val="002A36D9"/>
    <w:rsid w:val="003322F8"/>
    <w:rsid w:val="0038104E"/>
    <w:rsid w:val="003A4B47"/>
    <w:rsid w:val="003D767C"/>
    <w:rsid w:val="00407F99"/>
    <w:rsid w:val="004A37B0"/>
    <w:rsid w:val="004B0DC6"/>
    <w:rsid w:val="004B3953"/>
    <w:rsid w:val="0051328F"/>
    <w:rsid w:val="0052660B"/>
    <w:rsid w:val="005567B4"/>
    <w:rsid w:val="00563396"/>
    <w:rsid w:val="00567C60"/>
    <w:rsid w:val="005B2A4A"/>
    <w:rsid w:val="005C2B2E"/>
    <w:rsid w:val="00606DAF"/>
    <w:rsid w:val="00616B9B"/>
    <w:rsid w:val="0067625B"/>
    <w:rsid w:val="00686560"/>
    <w:rsid w:val="006C31CF"/>
    <w:rsid w:val="007171E2"/>
    <w:rsid w:val="007645D0"/>
    <w:rsid w:val="00770178"/>
    <w:rsid w:val="007C3F2D"/>
    <w:rsid w:val="008225E5"/>
    <w:rsid w:val="00866E09"/>
    <w:rsid w:val="00923F95"/>
    <w:rsid w:val="00927B78"/>
    <w:rsid w:val="00983600"/>
    <w:rsid w:val="009A2553"/>
    <w:rsid w:val="009C0CBD"/>
    <w:rsid w:val="009C27AB"/>
    <w:rsid w:val="009C57CE"/>
    <w:rsid w:val="00B10B50"/>
    <w:rsid w:val="00B27D4A"/>
    <w:rsid w:val="00B61A6B"/>
    <w:rsid w:val="00BF6373"/>
    <w:rsid w:val="00C049AB"/>
    <w:rsid w:val="00C741CB"/>
    <w:rsid w:val="00C77256"/>
    <w:rsid w:val="00C81E03"/>
    <w:rsid w:val="00C968BA"/>
    <w:rsid w:val="00CB4021"/>
    <w:rsid w:val="00D614B1"/>
    <w:rsid w:val="00D84587"/>
    <w:rsid w:val="00DD5785"/>
    <w:rsid w:val="00DF0832"/>
    <w:rsid w:val="00DF103B"/>
    <w:rsid w:val="00E308AB"/>
    <w:rsid w:val="00E82DCE"/>
    <w:rsid w:val="00E95B9E"/>
    <w:rsid w:val="00EF18FA"/>
    <w:rsid w:val="00F23D6F"/>
    <w:rsid w:val="00F97447"/>
    <w:rsid w:val="00FA15B5"/>
    <w:rsid w:val="00FF19F6"/>
    <w:rsid w:val="156E1FE8"/>
    <w:rsid w:val="1D7F5AC4"/>
    <w:rsid w:val="1DB36117"/>
    <w:rsid w:val="26A21673"/>
    <w:rsid w:val="26F512F4"/>
    <w:rsid w:val="3C020AD5"/>
    <w:rsid w:val="4C0B69C0"/>
    <w:rsid w:val="4E646287"/>
    <w:rsid w:val="53636A0A"/>
    <w:rsid w:val="5C6E42E0"/>
    <w:rsid w:val="6AB3766D"/>
    <w:rsid w:val="6AFE35D4"/>
    <w:rsid w:val="71592421"/>
    <w:rsid w:val="73347676"/>
    <w:rsid w:val="757C54EE"/>
    <w:rsid w:val="7DAF73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kern w:val="0"/>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
    <w:name w:val="附录一级条标题"/>
    <w:basedOn w:val="1"/>
    <w:next w:val="7"/>
    <w:qFormat/>
    <w:uiPriority w:val="0"/>
    <w:pPr>
      <w:widowControl/>
      <w:numPr>
        <w:ilvl w:val="1"/>
        <w:numId w:val="1"/>
      </w:numPr>
      <w:wordWrap w:val="0"/>
      <w:overflowPunct w:val="0"/>
      <w:autoSpaceDE w:val="0"/>
      <w:autoSpaceDN w:val="0"/>
      <w:textAlignment w:val="baseline"/>
      <w:outlineLvl w:val="2"/>
    </w:pPr>
    <w:rPr>
      <w:rFonts w:ascii="黑体" w:hAnsi="Times New Roman" w:eastAsia="黑体" w:cs="Times New Roman"/>
      <w:kern w:val="21"/>
      <w:szCs w:val="20"/>
    </w:rPr>
  </w:style>
  <w:style w:type="character" w:customStyle="1" w:styleId="9">
    <w:name w:val="页眉 字符"/>
    <w:link w:val="4"/>
    <w:qFormat/>
    <w:uiPriority w:val="99"/>
    <w:rPr>
      <w:sz w:val="18"/>
      <w:szCs w:val="18"/>
    </w:rPr>
  </w:style>
  <w:style w:type="character" w:customStyle="1" w:styleId="10">
    <w:name w:val="页脚 字符"/>
    <w:link w:val="3"/>
    <w:qFormat/>
    <w:uiPriority w:val="99"/>
    <w:rPr>
      <w:sz w:val="18"/>
      <w:szCs w:val="18"/>
    </w:rPr>
  </w:style>
  <w:style w:type="character" w:customStyle="1" w:styleId="11">
    <w:name w:val="批注框文本 字符"/>
    <w:link w:val="2"/>
    <w:semiHidden/>
    <w:qFormat/>
    <w:uiPriority w:val="99"/>
    <w:rPr>
      <w:rFonts w:ascii="Calibri" w:hAnsi="Calibri" w:eastAsia="宋体" w:cs="Times New Roman"/>
      <w:sz w:val="18"/>
      <w:szCs w:val="18"/>
    </w:rPr>
  </w:style>
  <w:style w:type="character" w:customStyle="1" w:styleId="12">
    <w:name w:val="页脚 Char"/>
    <w:basedOn w:val="6"/>
    <w:qFormat/>
    <w:uiPriority w:val="99"/>
    <w:rPr>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jpe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305</Words>
  <Characters>1740</Characters>
  <Lines>14</Lines>
  <Paragraphs>4</Paragraphs>
  <TotalTime>0</TotalTime>
  <ScaleCrop>false</ScaleCrop>
  <LinksUpToDate>false</LinksUpToDate>
  <CharactersWithSpaces>2041</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2020-07-16T02:50:00Z</dcterms:created>
  <dc:creator>金绍明</dc:creator>
  <cp:lastModifiedBy>测老哥</cp:lastModifiedBy>
  <cp:lastPrinted>2020-07-02T00:30:00Z</cp:lastPrinted>
  <dcterms:modified xsi:type="dcterms:W3CDTF">2021-01-04T02:53:51Z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