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lang w:val="en-US"/>
        </w:rPr>
      </w:pPr>
      <w:r>
        <w:rPr>
          <w:rFonts w:hint="eastAsia" w:ascii="宋体" w:hAnsi="宋体"/>
          <w:color w:val="000000"/>
          <w:sz w:val="28"/>
          <w:szCs w:val="28"/>
          <w:lang w:val="en-US" w:eastAsia="zh-CN"/>
        </w:rPr>
        <w:t xml:space="preserve"> </w:t>
      </w:r>
    </w:p>
    <w:p>
      <w:pPr>
        <w:autoSpaceDN w:val="0"/>
        <w:spacing w:line="375" w:lineRule="atLeast"/>
        <w:jc w:val="left"/>
        <w:rPr>
          <w:rFonts w:hint="default" w:ascii="Verdana" w:hAnsi="宋体"/>
          <w:sz w:val="28"/>
          <w:szCs w:val="28"/>
        </w:rPr>
      </w:pPr>
    </w:p>
    <w:p>
      <w:pPr>
        <w:autoSpaceDN w:val="0"/>
        <w:spacing w:line="360" w:lineRule="auto"/>
        <w:jc w:val="both"/>
        <w:rPr>
          <w:rFonts w:hint="eastAsia" w:ascii="宋体" w:hAnsi="宋体"/>
          <w:color w:val="000000"/>
          <w:sz w:val="21"/>
          <w:lang w:val="en-US" w:eastAsia="zh-CN"/>
        </w:rPr>
      </w:pPr>
      <w:r>
        <w:rPr>
          <w:rFonts w:hint="eastAsia" w:ascii="宋体" w:hAnsi="宋体"/>
          <w:b/>
          <w:color w:val="3A3A3A"/>
          <w:sz w:val="32"/>
          <w:lang w:val="en-US" w:eastAsia="zh-CN"/>
        </w:rPr>
        <w:t xml:space="preserve">               </w:t>
      </w:r>
      <w:r>
        <w:rPr>
          <w:rFonts w:hint="default" w:ascii="宋体" w:hAnsi="宋体" w:eastAsia="宋体"/>
          <w:b/>
          <w:color w:val="3A3A3A"/>
          <w:sz w:val="32"/>
          <w:lang w:eastAsia="zh-CN"/>
        </w:rPr>
        <w:t>PGM-6208</w:t>
      </w:r>
      <w:r>
        <w:rPr>
          <w:rFonts w:hint="eastAsia" w:ascii="宋体" w:hAnsi="宋体"/>
          <w:b/>
          <w:color w:val="3A3A3A"/>
          <w:sz w:val="32"/>
          <w:lang w:eastAsia="zh-CN"/>
        </w:rPr>
        <w:t>复合</w:t>
      </w:r>
      <w:r>
        <w:rPr>
          <w:rFonts w:hint="default" w:ascii="宋体" w:hAnsi="宋体" w:eastAsia="宋体"/>
          <w:b/>
          <w:color w:val="3A3A3A"/>
          <w:sz w:val="32"/>
          <w:lang w:eastAsia="zh-CN"/>
        </w:rPr>
        <w:t>气体检测仪</w:t>
      </w:r>
    </w:p>
    <w:p>
      <w:pPr>
        <w:autoSpaceDN w:val="0"/>
        <w:spacing w:line="375" w:lineRule="atLeast"/>
        <w:jc w:val="left"/>
        <w:rPr>
          <w:rFonts w:hint="default" w:ascii="Verdana" w:hAnsi="宋体"/>
          <w:b w:val="0"/>
          <w:bCs w:val="0"/>
          <w:sz w:val="28"/>
          <w:szCs w:val="28"/>
        </w:rPr>
      </w:pPr>
    </w:p>
    <w:p>
      <w:pPr>
        <w:autoSpaceDN w:val="0"/>
        <w:spacing w:line="375" w:lineRule="atLeast"/>
        <w:jc w:val="left"/>
        <w:rPr>
          <w:rFonts w:hint="default" w:ascii="Verdana" w:hAnsi="宋体"/>
          <w:b w:val="0"/>
          <w:bCs w:val="0"/>
          <w:sz w:val="28"/>
          <w:szCs w:val="28"/>
        </w:rPr>
      </w:pPr>
    </w:p>
    <w:p>
      <w:pPr>
        <w:autoSpaceDN w:val="0"/>
        <w:spacing w:line="270" w:lineRule="atLeast"/>
        <w:ind w:firstLine="0"/>
        <w:rPr>
          <w:rFonts w:hint="eastAsia" w:ascii="宋体" w:hAnsi="宋体" w:eastAsia="宋体" w:cs="宋体"/>
          <w:b w:val="0"/>
          <w:i w:val="0"/>
          <w:color w:val="auto"/>
          <w:sz w:val="21"/>
          <w:szCs w:val="21"/>
        </w:rPr>
      </w:pPr>
      <w:bookmarkStart w:id="0" w:name="_GoBack"/>
      <w:bookmarkEnd w:id="0"/>
      <w:r>
        <w:rPr>
          <w:rFonts w:hint="eastAsia" w:ascii="宋体" w:hAnsi="宋体" w:eastAsia="宋体" w:cs="宋体"/>
          <w:b w:val="0"/>
          <w:i w:val="0"/>
          <w:color w:val="auto"/>
          <w:sz w:val="21"/>
          <w:szCs w:val="21"/>
        </w:rPr>
        <w:t>MultiRAE 2 六合一气体检测仪 PGM-6208</w:t>
      </w:r>
    </w:p>
    <w:p>
      <w:pPr>
        <w:autoSpaceDN w:val="0"/>
        <w:spacing w:line="270" w:lineRule="atLeast"/>
        <w:ind w:firstLine="0"/>
        <w:rPr>
          <w:rFonts w:hint="eastAsia" w:ascii="宋体" w:hAnsi="宋体" w:eastAsia="宋体" w:cs="宋体"/>
          <w:b w:val="0"/>
          <w:i w:val="0"/>
          <w:color w:val="auto"/>
          <w:sz w:val="21"/>
          <w:szCs w:val="21"/>
        </w:rPr>
      </w:pPr>
      <w:r>
        <w:rPr>
          <w:rFonts w:hint="eastAsia" w:ascii="宋体" w:hAnsi="宋体" w:eastAsia="宋体" w:cs="宋体"/>
          <w:b w:val="0"/>
          <w:i w:val="0"/>
          <w:color w:val="auto"/>
          <w:sz w:val="21"/>
          <w:szCs w:val="21"/>
        </w:rPr>
        <w:t xml:space="preserve"> </w:t>
      </w:r>
    </w:p>
    <w:p>
      <w:pPr>
        <w:autoSpaceDN w:val="0"/>
        <w:spacing w:line="270" w:lineRule="atLeast"/>
        <w:ind w:firstLine="0"/>
        <w:rPr>
          <w:rFonts w:hint="eastAsia" w:ascii="宋体" w:hAnsi="宋体" w:eastAsia="宋体" w:cs="宋体"/>
          <w:b w:val="0"/>
          <w:i w:val="0"/>
          <w:color w:val="auto"/>
          <w:sz w:val="21"/>
          <w:szCs w:val="21"/>
        </w:rPr>
      </w:pPr>
      <w:r>
        <w:rPr>
          <w:rFonts w:hint="eastAsia" w:ascii="宋体" w:hAnsi="宋体" w:eastAsia="宋体" w:cs="宋体"/>
          <w:b w:val="0"/>
          <w:i w:val="0"/>
          <w:color w:val="auto"/>
          <w:sz w:val="21"/>
          <w:szCs w:val="21"/>
        </w:rPr>
        <w:t>MultiRAE 2 是华瑞公司最新开发的新一代六合一复合式气体检测仪，适用包括EC、LEL、TC、PID、IR、Gamma 等在内的所有RAE 传感器，各种传感器可任意组合、灵活配置。检测精度高，适用于各种危险环境使用。</w:t>
      </w:r>
    </w:p>
    <w:p>
      <w:pPr>
        <w:autoSpaceDN w:val="0"/>
        <w:spacing w:line="270" w:lineRule="atLeast"/>
        <w:ind w:firstLine="0"/>
        <w:rPr>
          <w:rFonts w:hint="eastAsia" w:ascii="宋体" w:hAnsi="宋体" w:eastAsia="宋体" w:cs="宋体"/>
          <w:b w:val="0"/>
          <w:i w:val="0"/>
          <w:color w:val="auto"/>
          <w:sz w:val="21"/>
          <w:szCs w:val="21"/>
        </w:rPr>
      </w:pPr>
      <w:r>
        <w:rPr>
          <w:rFonts w:hint="eastAsia" w:ascii="宋体" w:hAnsi="宋体" w:eastAsia="宋体" w:cs="宋体"/>
          <w:b w:val="0"/>
          <w:i w:val="0"/>
          <w:color w:val="auto"/>
          <w:sz w:val="21"/>
          <w:szCs w:val="21"/>
        </w:rPr>
        <w:t>主要特点：        ※  内置数据存储    ※  带有运动检测装置，提升对人员的防护    ※  支持无线数据传输    ※  强力声光和振动报警多种报警方式    ※  防水防尘的坚固外壳，防护等级高</w:t>
      </w:r>
    </w:p>
    <w:p>
      <w:pPr>
        <w:autoSpaceDN w:val="0"/>
        <w:spacing w:line="270" w:lineRule="atLeast"/>
        <w:ind w:firstLine="0"/>
        <w:rPr>
          <w:rFonts w:hint="eastAsia" w:ascii="宋体" w:hAnsi="宋体" w:eastAsia="宋体" w:cs="宋体"/>
          <w:b w:val="0"/>
          <w:i w:val="0"/>
          <w:color w:val="auto"/>
          <w:sz w:val="21"/>
          <w:szCs w:val="21"/>
        </w:rPr>
      </w:pPr>
      <w:r>
        <w:rPr>
          <w:rFonts w:hint="eastAsia" w:ascii="宋体" w:hAnsi="宋体" w:eastAsia="宋体" w:cs="宋体"/>
          <w:b w:val="0"/>
          <w:i w:val="0"/>
          <w:color w:val="auto"/>
          <w:sz w:val="21"/>
          <w:szCs w:val="21"/>
        </w:rPr>
        <w:t>※  智能传感器，各个传感器插槽可任意组合    ※  传感器可现场任意互换    ※  检测精度高，响应时间短，检测范围宽    ※  大屏幕液晶图形显示    ※  中文菜单显示    ※  可充电锂电池，使用时间长</w:t>
      </w:r>
    </w:p>
    <w:p>
      <w:pPr>
        <w:autoSpaceDN w:val="0"/>
        <w:spacing w:line="270" w:lineRule="atLeast"/>
        <w:ind w:firstLine="0"/>
        <w:rPr>
          <w:rFonts w:hint="eastAsia" w:ascii="宋体" w:hAnsi="宋体" w:eastAsia="宋体" w:cs="宋体"/>
          <w:b w:val="0"/>
          <w:i w:val="0"/>
          <w:color w:val="auto"/>
          <w:sz w:val="21"/>
          <w:szCs w:val="21"/>
        </w:rPr>
      </w:pPr>
      <w:r>
        <w:rPr>
          <w:rFonts w:hint="eastAsia" w:ascii="宋体" w:hAnsi="宋体" w:eastAsia="宋体" w:cs="宋体"/>
          <w:b w:val="0"/>
          <w:i w:val="0"/>
          <w:color w:val="auto"/>
          <w:sz w:val="21"/>
          <w:szCs w:val="21"/>
        </w:rPr>
        <w:t>规格：</w:t>
      </w:r>
    </w:p>
    <w:p>
      <w:pPr>
        <w:autoSpaceDN w:val="0"/>
        <w:spacing w:line="270" w:lineRule="atLeast"/>
        <w:ind w:firstLine="0"/>
        <w:rPr>
          <w:rFonts w:hint="eastAsia" w:ascii="宋体" w:hAnsi="宋体" w:eastAsia="宋体" w:cs="宋体"/>
          <w:b w:val="0"/>
          <w:i w:val="0"/>
          <w:color w:val="auto"/>
          <w:sz w:val="21"/>
          <w:szCs w:val="21"/>
        </w:rPr>
      </w:pPr>
      <w:r>
        <w:rPr>
          <w:rFonts w:hint="eastAsia" w:ascii="宋体" w:hAnsi="宋体" w:eastAsia="宋体" w:cs="宋体"/>
          <w:b w:val="0"/>
          <w:i w:val="0"/>
          <w:color w:val="auto"/>
          <w:sz w:val="21"/>
          <w:szCs w:val="21"/>
        </w:rPr>
        <w:t xml:space="preserve">   ※  产品类型：扩散式或泵吸式，带数据存储</w:t>
      </w:r>
    </w:p>
    <w:p>
      <w:pPr>
        <w:autoSpaceDN w:val="0"/>
        <w:spacing w:line="270" w:lineRule="atLeast"/>
        <w:ind w:firstLine="0"/>
        <w:rPr>
          <w:rFonts w:hint="eastAsia" w:ascii="宋体" w:hAnsi="宋体" w:eastAsia="宋体" w:cs="宋体"/>
          <w:b w:val="0"/>
          <w:i w:val="0"/>
          <w:color w:val="auto"/>
          <w:sz w:val="21"/>
          <w:szCs w:val="21"/>
        </w:rPr>
      </w:pPr>
      <w:r>
        <w:rPr>
          <w:rFonts w:hint="eastAsia" w:ascii="宋体" w:hAnsi="宋体" w:eastAsia="宋体" w:cs="宋体"/>
          <w:b w:val="0"/>
          <w:i w:val="0"/>
          <w:color w:val="auto"/>
          <w:sz w:val="21"/>
          <w:szCs w:val="21"/>
        </w:rPr>
        <w:t xml:space="preserve">   ※  尺寸：193 mm x 96.5 mm x 66 mm</w:t>
      </w:r>
    </w:p>
    <w:p>
      <w:pPr>
        <w:autoSpaceDN w:val="0"/>
        <w:spacing w:line="270" w:lineRule="atLeast"/>
        <w:ind w:firstLine="0"/>
        <w:rPr>
          <w:rFonts w:hint="eastAsia" w:ascii="宋体" w:hAnsi="宋体" w:eastAsia="宋体" w:cs="宋体"/>
          <w:b w:val="0"/>
          <w:i w:val="0"/>
          <w:color w:val="auto"/>
          <w:sz w:val="21"/>
          <w:szCs w:val="21"/>
        </w:rPr>
      </w:pPr>
      <w:r>
        <w:rPr>
          <w:rFonts w:hint="eastAsia" w:ascii="宋体" w:hAnsi="宋体" w:eastAsia="宋体" w:cs="宋体"/>
          <w:b w:val="0"/>
          <w:i w:val="0"/>
          <w:color w:val="auto"/>
          <w:sz w:val="21"/>
          <w:szCs w:val="21"/>
        </w:rPr>
        <w:t xml:space="preserve">   ※  重量：880g</w:t>
      </w:r>
    </w:p>
    <w:p>
      <w:pPr>
        <w:autoSpaceDN w:val="0"/>
        <w:spacing w:line="270" w:lineRule="atLeast"/>
        <w:ind w:firstLine="0"/>
        <w:rPr>
          <w:rFonts w:hint="eastAsia" w:ascii="宋体" w:hAnsi="宋体" w:eastAsia="宋体" w:cs="宋体"/>
          <w:b w:val="0"/>
          <w:i w:val="0"/>
          <w:color w:val="auto"/>
          <w:sz w:val="21"/>
          <w:szCs w:val="21"/>
        </w:rPr>
      </w:pPr>
      <w:r>
        <w:rPr>
          <w:rFonts w:hint="eastAsia" w:ascii="宋体" w:hAnsi="宋体" w:eastAsia="宋体" w:cs="宋体"/>
          <w:b w:val="0"/>
          <w:i w:val="0"/>
          <w:color w:val="auto"/>
          <w:sz w:val="21"/>
          <w:szCs w:val="21"/>
        </w:rPr>
        <w:t xml:space="preserve">   ※  电池：内置可充电锂电池</w:t>
      </w:r>
    </w:p>
    <w:p>
      <w:pPr>
        <w:autoSpaceDN w:val="0"/>
        <w:spacing w:line="270" w:lineRule="atLeast"/>
        <w:ind w:firstLine="0"/>
        <w:rPr>
          <w:rFonts w:hint="eastAsia" w:ascii="宋体" w:hAnsi="宋体" w:eastAsia="宋体" w:cs="宋体"/>
          <w:b w:val="0"/>
          <w:i w:val="0"/>
          <w:color w:val="auto"/>
          <w:sz w:val="21"/>
          <w:szCs w:val="21"/>
        </w:rPr>
      </w:pPr>
      <w:r>
        <w:rPr>
          <w:rFonts w:hint="eastAsia" w:ascii="宋体" w:hAnsi="宋体" w:eastAsia="宋体" w:cs="宋体"/>
          <w:b w:val="0"/>
          <w:i w:val="0"/>
          <w:color w:val="auto"/>
          <w:sz w:val="21"/>
          <w:szCs w:val="21"/>
        </w:rPr>
        <w:t xml:space="preserve">   ※  工作时间：充满电大于12 小时</w:t>
      </w:r>
    </w:p>
    <w:p>
      <w:pPr>
        <w:autoSpaceDN w:val="0"/>
        <w:spacing w:line="270" w:lineRule="atLeast"/>
        <w:ind w:firstLine="0"/>
        <w:rPr>
          <w:rFonts w:hint="eastAsia" w:ascii="宋体" w:hAnsi="宋体" w:eastAsia="宋体" w:cs="宋体"/>
          <w:b w:val="0"/>
          <w:i w:val="0"/>
          <w:color w:val="auto"/>
          <w:sz w:val="21"/>
          <w:szCs w:val="21"/>
        </w:rPr>
      </w:pPr>
      <w:r>
        <w:rPr>
          <w:rFonts w:hint="eastAsia" w:ascii="宋体" w:hAnsi="宋体" w:eastAsia="宋体" w:cs="宋体"/>
          <w:b w:val="0"/>
          <w:i w:val="0"/>
          <w:color w:val="auto"/>
          <w:sz w:val="21"/>
          <w:szCs w:val="21"/>
        </w:rPr>
        <w:t xml:space="preserve">   ※  充电器：带USB接口的充电器</w:t>
      </w:r>
    </w:p>
    <w:p>
      <w:pPr>
        <w:autoSpaceDN w:val="0"/>
        <w:spacing w:line="270" w:lineRule="atLeast"/>
        <w:ind w:firstLine="0"/>
        <w:rPr>
          <w:rFonts w:hint="eastAsia" w:ascii="宋体" w:hAnsi="宋体" w:eastAsia="宋体" w:cs="宋体"/>
          <w:b w:val="0"/>
          <w:i w:val="0"/>
          <w:color w:val="auto"/>
          <w:sz w:val="21"/>
          <w:szCs w:val="21"/>
        </w:rPr>
      </w:pPr>
      <w:r>
        <w:rPr>
          <w:rFonts w:hint="eastAsia" w:ascii="宋体" w:hAnsi="宋体" w:eastAsia="宋体" w:cs="宋体"/>
          <w:b w:val="0"/>
          <w:i w:val="0"/>
          <w:color w:val="auto"/>
          <w:sz w:val="21"/>
          <w:szCs w:val="21"/>
        </w:rPr>
        <w:t xml:space="preserve">   ※  报警方式：声音报警95 dB@30cm、红色LED 报警灯、振动报警</w:t>
      </w:r>
    </w:p>
    <w:p>
      <w:pPr>
        <w:autoSpaceDN w:val="0"/>
        <w:spacing w:line="270" w:lineRule="atLeast"/>
        <w:ind w:firstLine="0"/>
        <w:rPr>
          <w:rFonts w:hint="eastAsia" w:ascii="宋体" w:hAnsi="宋体" w:eastAsia="宋体" w:cs="宋体"/>
          <w:b w:val="0"/>
          <w:i w:val="0"/>
          <w:color w:val="auto"/>
          <w:sz w:val="21"/>
          <w:szCs w:val="21"/>
        </w:rPr>
      </w:pPr>
      <w:r>
        <w:rPr>
          <w:rFonts w:hint="eastAsia" w:ascii="宋体" w:hAnsi="宋体" w:eastAsia="宋体" w:cs="宋体"/>
          <w:b w:val="0"/>
          <w:i w:val="0"/>
          <w:color w:val="auto"/>
          <w:sz w:val="21"/>
          <w:szCs w:val="21"/>
        </w:rPr>
        <w:t xml:space="preserve">   ※  显示：单色LCD 图形显示</w:t>
      </w:r>
    </w:p>
    <w:p>
      <w:pPr>
        <w:autoSpaceDN w:val="0"/>
        <w:spacing w:line="270" w:lineRule="atLeast"/>
        <w:ind w:firstLine="0"/>
        <w:rPr>
          <w:rFonts w:hint="eastAsia" w:ascii="宋体" w:hAnsi="宋体" w:eastAsia="宋体" w:cs="宋体"/>
          <w:b w:val="0"/>
          <w:i w:val="0"/>
          <w:color w:val="auto"/>
          <w:sz w:val="21"/>
          <w:szCs w:val="21"/>
        </w:rPr>
      </w:pPr>
      <w:r>
        <w:rPr>
          <w:rFonts w:hint="eastAsia" w:ascii="宋体" w:hAnsi="宋体" w:eastAsia="宋体" w:cs="宋体"/>
          <w:b w:val="0"/>
          <w:i w:val="0"/>
          <w:color w:val="auto"/>
          <w:sz w:val="21"/>
          <w:szCs w:val="21"/>
        </w:rPr>
        <w:t xml:space="preserve">   ※  背光：手动，报警时自动</w:t>
      </w:r>
    </w:p>
    <w:p>
      <w:pPr>
        <w:autoSpaceDN w:val="0"/>
        <w:spacing w:line="270" w:lineRule="atLeast"/>
        <w:ind w:firstLine="0"/>
        <w:rPr>
          <w:rFonts w:hint="eastAsia" w:ascii="宋体" w:hAnsi="宋体" w:eastAsia="宋体" w:cs="宋体"/>
          <w:b w:val="0"/>
          <w:i w:val="0"/>
          <w:color w:val="auto"/>
          <w:sz w:val="21"/>
          <w:szCs w:val="21"/>
        </w:rPr>
      </w:pPr>
      <w:r>
        <w:rPr>
          <w:rFonts w:hint="eastAsia" w:ascii="宋体" w:hAnsi="宋体" w:eastAsia="宋体" w:cs="宋体"/>
          <w:b w:val="0"/>
          <w:i w:val="0"/>
          <w:color w:val="auto"/>
          <w:sz w:val="21"/>
          <w:szCs w:val="21"/>
        </w:rPr>
        <w:t xml:space="preserve">   ※  键盘：3键</w:t>
      </w:r>
    </w:p>
    <w:p>
      <w:pPr>
        <w:autoSpaceDN w:val="0"/>
        <w:spacing w:line="270" w:lineRule="atLeast"/>
        <w:ind w:firstLine="0"/>
        <w:rPr>
          <w:rFonts w:hint="eastAsia" w:ascii="宋体" w:hAnsi="宋体" w:eastAsia="宋体" w:cs="宋体"/>
          <w:b w:val="0"/>
          <w:i w:val="0"/>
          <w:color w:val="auto"/>
          <w:sz w:val="21"/>
          <w:szCs w:val="21"/>
        </w:rPr>
      </w:pPr>
      <w:r>
        <w:rPr>
          <w:rFonts w:hint="eastAsia" w:ascii="宋体" w:hAnsi="宋体" w:eastAsia="宋体" w:cs="宋体"/>
          <w:b w:val="0"/>
          <w:i w:val="0"/>
          <w:color w:val="auto"/>
          <w:sz w:val="21"/>
          <w:szCs w:val="21"/>
        </w:rPr>
        <w:t xml:space="preserve">   ※  直接读数：测量值，电池，数据记录状态，泵状态</w:t>
      </w:r>
    </w:p>
    <w:p>
      <w:pPr>
        <w:autoSpaceDN w:val="0"/>
        <w:spacing w:line="270" w:lineRule="atLeast"/>
        <w:ind w:firstLine="0"/>
        <w:rPr>
          <w:rFonts w:hint="eastAsia" w:ascii="宋体" w:hAnsi="宋体" w:eastAsia="宋体" w:cs="宋体"/>
          <w:b w:val="0"/>
          <w:i w:val="0"/>
          <w:color w:val="auto"/>
          <w:sz w:val="21"/>
          <w:szCs w:val="21"/>
        </w:rPr>
      </w:pPr>
      <w:r>
        <w:rPr>
          <w:rFonts w:hint="eastAsia" w:ascii="宋体" w:hAnsi="宋体" w:eastAsia="宋体" w:cs="宋体"/>
          <w:b w:val="0"/>
          <w:i w:val="0"/>
          <w:color w:val="auto"/>
          <w:sz w:val="21"/>
          <w:szCs w:val="21"/>
        </w:rPr>
        <w:t xml:space="preserve">   ※  采样方式：泵吸式/扩散式</w:t>
      </w:r>
    </w:p>
    <w:p>
      <w:pPr>
        <w:autoSpaceDN w:val="0"/>
        <w:spacing w:line="270" w:lineRule="atLeast"/>
        <w:ind w:firstLine="0"/>
        <w:rPr>
          <w:rFonts w:hint="eastAsia" w:ascii="宋体" w:hAnsi="宋体" w:eastAsia="宋体" w:cs="宋体"/>
          <w:b w:val="0"/>
          <w:i w:val="0"/>
          <w:color w:val="auto"/>
          <w:sz w:val="21"/>
          <w:szCs w:val="21"/>
        </w:rPr>
      </w:pPr>
      <w:r>
        <w:rPr>
          <w:rFonts w:hint="eastAsia" w:ascii="宋体" w:hAnsi="宋体" w:eastAsia="宋体" w:cs="宋体"/>
          <w:b w:val="0"/>
          <w:i w:val="0"/>
          <w:color w:val="auto"/>
          <w:sz w:val="21"/>
          <w:szCs w:val="21"/>
        </w:rPr>
        <w:t xml:space="preserve">   ※  数据记录：1 分钟间隔(5毎传感器)可存储6个月</w:t>
      </w:r>
    </w:p>
    <w:p>
      <w:pPr>
        <w:autoSpaceDN w:val="0"/>
        <w:spacing w:line="270" w:lineRule="atLeast"/>
        <w:ind w:firstLine="0"/>
        <w:rPr>
          <w:rFonts w:hint="eastAsia" w:ascii="宋体" w:hAnsi="宋体" w:eastAsia="宋体" w:cs="宋体"/>
          <w:b w:val="0"/>
          <w:i w:val="0"/>
          <w:color w:val="auto"/>
          <w:sz w:val="21"/>
          <w:szCs w:val="21"/>
        </w:rPr>
      </w:pPr>
      <w:r>
        <w:rPr>
          <w:rFonts w:hint="eastAsia" w:ascii="宋体" w:hAnsi="宋体" w:eastAsia="宋体" w:cs="宋体"/>
          <w:b w:val="0"/>
          <w:i w:val="0"/>
          <w:color w:val="auto"/>
          <w:sz w:val="21"/>
          <w:szCs w:val="21"/>
        </w:rPr>
        <w:t xml:space="preserve">   ※  记录间隔：1-3600 秒</w:t>
      </w:r>
    </w:p>
    <w:p>
      <w:pPr>
        <w:autoSpaceDN w:val="0"/>
        <w:spacing w:line="270" w:lineRule="atLeast"/>
        <w:ind w:firstLine="0"/>
        <w:rPr>
          <w:rFonts w:hint="eastAsia" w:ascii="宋体" w:hAnsi="宋体" w:eastAsia="宋体" w:cs="宋体"/>
          <w:b w:val="0"/>
          <w:i w:val="0"/>
          <w:color w:val="auto"/>
          <w:sz w:val="21"/>
          <w:szCs w:val="21"/>
        </w:rPr>
      </w:pPr>
      <w:r>
        <w:rPr>
          <w:rFonts w:hint="eastAsia" w:ascii="宋体" w:hAnsi="宋体" w:eastAsia="宋体" w:cs="宋体"/>
          <w:b w:val="0"/>
          <w:i w:val="0"/>
          <w:color w:val="auto"/>
          <w:sz w:val="21"/>
          <w:szCs w:val="21"/>
        </w:rPr>
        <w:t xml:space="preserve">   ※  标定：两点标定，可设置标定值</w:t>
      </w:r>
    </w:p>
    <w:p>
      <w:pPr>
        <w:autoSpaceDN w:val="0"/>
        <w:spacing w:line="270" w:lineRule="atLeast"/>
        <w:ind w:firstLine="0"/>
        <w:rPr>
          <w:rFonts w:hint="eastAsia" w:ascii="宋体" w:hAnsi="宋体" w:eastAsia="宋体" w:cs="宋体"/>
          <w:b w:val="0"/>
          <w:i w:val="0"/>
          <w:color w:val="auto"/>
          <w:sz w:val="21"/>
          <w:szCs w:val="21"/>
        </w:rPr>
      </w:pPr>
      <w:r>
        <w:rPr>
          <w:rFonts w:hint="eastAsia" w:ascii="宋体" w:hAnsi="宋体" w:eastAsia="宋体" w:cs="宋体"/>
          <w:b w:val="0"/>
          <w:i w:val="0"/>
          <w:color w:val="auto"/>
          <w:sz w:val="21"/>
          <w:szCs w:val="21"/>
        </w:rPr>
        <w:t xml:space="preserve">   ※  防护等级：IP-65</w:t>
      </w:r>
    </w:p>
    <w:p>
      <w:pPr>
        <w:autoSpaceDN w:val="0"/>
        <w:spacing w:line="270" w:lineRule="atLeast"/>
        <w:ind w:firstLine="0"/>
        <w:rPr>
          <w:rFonts w:hint="eastAsia" w:ascii="宋体" w:hAnsi="宋体" w:eastAsia="宋体" w:cs="宋体"/>
          <w:b w:val="0"/>
          <w:i w:val="0"/>
          <w:color w:val="auto"/>
          <w:sz w:val="21"/>
          <w:szCs w:val="21"/>
        </w:rPr>
      </w:pPr>
      <w:r>
        <w:rPr>
          <w:rFonts w:hint="eastAsia" w:ascii="宋体" w:hAnsi="宋体" w:eastAsia="宋体" w:cs="宋体"/>
          <w:b w:val="0"/>
          <w:i w:val="0"/>
          <w:color w:val="auto"/>
          <w:sz w:val="21"/>
          <w:szCs w:val="21"/>
        </w:rPr>
        <w:t xml:space="preserve">   ※  标定设备：支持AutoRAE Lite 2 自动标定平台</w:t>
      </w:r>
    </w:p>
    <w:p>
      <w:pPr>
        <w:autoSpaceDN w:val="0"/>
        <w:spacing w:line="270" w:lineRule="atLeast"/>
        <w:ind w:firstLine="0"/>
        <w:rPr>
          <w:rFonts w:hint="eastAsia" w:ascii="宋体" w:hAnsi="宋体" w:eastAsia="宋体" w:cs="宋体"/>
          <w:b w:val="0"/>
          <w:i w:val="0"/>
          <w:color w:val="auto"/>
          <w:sz w:val="21"/>
          <w:szCs w:val="21"/>
        </w:rPr>
      </w:pPr>
      <w:r>
        <w:rPr>
          <w:rFonts w:hint="eastAsia" w:ascii="宋体" w:hAnsi="宋体" w:eastAsia="宋体" w:cs="宋体"/>
          <w:b w:val="0"/>
          <w:i w:val="0"/>
          <w:color w:val="auto"/>
          <w:sz w:val="21"/>
          <w:szCs w:val="21"/>
        </w:rPr>
        <w:t xml:space="preserve">   ※  保护：标定、报警等限值设置有密码保护</w:t>
      </w:r>
    </w:p>
    <w:p>
      <w:pPr>
        <w:autoSpaceDN w:val="0"/>
        <w:spacing w:line="270" w:lineRule="atLeast"/>
        <w:ind w:firstLine="0"/>
        <w:rPr>
          <w:rFonts w:hint="eastAsia" w:ascii="宋体" w:hAnsi="宋体" w:eastAsia="宋体" w:cs="宋体"/>
          <w:b w:val="0"/>
          <w:i w:val="0"/>
          <w:color w:val="auto"/>
          <w:sz w:val="21"/>
          <w:szCs w:val="21"/>
        </w:rPr>
      </w:pPr>
      <w:r>
        <w:rPr>
          <w:rFonts w:hint="eastAsia" w:ascii="宋体" w:hAnsi="宋体" w:eastAsia="宋体" w:cs="宋体"/>
          <w:b w:val="0"/>
          <w:i w:val="0"/>
          <w:color w:val="auto"/>
          <w:sz w:val="21"/>
          <w:szCs w:val="21"/>
        </w:rPr>
        <w:t>传感器量程：</w:t>
      </w:r>
      <w:r>
        <w:rPr>
          <w:rFonts w:hint="eastAsia" w:ascii="宋体" w:hAnsi="宋体" w:cs="宋体"/>
          <w:b w:val="0"/>
          <w:i w:val="0"/>
          <w:color w:val="auto"/>
          <w:sz w:val="21"/>
          <w:szCs w:val="21"/>
          <w:lang w:eastAsia="zh-CN"/>
        </w:rPr>
        <w:t>（选配气体）</w:t>
      </w:r>
    </w:p>
    <w:tbl>
      <w:tblPr>
        <w:tblStyle w:val="4"/>
        <w:tblW w:w="8505" w:type="dxa"/>
        <w:tblCellSpacing w:w="15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5" w:type="dxa"/>
          <w:bottom w:w="0" w:type="dxa"/>
          <w:right w:w="15" w:type="dxa"/>
        </w:tblCellMar>
      </w:tblPr>
      <w:tblGrid>
        <w:gridCol w:w="2190"/>
        <w:gridCol w:w="2145"/>
        <w:gridCol w:w="2130"/>
        <w:gridCol w:w="204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5" w:type="dxa"/>
            <w:bottom w:w="0" w:type="dxa"/>
            <w:right w:w="15" w:type="dxa"/>
          </w:tblCellMar>
        </w:tblPrEx>
        <w:trPr>
          <w:tblCellSpacing w:w="15" w:type="dxa"/>
        </w:trPr>
        <w:tc>
          <w:tcPr>
            <w:tcW w:w="2145" w:type="dxa"/>
            <w:vAlign w:val="top"/>
          </w:tcPr>
          <w:p>
            <w:pPr>
              <w:autoSpaceDN w:val="0"/>
              <w:spacing w:line="23" w:lineRule="atLeast"/>
              <w:ind w:firstLine="0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气体种类</w:t>
            </w:r>
          </w:p>
        </w:tc>
        <w:tc>
          <w:tcPr>
            <w:tcW w:w="2115" w:type="dxa"/>
            <w:vAlign w:val="top"/>
          </w:tcPr>
          <w:p>
            <w:pPr>
              <w:autoSpaceDN w:val="0"/>
              <w:spacing w:line="23" w:lineRule="atLeast"/>
              <w:ind w:firstLine="0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量程 / 分辨率</w:t>
            </w:r>
          </w:p>
        </w:tc>
        <w:tc>
          <w:tcPr>
            <w:tcW w:w="2100" w:type="dxa"/>
            <w:vAlign w:val="top"/>
          </w:tcPr>
          <w:p>
            <w:pPr>
              <w:autoSpaceDN w:val="0"/>
              <w:spacing w:line="23" w:lineRule="atLeast"/>
              <w:ind w:firstLine="0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气体种类</w:t>
            </w:r>
          </w:p>
        </w:tc>
        <w:tc>
          <w:tcPr>
            <w:tcW w:w="1995" w:type="dxa"/>
            <w:vAlign w:val="top"/>
          </w:tcPr>
          <w:p>
            <w:pPr>
              <w:autoSpaceDN w:val="0"/>
              <w:spacing w:line="23" w:lineRule="atLeast"/>
              <w:ind w:firstLine="0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量程 / 分辨率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5" w:type="dxa"/>
            <w:bottom w:w="0" w:type="dxa"/>
            <w:right w:w="15" w:type="dxa"/>
          </w:tblCellMar>
        </w:tblPrEx>
        <w:trPr>
          <w:tblCellSpacing w:w="15" w:type="dxa"/>
        </w:trPr>
        <w:tc>
          <w:tcPr>
            <w:tcW w:w="2145" w:type="dxa"/>
            <w:vAlign w:val="center"/>
          </w:tcPr>
          <w:p>
            <w:pPr>
              <w:autoSpaceDN w:val="0"/>
              <w:spacing w:line="23" w:lineRule="atLeast"/>
              <w:ind w:firstLine="0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伽玛射线</w:t>
            </w:r>
          </w:p>
          <w:p>
            <w:pPr>
              <w:autoSpaceDN w:val="0"/>
              <w:spacing w:line="23" w:lineRule="atLeast"/>
              <w:ind w:firstLine="0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伽玛射线剂量</w:t>
            </w:r>
          </w:p>
        </w:tc>
        <w:tc>
          <w:tcPr>
            <w:tcW w:w="2115" w:type="dxa"/>
            <w:vAlign w:val="center"/>
          </w:tcPr>
          <w:p>
            <w:pPr>
              <w:autoSpaceDN w:val="0"/>
              <w:spacing w:line="23" w:lineRule="atLeast"/>
              <w:ind w:firstLine="0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0～20,000 / 1mREM/h</w:t>
            </w:r>
          </w:p>
          <w:p>
            <w:pPr>
              <w:autoSpaceDN w:val="0"/>
              <w:spacing w:line="23" w:lineRule="atLeast"/>
              <w:ind w:firstLine="0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1mREM/h～4.29REM/h</w:t>
            </w:r>
          </w:p>
        </w:tc>
        <w:tc>
          <w:tcPr>
            <w:tcW w:w="2100" w:type="dxa"/>
            <w:vAlign w:val="center"/>
          </w:tcPr>
          <w:p>
            <w:pPr>
              <w:autoSpaceDN w:val="0"/>
              <w:spacing w:line="23" w:lineRule="atLeast"/>
              <w:ind w:firstLine="0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甲醛HCHO</w:t>
            </w:r>
          </w:p>
        </w:tc>
        <w:tc>
          <w:tcPr>
            <w:tcW w:w="1995" w:type="dxa"/>
            <w:vAlign w:val="center"/>
          </w:tcPr>
          <w:p>
            <w:pPr>
              <w:autoSpaceDN w:val="0"/>
              <w:spacing w:line="23" w:lineRule="atLeast"/>
              <w:ind w:firstLine="0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0～10 / 0.01ppm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5" w:type="dxa"/>
            <w:bottom w:w="0" w:type="dxa"/>
            <w:right w:w="15" w:type="dxa"/>
          </w:tblCellMar>
        </w:tblPrEx>
        <w:trPr>
          <w:trHeight w:val="90" w:hRule="atLeast"/>
          <w:tblCellSpacing w:w="15" w:type="dxa"/>
        </w:trPr>
        <w:tc>
          <w:tcPr>
            <w:tcW w:w="2145" w:type="dxa"/>
            <w:vAlign w:val="center"/>
          </w:tcPr>
          <w:p>
            <w:pPr>
              <w:autoSpaceDN w:val="0"/>
              <w:spacing w:line="23" w:lineRule="atLeast"/>
              <w:ind w:firstLine="0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TVOC*</w:t>
            </w:r>
          </w:p>
        </w:tc>
        <w:tc>
          <w:tcPr>
            <w:tcW w:w="2115" w:type="dxa"/>
            <w:vAlign w:val="center"/>
          </w:tcPr>
          <w:p>
            <w:pPr>
              <w:autoSpaceDN w:val="0"/>
              <w:spacing w:line="23" w:lineRule="atLeast"/>
              <w:ind w:firstLine="0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0～5,000 / 0.1ppm</w:t>
            </w:r>
          </w:p>
        </w:tc>
        <w:tc>
          <w:tcPr>
            <w:tcW w:w="2100" w:type="dxa"/>
            <w:vAlign w:val="center"/>
          </w:tcPr>
          <w:p>
            <w:pPr>
              <w:autoSpaceDN w:val="0"/>
              <w:spacing w:line="23" w:lineRule="atLeast"/>
              <w:ind w:firstLine="0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氢气H2</w:t>
            </w:r>
          </w:p>
        </w:tc>
        <w:tc>
          <w:tcPr>
            <w:tcW w:w="1995" w:type="dxa"/>
            <w:vAlign w:val="center"/>
          </w:tcPr>
          <w:p>
            <w:pPr>
              <w:autoSpaceDN w:val="0"/>
              <w:spacing w:line="23" w:lineRule="atLeast"/>
              <w:ind w:firstLine="0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0～1,000 / 2ppm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5" w:type="dxa"/>
            <w:bottom w:w="0" w:type="dxa"/>
            <w:right w:w="15" w:type="dxa"/>
          </w:tblCellMar>
        </w:tblPrEx>
        <w:trPr>
          <w:tblCellSpacing w:w="15" w:type="dxa"/>
        </w:trPr>
        <w:tc>
          <w:tcPr>
            <w:tcW w:w="2145" w:type="dxa"/>
            <w:vAlign w:val="center"/>
          </w:tcPr>
          <w:p>
            <w:pPr>
              <w:autoSpaceDN w:val="0"/>
              <w:spacing w:line="23" w:lineRule="atLeast"/>
              <w:ind w:firstLine="0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TVOC</w:t>
            </w:r>
          </w:p>
        </w:tc>
        <w:tc>
          <w:tcPr>
            <w:tcW w:w="2115" w:type="dxa"/>
            <w:vAlign w:val="center"/>
          </w:tcPr>
          <w:p>
            <w:pPr>
              <w:autoSpaceDN w:val="0"/>
              <w:spacing w:line="23" w:lineRule="atLeast"/>
              <w:ind w:firstLine="0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0～2,000 / 10ppb</w:t>
            </w:r>
          </w:p>
        </w:tc>
        <w:tc>
          <w:tcPr>
            <w:tcW w:w="2100" w:type="dxa"/>
            <w:vAlign w:val="center"/>
          </w:tcPr>
          <w:p>
            <w:pPr>
              <w:autoSpaceDN w:val="0"/>
              <w:spacing w:line="23" w:lineRule="atLeast"/>
              <w:ind w:firstLine="0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盐酸HCl</w:t>
            </w:r>
          </w:p>
        </w:tc>
        <w:tc>
          <w:tcPr>
            <w:tcW w:w="1995" w:type="dxa"/>
            <w:vAlign w:val="center"/>
          </w:tcPr>
          <w:p>
            <w:pPr>
              <w:autoSpaceDN w:val="0"/>
              <w:spacing w:line="23" w:lineRule="atLeast"/>
              <w:ind w:firstLine="0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0～15 / 0.2 ppm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5" w:type="dxa"/>
            <w:bottom w:w="0" w:type="dxa"/>
            <w:right w:w="15" w:type="dxa"/>
          </w:tblCellMar>
        </w:tblPrEx>
        <w:trPr>
          <w:tblCellSpacing w:w="15" w:type="dxa"/>
        </w:trPr>
        <w:tc>
          <w:tcPr>
            <w:tcW w:w="2145" w:type="dxa"/>
            <w:vAlign w:val="center"/>
          </w:tcPr>
          <w:p>
            <w:pPr>
              <w:autoSpaceDN w:val="0"/>
              <w:spacing w:line="23" w:lineRule="atLeast"/>
              <w:ind w:firstLine="0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LEL</w:t>
            </w:r>
          </w:p>
        </w:tc>
        <w:tc>
          <w:tcPr>
            <w:tcW w:w="2115" w:type="dxa"/>
            <w:vAlign w:val="center"/>
          </w:tcPr>
          <w:p>
            <w:pPr>
              <w:autoSpaceDN w:val="0"/>
              <w:spacing w:line="23" w:lineRule="atLeast"/>
              <w:ind w:firstLine="0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0～100 / 1%LEL</w:t>
            </w:r>
          </w:p>
        </w:tc>
        <w:tc>
          <w:tcPr>
            <w:tcW w:w="2100" w:type="dxa"/>
            <w:vAlign w:val="center"/>
          </w:tcPr>
          <w:p>
            <w:pPr>
              <w:autoSpaceDN w:val="0"/>
              <w:spacing w:line="23" w:lineRule="atLeast"/>
              <w:ind w:firstLine="0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氰化氢HCN</w:t>
            </w:r>
          </w:p>
        </w:tc>
        <w:tc>
          <w:tcPr>
            <w:tcW w:w="1995" w:type="dxa"/>
            <w:vAlign w:val="center"/>
          </w:tcPr>
          <w:p>
            <w:pPr>
              <w:autoSpaceDN w:val="0"/>
              <w:spacing w:line="23" w:lineRule="atLeast"/>
              <w:ind w:firstLine="0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0～50 / 0.5ppm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5" w:type="dxa"/>
            <w:bottom w:w="0" w:type="dxa"/>
            <w:right w:w="15" w:type="dxa"/>
          </w:tblCellMar>
        </w:tblPrEx>
        <w:trPr>
          <w:tblCellSpacing w:w="15" w:type="dxa"/>
        </w:trPr>
        <w:tc>
          <w:tcPr>
            <w:tcW w:w="2145" w:type="dxa"/>
            <w:vAlign w:val="center"/>
          </w:tcPr>
          <w:p>
            <w:pPr>
              <w:autoSpaceDN w:val="0"/>
              <w:spacing w:line="23" w:lineRule="atLeast"/>
              <w:ind w:firstLine="0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LEL</w:t>
            </w:r>
          </w:p>
        </w:tc>
        <w:tc>
          <w:tcPr>
            <w:tcW w:w="2115" w:type="dxa"/>
            <w:vAlign w:val="center"/>
          </w:tcPr>
          <w:p>
            <w:pPr>
              <w:autoSpaceDN w:val="0"/>
              <w:spacing w:line="23" w:lineRule="atLeast"/>
              <w:ind w:firstLine="0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0～100 / 1%Vol.</w:t>
            </w:r>
          </w:p>
        </w:tc>
        <w:tc>
          <w:tcPr>
            <w:tcW w:w="2100" w:type="dxa"/>
            <w:vAlign w:val="center"/>
          </w:tcPr>
          <w:p>
            <w:pPr>
              <w:autoSpaceDN w:val="0"/>
              <w:spacing w:line="23" w:lineRule="atLeast"/>
              <w:ind w:firstLine="0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氢氟酸HF</w:t>
            </w:r>
          </w:p>
        </w:tc>
        <w:tc>
          <w:tcPr>
            <w:tcW w:w="1995" w:type="dxa"/>
            <w:vAlign w:val="center"/>
          </w:tcPr>
          <w:p>
            <w:pPr>
              <w:autoSpaceDN w:val="0"/>
              <w:spacing w:line="23" w:lineRule="atLeast"/>
              <w:ind w:firstLine="0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0～10 / 0.1ppm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5" w:type="dxa"/>
            <w:bottom w:w="0" w:type="dxa"/>
            <w:right w:w="15" w:type="dxa"/>
          </w:tblCellMar>
        </w:tblPrEx>
        <w:trPr>
          <w:tblCellSpacing w:w="15" w:type="dxa"/>
        </w:trPr>
        <w:tc>
          <w:tcPr>
            <w:tcW w:w="2145" w:type="dxa"/>
            <w:vAlign w:val="center"/>
          </w:tcPr>
          <w:p>
            <w:pPr>
              <w:autoSpaceDN w:val="0"/>
              <w:spacing w:line="23" w:lineRule="atLeast"/>
              <w:ind w:firstLine="0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二氧化碳CO2</w:t>
            </w:r>
          </w:p>
        </w:tc>
        <w:tc>
          <w:tcPr>
            <w:tcW w:w="2115" w:type="dxa"/>
            <w:vAlign w:val="center"/>
          </w:tcPr>
          <w:p>
            <w:pPr>
              <w:autoSpaceDN w:val="0"/>
              <w:spacing w:line="23" w:lineRule="atLeast"/>
              <w:ind w:firstLine="0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0～50,000 / 100ppm</w:t>
            </w:r>
          </w:p>
        </w:tc>
        <w:tc>
          <w:tcPr>
            <w:tcW w:w="2100" w:type="dxa"/>
            <w:vAlign w:val="center"/>
          </w:tcPr>
          <w:p>
            <w:pPr>
              <w:autoSpaceDN w:val="0"/>
              <w:spacing w:line="23" w:lineRule="atLeast"/>
              <w:ind w:firstLine="0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硫化氢H2S</w:t>
            </w:r>
          </w:p>
        </w:tc>
        <w:tc>
          <w:tcPr>
            <w:tcW w:w="1995" w:type="dxa"/>
            <w:vAlign w:val="center"/>
          </w:tcPr>
          <w:p>
            <w:pPr>
              <w:autoSpaceDN w:val="0"/>
              <w:spacing w:line="23" w:lineRule="atLeast"/>
              <w:ind w:firstLine="0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0～100 / 0.1ppm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5" w:type="dxa"/>
            <w:bottom w:w="0" w:type="dxa"/>
            <w:right w:w="15" w:type="dxa"/>
          </w:tblCellMar>
        </w:tblPrEx>
        <w:trPr>
          <w:tblCellSpacing w:w="15" w:type="dxa"/>
        </w:trPr>
        <w:tc>
          <w:tcPr>
            <w:tcW w:w="2145" w:type="dxa"/>
            <w:vAlign w:val="center"/>
          </w:tcPr>
          <w:p>
            <w:pPr>
              <w:autoSpaceDN w:val="0"/>
              <w:spacing w:line="23" w:lineRule="atLeast"/>
              <w:ind w:firstLine="0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氨气NH3</w:t>
            </w:r>
          </w:p>
        </w:tc>
        <w:tc>
          <w:tcPr>
            <w:tcW w:w="2115" w:type="dxa"/>
            <w:vAlign w:val="center"/>
          </w:tcPr>
          <w:p>
            <w:pPr>
              <w:autoSpaceDN w:val="0"/>
              <w:spacing w:line="23" w:lineRule="atLeast"/>
              <w:ind w:firstLine="0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0～100 / 1ppm</w:t>
            </w:r>
          </w:p>
        </w:tc>
        <w:tc>
          <w:tcPr>
            <w:tcW w:w="2100" w:type="dxa"/>
            <w:vAlign w:val="center"/>
          </w:tcPr>
          <w:p>
            <w:pPr>
              <w:autoSpaceDN w:val="0"/>
              <w:spacing w:line="23" w:lineRule="atLeast"/>
              <w:ind w:firstLine="0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硫化氢H2S</w:t>
            </w:r>
          </w:p>
        </w:tc>
        <w:tc>
          <w:tcPr>
            <w:tcW w:w="1995" w:type="dxa"/>
            <w:vAlign w:val="center"/>
          </w:tcPr>
          <w:p>
            <w:pPr>
              <w:autoSpaceDN w:val="0"/>
              <w:spacing w:line="23" w:lineRule="atLeast"/>
              <w:ind w:firstLine="0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0～1,000 / 1ppm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5" w:type="dxa"/>
            <w:bottom w:w="0" w:type="dxa"/>
            <w:right w:w="15" w:type="dxa"/>
          </w:tblCellMar>
        </w:tblPrEx>
        <w:trPr>
          <w:tblCellSpacing w:w="15" w:type="dxa"/>
        </w:trPr>
        <w:tc>
          <w:tcPr>
            <w:tcW w:w="2145" w:type="dxa"/>
            <w:vAlign w:val="center"/>
          </w:tcPr>
          <w:p>
            <w:pPr>
              <w:autoSpaceDN w:val="0"/>
              <w:spacing w:line="23" w:lineRule="atLeast"/>
              <w:ind w:firstLine="0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一氧化碳CO</w:t>
            </w:r>
          </w:p>
        </w:tc>
        <w:tc>
          <w:tcPr>
            <w:tcW w:w="2115" w:type="dxa"/>
            <w:vAlign w:val="center"/>
          </w:tcPr>
          <w:p>
            <w:pPr>
              <w:autoSpaceDN w:val="0"/>
              <w:spacing w:line="23" w:lineRule="atLeast"/>
              <w:ind w:firstLine="0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0～500 / 1ppm</w:t>
            </w:r>
          </w:p>
        </w:tc>
        <w:tc>
          <w:tcPr>
            <w:tcW w:w="2100" w:type="dxa"/>
            <w:vAlign w:val="center"/>
          </w:tcPr>
          <w:p>
            <w:pPr>
              <w:autoSpaceDN w:val="0"/>
              <w:spacing w:line="23" w:lineRule="atLeast"/>
              <w:ind w:firstLine="0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甲硫醇CH3-SH</w:t>
            </w:r>
          </w:p>
        </w:tc>
        <w:tc>
          <w:tcPr>
            <w:tcW w:w="1995" w:type="dxa"/>
            <w:vAlign w:val="center"/>
          </w:tcPr>
          <w:p>
            <w:pPr>
              <w:autoSpaceDN w:val="0"/>
              <w:spacing w:line="23" w:lineRule="atLeast"/>
              <w:ind w:firstLine="0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0～10 / 0.1 ppm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5" w:type="dxa"/>
            <w:bottom w:w="0" w:type="dxa"/>
            <w:right w:w="15" w:type="dxa"/>
          </w:tblCellMar>
        </w:tblPrEx>
        <w:trPr>
          <w:tblCellSpacing w:w="15" w:type="dxa"/>
        </w:trPr>
        <w:tc>
          <w:tcPr>
            <w:tcW w:w="2145" w:type="dxa"/>
            <w:vAlign w:val="center"/>
          </w:tcPr>
          <w:p>
            <w:pPr>
              <w:autoSpaceDN w:val="0"/>
              <w:spacing w:line="23" w:lineRule="atLeast"/>
              <w:ind w:firstLine="0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一氧化碳CO</w:t>
            </w:r>
          </w:p>
        </w:tc>
        <w:tc>
          <w:tcPr>
            <w:tcW w:w="2115" w:type="dxa"/>
            <w:vAlign w:val="center"/>
          </w:tcPr>
          <w:p>
            <w:pPr>
              <w:autoSpaceDN w:val="0"/>
              <w:spacing w:line="23" w:lineRule="atLeast"/>
              <w:ind w:firstLine="0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0～2,000 / 1ppm</w:t>
            </w:r>
          </w:p>
        </w:tc>
        <w:tc>
          <w:tcPr>
            <w:tcW w:w="2100" w:type="dxa"/>
            <w:vAlign w:val="center"/>
          </w:tcPr>
          <w:p>
            <w:pPr>
              <w:autoSpaceDN w:val="0"/>
              <w:spacing w:line="23" w:lineRule="atLeast"/>
              <w:ind w:firstLine="0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一氧化氮NO</w:t>
            </w:r>
          </w:p>
        </w:tc>
        <w:tc>
          <w:tcPr>
            <w:tcW w:w="1995" w:type="dxa"/>
            <w:vAlign w:val="center"/>
          </w:tcPr>
          <w:p>
            <w:pPr>
              <w:autoSpaceDN w:val="0"/>
              <w:spacing w:line="23" w:lineRule="atLeast"/>
              <w:ind w:firstLine="0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0～250 / 1 ppm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tblCellSpacing w:w="15" w:type="dxa"/>
        </w:trPr>
        <w:tc>
          <w:tcPr>
            <w:tcW w:w="2145" w:type="dxa"/>
            <w:vAlign w:val="center"/>
          </w:tcPr>
          <w:p>
            <w:pPr>
              <w:autoSpaceDN w:val="0"/>
              <w:spacing w:line="23" w:lineRule="atLeast"/>
              <w:ind w:firstLine="0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氯气Cl2</w:t>
            </w:r>
          </w:p>
        </w:tc>
        <w:tc>
          <w:tcPr>
            <w:tcW w:w="2115" w:type="dxa"/>
            <w:vAlign w:val="center"/>
          </w:tcPr>
          <w:p>
            <w:pPr>
              <w:autoSpaceDN w:val="0"/>
              <w:spacing w:line="23" w:lineRule="atLeast"/>
              <w:ind w:firstLine="0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0～50 / 0.1ppm</w:t>
            </w:r>
          </w:p>
        </w:tc>
        <w:tc>
          <w:tcPr>
            <w:tcW w:w="2100" w:type="dxa"/>
            <w:vAlign w:val="center"/>
          </w:tcPr>
          <w:p>
            <w:pPr>
              <w:autoSpaceDN w:val="0"/>
              <w:spacing w:line="23" w:lineRule="atLeast"/>
              <w:ind w:firstLine="0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二氧化氮NO2</w:t>
            </w:r>
          </w:p>
        </w:tc>
        <w:tc>
          <w:tcPr>
            <w:tcW w:w="1995" w:type="dxa"/>
            <w:vAlign w:val="center"/>
          </w:tcPr>
          <w:p>
            <w:pPr>
              <w:autoSpaceDN w:val="0"/>
              <w:spacing w:line="23" w:lineRule="atLeast"/>
              <w:ind w:firstLine="0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0～20 / 0.1ppm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5" w:type="dxa"/>
            <w:bottom w:w="0" w:type="dxa"/>
            <w:right w:w="15" w:type="dxa"/>
          </w:tblCellMar>
        </w:tblPrEx>
        <w:trPr>
          <w:tblCellSpacing w:w="15" w:type="dxa"/>
        </w:trPr>
        <w:tc>
          <w:tcPr>
            <w:tcW w:w="2145" w:type="dxa"/>
            <w:vAlign w:val="center"/>
          </w:tcPr>
          <w:p>
            <w:pPr>
              <w:autoSpaceDN w:val="0"/>
              <w:spacing w:line="23" w:lineRule="atLeast"/>
              <w:ind w:firstLine="0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二氧化氯ClO2</w:t>
            </w:r>
          </w:p>
        </w:tc>
        <w:tc>
          <w:tcPr>
            <w:tcW w:w="2115" w:type="dxa"/>
            <w:vAlign w:val="center"/>
          </w:tcPr>
          <w:p>
            <w:pPr>
              <w:autoSpaceDN w:val="0"/>
              <w:spacing w:line="23" w:lineRule="atLeast"/>
              <w:ind w:firstLine="0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0～1 / 0.03ppm</w:t>
            </w:r>
          </w:p>
        </w:tc>
        <w:tc>
          <w:tcPr>
            <w:tcW w:w="2100" w:type="dxa"/>
            <w:vAlign w:val="top"/>
          </w:tcPr>
          <w:p>
            <w:pPr>
              <w:autoSpaceDN w:val="0"/>
              <w:spacing w:line="23" w:lineRule="atLeast"/>
              <w:ind w:firstLine="0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氧气O2</w:t>
            </w:r>
          </w:p>
        </w:tc>
        <w:tc>
          <w:tcPr>
            <w:tcW w:w="1995" w:type="dxa"/>
            <w:vAlign w:val="center"/>
          </w:tcPr>
          <w:p>
            <w:pPr>
              <w:autoSpaceDN w:val="0"/>
              <w:spacing w:line="23" w:lineRule="atLeast"/>
              <w:ind w:firstLine="0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0～30 / 0.1%Vol.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5" w:type="dxa"/>
            <w:bottom w:w="0" w:type="dxa"/>
            <w:right w:w="15" w:type="dxa"/>
          </w:tblCellMar>
        </w:tblPrEx>
        <w:trPr>
          <w:tblCellSpacing w:w="15" w:type="dxa"/>
        </w:trPr>
        <w:tc>
          <w:tcPr>
            <w:tcW w:w="2145" w:type="dxa"/>
            <w:vAlign w:val="center"/>
          </w:tcPr>
          <w:p>
            <w:pPr>
              <w:autoSpaceDN w:val="0"/>
              <w:spacing w:line="23" w:lineRule="atLeast"/>
              <w:ind w:firstLine="0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环氧乙烷EtO-A</w:t>
            </w:r>
          </w:p>
        </w:tc>
        <w:tc>
          <w:tcPr>
            <w:tcW w:w="2115" w:type="dxa"/>
            <w:vAlign w:val="center"/>
          </w:tcPr>
          <w:p>
            <w:pPr>
              <w:autoSpaceDN w:val="0"/>
              <w:spacing w:line="23" w:lineRule="atLeast"/>
              <w:ind w:firstLine="0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0～100 / 0.5ppm</w:t>
            </w:r>
          </w:p>
        </w:tc>
        <w:tc>
          <w:tcPr>
            <w:tcW w:w="2100" w:type="dxa"/>
            <w:vAlign w:val="center"/>
          </w:tcPr>
          <w:p>
            <w:pPr>
              <w:autoSpaceDN w:val="0"/>
              <w:spacing w:line="23" w:lineRule="atLeast"/>
              <w:ind w:firstLine="0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光气COCl2</w:t>
            </w:r>
          </w:p>
        </w:tc>
        <w:tc>
          <w:tcPr>
            <w:tcW w:w="1995" w:type="dxa"/>
            <w:vAlign w:val="center"/>
          </w:tcPr>
          <w:p>
            <w:pPr>
              <w:autoSpaceDN w:val="0"/>
              <w:spacing w:line="23" w:lineRule="atLeast"/>
              <w:ind w:firstLine="0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0～1 / 0.02ppm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5" w:type="dxa"/>
            <w:bottom w:w="0" w:type="dxa"/>
            <w:right w:w="15" w:type="dxa"/>
          </w:tblCellMar>
        </w:tblPrEx>
        <w:trPr>
          <w:tblCellSpacing w:w="15" w:type="dxa"/>
        </w:trPr>
        <w:tc>
          <w:tcPr>
            <w:tcW w:w="2145" w:type="dxa"/>
            <w:vAlign w:val="center"/>
          </w:tcPr>
          <w:p>
            <w:pPr>
              <w:autoSpaceDN w:val="0"/>
              <w:spacing w:line="23" w:lineRule="atLeast"/>
              <w:ind w:firstLine="0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环氧乙烷EtO-B</w:t>
            </w:r>
          </w:p>
        </w:tc>
        <w:tc>
          <w:tcPr>
            <w:tcW w:w="2115" w:type="dxa"/>
            <w:vAlign w:val="center"/>
          </w:tcPr>
          <w:p>
            <w:pPr>
              <w:autoSpaceDN w:val="0"/>
              <w:spacing w:line="23" w:lineRule="atLeast"/>
              <w:ind w:firstLine="0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0～10 / 0.1ppm</w:t>
            </w:r>
          </w:p>
        </w:tc>
        <w:tc>
          <w:tcPr>
            <w:tcW w:w="2100" w:type="dxa"/>
            <w:vAlign w:val="center"/>
          </w:tcPr>
          <w:p>
            <w:pPr>
              <w:autoSpaceDN w:val="0"/>
              <w:spacing w:line="23" w:lineRule="atLeast"/>
              <w:ind w:firstLine="0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磷化氢PH3</w:t>
            </w:r>
          </w:p>
        </w:tc>
        <w:tc>
          <w:tcPr>
            <w:tcW w:w="1995" w:type="dxa"/>
            <w:vAlign w:val="center"/>
          </w:tcPr>
          <w:p>
            <w:pPr>
              <w:autoSpaceDN w:val="0"/>
              <w:spacing w:line="23" w:lineRule="atLeast"/>
              <w:ind w:firstLine="0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0～20 / 0.1ppm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5" w:type="dxa"/>
            <w:bottom w:w="0" w:type="dxa"/>
            <w:right w:w="15" w:type="dxa"/>
          </w:tblCellMar>
        </w:tblPrEx>
        <w:trPr>
          <w:tblCellSpacing w:w="15" w:type="dxa"/>
        </w:trPr>
        <w:tc>
          <w:tcPr>
            <w:tcW w:w="2145" w:type="dxa"/>
            <w:vAlign w:val="center"/>
          </w:tcPr>
          <w:p>
            <w:pPr>
              <w:autoSpaceDN w:val="0"/>
              <w:spacing w:line="23" w:lineRule="atLeast"/>
              <w:ind w:firstLine="0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环氧乙烷EtO-C</w:t>
            </w:r>
          </w:p>
        </w:tc>
        <w:tc>
          <w:tcPr>
            <w:tcW w:w="2115" w:type="dxa"/>
            <w:vAlign w:val="center"/>
          </w:tcPr>
          <w:p>
            <w:pPr>
              <w:autoSpaceDN w:val="0"/>
              <w:spacing w:line="23" w:lineRule="atLeast"/>
              <w:ind w:firstLine="0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0～500 / 10ppm</w:t>
            </w:r>
          </w:p>
        </w:tc>
        <w:tc>
          <w:tcPr>
            <w:tcW w:w="2100" w:type="dxa"/>
            <w:vAlign w:val="center"/>
          </w:tcPr>
          <w:p>
            <w:pPr>
              <w:autoSpaceDN w:val="0"/>
              <w:spacing w:line="23" w:lineRule="atLeast"/>
              <w:ind w:firstLine="0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 xml:space="preserve"> </w:t>
            </w:r>
          </w:p>
        </w:tc>
        <w:tc>
          <w:tcPr>
            <w:tcW w:w="1995" w:type="dxa"/>
            <w:vAlign w:val="center"/>
          </w:tcPr>
          <w:p>
            <w:pPr>
              <w:autoSpaceDN w:val="0"/>
              <w:spacing w:line="23" w:lineRule="atLeast"/>
              <w:ind w:firstLine="0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 xml:space="preserve">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5" w:type="dxa"/>
            <w:bottom w:w="0" w:type="dxa"/>
            <w:right w:w="15" w:type="dxa"/>
          </w:tblCellMar>
        </w:tblPrEx>
        <w:trPr>
          <w:tblCellSpacing w:w="15" w:type="dxa"/>
        </w:trPr>
        <w:tc>
          <w:tcPr>
            <w:tcW w:w="2145" w:type="dxa"/>
            <w:vAlign w:val="center"/>
          </w:tcPr>
          <w:p>
            <w:pPr>
              <w:autoSpaceDN w:val="0"/>
              <w:spacing w:line="23" w:lineRule="atLeast"/>
              <w:ind w:firstLine="0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磷化氢PH3</w:t>
            </w:r>
          </w:p>
        </w:tc>
        <w:tc>
          <w:tcPr>
            <w:tcW w:w="2115" w:type="dxa"/>
            <w:vAlign w:val="center"/>
          </w:tcPr>
          <w:p>
            <w:pPr>
              <w:autoSpaceDN w:val="0"/>
              <w:spacing w:line="23" w:lineRule="atLeast"/>
              <w:ind w:firstLine="0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0～1,000 / 1ppm</w:t>
            </w:r>
          </w:p>
        </w:tc>
        <w:tc>
          <w:tcPr>
            <w:tcW w:w="2100" w:type="dxa"/>
            <w:vAlign w:val="center"/>
          </w:tcPr>
          <w:p>
            <w:pPr>
              <w:autoSpaceDN w:val="0"/>
              <w:spacing w:line="23" w:lineRule="atLeast"/>
              <w:ind w:firstLine="0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 xml:space="preserve"> </w:t>
            </w:r>
          </w:p>
        </w:tc>
        <w:tc>
          <w:tcPr>
            <w:tcW w:w="1995" w:type="dxa"/>
            <w:vAlign w:val="center"/>
          </w:tcPr>
          <w:p>
            <w:pPr>
              <w:autoSpaceDN w:val="0"/>
              <w:spacing w:line="23" w:lineRule="atLeast"/>
              <w:ind w:firstLine="0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 xml:space="preserve">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5" w:type="dxa"/>
            <w:bottom w:w="0" w:type="dxa"/>
            <w:right w:w="15" w:type="dxa"/>
          </w:tblCellMar>
        </w:tblPrEx>
        <w:trPr>
          <w:tblCellSpacing w:w="15" w:type="dxa"/>
        </w:trPr>
        <w:tc>
          <w:tcPr>
            <w:tcW w:w="2145" w:type="dxa"/>
            <w:vAlign w:val="center"/>
          </w:tcPr>
          <w:p>
            <w:pPr>
              <w:autoSpaceDN w:val="0"/>
              <w:spacing w:line="23" w:lineRule="atLeast"/>
              <w:ind w:firstLine="0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二氧化硫SO2</w:t>
            </w:r>
          </w:p>
        </w:tc>
        <w:tc>
          <w:tcPr>
            <w:tcW w:w="2115" w:type="dxa"/>
            <w:vAlign w:val="center"/>
          </w:tcPr>
          <w:p>
            <w:pPr>
              <w:autoSpaceDN w:val="0"/>
              <w:spacing w:line="23" w:lineRule="atLeast"/>
              <w:ind w:firstLine="0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0～20 / 0.1 ppm</w:t>
            </w:r>
          </w:p>
        </w:tc>
        <w:tc>
          <w:tcPr>
            <w:tcW w:w="2100" w:type="dxa"/>
            <w:vAlign w:val="center"/>
          </w:tcPr>
          <w:p>
            <w:pPr>
              <w:autoSpaceDN w:val="0"/>
              <w:spacing w:line="23" w:lineRule="atLeast"/>
              <w:ind w:firstLine="0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 xml:space="preserve"> </w:t>
            </w:r>
          </w:p>
        </w:tc>
        <w:tc>
          <w:tcPr>
            <w:tcW w:w="1995" w:type="dxa"/>
            <w:vAlign w:val="center"/>
          </w:tcPr>
          <w:p>
            <w:pPr>
              <w:autoSpaceDN w:val="0"/>
              <w:spacing w:line="23" w:lineRule="atLeast"/>
              <w:ind w:firstLine="0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 xml:space="preserve"> </w:t>
            </w:r>
          </w:p>
        </w:tc>
      </w:tr>
    </w:tbl>
    <w:p>
      <w:pPr>
        <w:autoSpaceDN w:val="0"/>
        <w:spacing w:line="270" w:lineRule="atLeast"/>
        <w:ind w:firstLine="0"/>
        <w:rPr>
          <w:rFonts w:hint="eastAsia" w:ascii="宋体" w:hAnsi="宋体" w:eastAsia="宋体" w:cs="宋体"/>
          <w:b w:val="0"/>
          <w:i w:val="0"/>
          <w:color w:val="auto"/>
          <w:sz w:val="21"/>
          <w:szCs w:val="21"/>
        </w:rPr>
      </w:pPr>
      <w:r>
        <w:rPr>
          <w:rFonts w:hint="eastAsia" w:ascii="宋体" w:hAnsi="宋体" w:eastAsia="宋体" w:cs="宋体"/>
          <w:b w:val="0"/>
          <w:i w:val="0"/>
          <w:color w:val="auto"/>
          <w:sz w:val="21"/>
          <w:szCs w:val="21"/>
        </w:rPr>
        <w:t>产品配置：</w:t>
      </w:r>
    </w:p>
    <w:p>
      <w:pPr>
        <w:autoSpaceDN w:val="0"/>
        <w:spacing w:line="270" w:lineRule="atLeast"/>
        <w:ind w:firstLine="0"/>
        <w:rPr>
          <w:rFonts w:hint="eastAsia" w:ascii="宋体" w:hAnsi="宋体" w:eastAsia="宋体" w:cs="宋体"/>
          <w:b w:val="0"/>
          <w:i w:val="0"/>
          <w:color w:val="auto"/>
          <w:sz w:val="21"/>
          <w:szCs w:val="21"/>
        </w:rPr>
      </w:pPr>
      <w:r>
        <w:rPr>
          <w:rFonts w:hint="eastAsia" w:ascii="宋体" w:hAnsi="宋体" w:eastAsia="宋体" w:cs="宋体"/>
          <w:b w:val="0"/>
          <w:i w:val="0"/>
          <w:color w:val="auto"/>
          <w:sz w:val="21"/>
          <w:szCs w:val="21"/>
        </w:rPr>
        <w:t>使用领域：</w:t>
      </w:r>
    </w:p>
    <w:p>
      <w:pPr>
        <w:autoSpaceDN w:val="0"/>
        <w:spacing w:line="270" w:lineRule="atLeast"/>
        <w:ind w:firstLine="0"/>
        <w:rPr>
          <w:rFonts w:hint="eastAsia" w:ascii="宋体" w:hAnsi="宋体" w:eastAsia="宋体" w:cs="宋体"/>
          <w:b w:val="0"/>
          <w:i w:val="0"/>
          <w:color w:val="auto"/>
          <w:sz w:val="21"/>
          <w:szCs w:val="21"/>
        </w:rPr>
      </w:pPr>
      <w:r>
        <w:rPr>
          <w:rFonts w:hint="eastAsia" w:ascii="宋体" w:hAnsi="宋体" w:eastAsia="宋体" w:cs="宋体"/>
          <w:b w:val="0"/>
          <w:i w:val="0"/>
          <w:color w:val="auto"/>
          <w:sz w:val="21"/>
          <w:szCs w:val="21"/>
        </w:rPr>
        <w:t>※  石油石化    ※  冶金    ※  环保    ※  消防    ※  应急救援监测    ※  城市公用事业安全检测    ※  危险化学物质检测</w:t>
      </w:r>
    </w:p>
    <w:p>
      <w:pPr>
        <w:autoSpaceDN w:val="0"/>
        <w:spacing w:line="270" w:lineRule="atLeast"/>
        <w:ind w:firstLine="0"/>
        <w:rPr>
          <w:rFonts w:hint="eastAsia" w:ascii="宋体" w:hAnsi="宋体" w:eastAsia="宋体" w:cs="宋体"/>
          <w:b w:val="0"/>
          <w:i w:val="0"/>
          <w:color w:val="auto"/>
          <w:sz w:val="21"/>
          <w:szCs w:val="21"/>
        </w:rPr>
      </w:pPr>
      <w:r>
        <w:rPr>
          <w:rFonts w:hint="eastAsia" w:ascii="宋体" w:hAnsi="宋体" w:eastAsia="宋体" w:cs="宋体"/>
          <w:b w:val="0"/>
          <w:i w:val="0"/>
          <w:color w:val="auto"/>
          <w:sz w:val="21"/>
          <w:szCs w:val="21"/>
        </w:rPr>
        <w:t>、标准配置 ※  主机，含指定传感器 ※  锂电池、充电器、充电底座 ※  操作说明书</w:t>
      </w:r>
    </w:p>
    <w:p>
      <w:pP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</w:pPr>
    </w:p>
    <w:p>
      <w:pPr>
        <w:rPr>
          <w:rFonts w:hint="eastAsia"/>
          <w:b/>
          <w:bCs/>
          <w:sz w:val="21"/>
          <w:szCs w:val="21"/>
          <w:lang w:val="en-US" w:eastAsia="zh-CN"/>
        </w:rPr>
      </w:pPr>
      <w:r>
        <w:rPr>
          <w:rFonts w:hint="eastAsia"/>
          <w:b/>
          <w:bCs/>
          <w:sz w:val="21"/>
          <w:szCs w:val="21"/>
          <w:lang w:val="en-US"/>
        </w:rPr>
        <w:t>路博公司提供本仪器全面的技术支持和售后服务</w:t>
      </w:r>
      <w:r>
        <w:rPr>
          <w:rFonts w:hint="eastAsia"/>
          <w:b/>
          <w:bCs/>
          <w:sz w:val="21"/>
          <w:szCs w:val="21"/>
          <w:lang w:val="en-US" w:eastAsia="zh-CN"/>
        </w:rPr>
        <w:t>。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3333750" cy="3333750"/>
            <wp:effectExtent l="0" t="0" r="3810" b="3810"/>
            <wp:docPr id="7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2811780" cy="3480435"/>
            <wp:effectExtent l="0" t="0" r="7620" b="9525"/>
            <wp:docPr id="3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IMG_25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11780" cy="34804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2301875" cy="4153535"/>
            <wp:effectExtent l="0" t="0" r="14605" b="6985"/>
            <wp:docPr id="4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IMG_25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01875" cy="41535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2748280" cy="3562350"/>
            <wp:effectExtent l="0" t="0" r="10160" b="3810"/>
            <wp:docPr id="8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 descr="IMG_25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48280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3406775" cy="4612640"/>
            <wp:effectExtent l="0" t="0" r="6985" b="5080"/>
            <wp:docPr id="6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 descr="IMG_26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406775" cy="46126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2305050" cy="4219575"/>
            <wp:effectExtent l="0" t="0" r="11430" b="1905"/>
            <wp:docPr id="5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6" descr="IMG_26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4219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b/>
          <w:bCs/>
          <w:sz w:val="21"/>
          <w:szCs w:val="21"/>
          <w:lang w:val="en-US" w:eastAsia="zh-CN"/>
        </w:rPr>
      </w:pPr>
    </w:p>
    <w:sectPr>
      <w:headerReference r:id="rId3" w:type="default"/>
      <w:footerReference r:id="rId4" w:type="default"/>
      <w:pgMar w:top="1440" w:right="1800" w:bottom="1440" w:left="1800" w:header="720" w:footer="720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Verdana">
    <w:panose1 w:val="020B0604030504040204"/>
    <w:charset w:val="00"/>
    <w:family w:val="auto"/>
    <w:pitch w:val="default"/>
    <w:sig w:usb0="A00006FF" w:usb1="4000205B" w:usb2="00000010" w:usb3="00000000" w:csb0="2000019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rPr>
        <w:rFonts w:hint="default" w:eastAsia="宋体"/>
        <w:lang w:val="en-US" w:eastAsia="zh-CN"/>
      </w:rPr>
    </w:pPr>
    <w:r>
      <w:rPr>
        <w:rFonts w:hint="eastAsia"/>
        <w:lang w:eastAsia="zh-CN"/>
      </w:rPr>
      <w:t>产品负责人：赵丽</w:t>
    </w:r>
    <w:r>
      <w:rPr>
        <w:rFonts w:hint="eastAsia"/>
        <w:lang w:val="en-US" w:eastAsia="zh-CN"/>
      </w:rPr>
      <w:t xml:space="preserve">        TEL：15589812373（同微信）         QQ：971506394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rFonts w:hint="eastAsia" w:eastAsia="宋体"/>
        <w:lang w:eastAsia="zh-CN"/>
      </w:rPr>
      <w:drawing>
        <wp:inline distT="0" distB="0" distL="114300" distR="114300">
          <wp:extent cx="5556885" cy="584200"/>
          <wp:effectExtent l="0" t="0" r="5715" b="10160"/>
          <wp:docPr id="2" name="图片 4" descr="44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4" descr="4444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556885" cy="584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0"/>
  <w:bordersDoNotSurroundFooter w:val="0"/>
  <w:documentProtection w:enforcement="0"/>
  <w:defaultTabStop w:val="500"/>
  <w:drawingGridHorizontalSpacing w:val="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2B6D5387"/>
    <w:rsid w:val="30F2562E"/>
    <w:rsid w:val="3FFF1256"/>
    <w:rsid w:val="518C5CFE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unhideWhenUsed="0" w:uiPriority="0" w:semiHidden="0" w:name="Normal"/>
    <w:lsdException w:uiPriority="99" w:name="heading 1"/>
    <w:lsdException w:uiPriority="99" w:name="heading 2"/>
    <w:lsdException w:uiPriority="99" w:name="heading 3"/>
    <w:lsdException w:uiPriority="99" w:name="heading 4"/>
    <w:lsdException w:uiPriority="99" w:name="heading 5"/>
    <w:lsdException w:uiPriority="99" w:name="heading 6"/>
    <w:lsdException w:uiPriority="99" w:name="heading 7"/>
    <w:lsdException w:uiPriority="99" w:name="heading 8"/>
    <w:lsdException w:uiPriority="9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99" w:name="toc 1"/>
    <w:lsdException w:uiPriority="99" w:name="toc 2"/>
    <w:lsdException w:uiPriority="99" w:name="toc 3"/>
    <w:lsdException w:uiPriority="99" w:name="toc 4"/>
    <w:lsdException w:uiPriority="99" w:name="toc 5"/>
    <w:lsdException w:uiPriority="99" w:name="toc 6"/>
    <w:lsdException w:uiPriority="99" w:name="toc 7"/>
    <w:lsdException w:uiPriority="99" w:name="toc 8"/>
    <w:lsdException w:uiPriority="9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uiPriority="99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uiPriority="99" w:name="Title"/>
    <w:lsdException w:uiPriority="99" w:name="Closing"/>
    <w:lsdException w:uiPriority="99" w:name="Signature"/>
    <w:lsdException w:uiPriority="99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uiPriority="99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uiPriority="99" w:name="Strong"/>
    <w:lsdException w:uiPriority="99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0" w:semiHidden="0" w:name="Normal Table"/>
    <w:lsdException w:uiPriority="99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iPriority="99" w:name="Balloon Text"/>
    <w:lsdException w:uiPriority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uiPriority w:val="0"/>
    <w:rPr>
      <w:rFonts w:ascii="Times New Roman" w:hAnsi="Times New Roman" w:eastAsia="宋体" w:cs="Times New Roman"/>
      <w:lang w:val="en-US" w:eastAsia="zh-CN" w:bidi="ar-SA"/>
    </w:rPr>
  </w:style>
  <w:style w:type="character" w:default="1" w:styleId="5">
    <w:name w:val="Default Paragraph Font"/>
    <w:unhideWhenUsed/>
    <w:uiPriority w:val="99"/>
  </w:style>
  <w:style w:type="table" w:default="1" w:styleId="4">
    <w:name w:val="Normal Table"/>
    <w:unhideWhenUsed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semiHidden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semiHidden/>
    <w:unhideWhenUsed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0</Pages>
  <Words>0</Words>
  <Characters>0</Characters>
  <Lines>0</Lines>
  <Paragraphs>0</Paragraphs>
  <TotalTime>13</TotalTime>
  <ScaleCrop>false</ScaleCrop>
  <LinksUpToDate>false</LinksUpToDate>
  <CharactersWithSpaces>0</CharactersWithSpaces>
  <Application>WPS Office_11.1.0.10228_F1E327BC-269C-435d-A152-05C5408002CA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2013-07-31T15:34:00Z</dcterms:created>
  <dc:creator>Administrator</dc:creator>
  <cp:lastModifiedBy>Administrator</cp:lastModifiedBy>
  <dcterms:modified xsi:type="dcterms:W3CDTF">2021-01-04T01:43:11Z</dcterms:modified>
  <dc:title>MultiRAE 2 是华瑞公司最新开发的新一代六合一复合式气体检测仪，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2052-11.1.0.10228</vt:lpwstr>
  </property>
</Properties>
</file>