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sz w:val="56"/>
          <w:szCs w:val="96"/>
          <w:lang w:val="en-US" w:eastAsia="zh-CN"/>
        </w:rPr>
      </w:pPr>
      <w:r>
        <w:rPr>
          <w:rFonts w:hint="eastAsia" w:ascii="微软雅黑" w:hAnsi="微软雅黑" w:eastAsia="微软雅黑" w:cs="微软雅黑"/>
          <w:b/>
          <w:bCs/>
          <w:color w:val="1D4686"/>
          <w:sz w:val="56"/>
          <w:szCs w:val="96"/>
          <w:lang w:val="en-US" w:eastAsia="zh-CN"/>
        </w:rPr>
        <w:t>COD氨氮总磷总氮</w:t>
      </w: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b/>
          <w:bCs/>
          <w:color w:val="1D4686"/>
          <w:sz w:val="40"/>
          <w:szCs w:val="48"/>
          <w:lang w:val="en-US" w:eastAsia="zh-CN"/>
        </w:rPr>
      </w:pPr>
      <w:r>
        <w:rPr>
          <w:rFonts w:hint="eastAsia" w:ascii="微软雅黑" w:hAnsi="微软雅黑" w:eastAsia="微软雅黑" w:cs="微软雅黑"/>
          <w:b/>
          <w:bCs/>
          <w:color w:val="1D4686"/>
          <w:sz w:val="24"/>
          <w:szCs w:val="32"/>
          <w:lang w:val="en-US" w:eastAsia="zh-CN"/>
        </w:rPr>
        <w:drawing>
          <wp:anchor distT="0" distB="0" distL="114300" distR="114300" simplePos="0" relativeHeight="251684864" behindDoc="1" locked="0" layoutInCell="1" allowOverlap="1">
            <wp:simplePos x="0" y="0"/>
            <wp:positionH relativeFrom="column">
              <wp:posOffset>3238500</wp:posOffset>
            </wp:positionH>
            <wp:positionV relativeFrom="paragraph">
              <wp:posOffset>92710</wp:posOffset>
            </wp:positionV>
            <wp:extent cx="3405505" cy="3743960"/>
            <wp:effectExtent l="0" t="0" r="4445" b="7620"/>
            <wp:wrapTight wrapText="bothSides">
              <wp:wrapPolygon>
                <wp:start x="3866" y="2528"/>
                <wp:lineTo x="2779" y="2638"/>
                <wp:lineTo x="2175" y="3297"/>
                <wp:lineTo x="2054" y="16596"/>
                <wp:lineTo x="0" y="17255"/>
                <wp:lineTo x="0" y="21541"/>
                <wp:lineTo x="21507" y="21541"/>
                <wp:lineTo x="21507" y="14837"/>
                <wp:lineTo x="19695" y="13079"/>
                <wp:lineTo x="19937" y="2858"/>
                <wp:lineTo x="17762" y="2528"/>
                <wp:lineTo x="7491" y="2528"/>
                <wp:lineTo x="3866" y="2528"/>
              </wp:wrapPolygon>
            </wp:wrapTight>
            <wp:docPr id="6" name="图片 6" descr="在线2台"/>
            <wp:cNvGraphicFramePr/>
            <a:graphic xmlns:a="http://schemas.openxmlformats.org/drawingml/2006/main">
              <a:graphicData uri="http://schemas.openxmlformats.org/drawingml/2006/picture">
                <pic:pic xmlns:pic="http://schemas.openxmlformats.org/drawingml/2006/picture">
                  <pic:nvPicPr>
                    <pic:cNvPr id="6" name="图片 6" descr="在线2台"/>
                    <pic:cNvPicPr/>
                  </pic:nvPicPr>
                  <pic:blipFill>
                    <a:blip r:embed="rId6"/>
                    <a:srcRect l="14189" t="13389" r="14388" b="15588"/>
                    <a:stretch>
                      <a:fillRect/>
                    </a:stretch>
                  </pic:blipFill>
                  <pic:spPr>
                    <a:xfrm>
                      <a:off x="0" y="0"/>
                      <a:ext cx="3405505" cy="3743960"/>
                    </a:xfrm>
                    <a:prstGeom prst="rect">
                      <a:avLst/>
                    </a:prstGeom>
                  </pic:spPr>
                </pic:pic>
              </a:graphicData>
            </a:graphic>
          </wp:anchor>
        </w:drawing>
      </w:r>
      <w:r>
        <w:rPr>
          <w:rFonts w:hint="eastAsia" w:ascii="微软雅黑" w:hAnsi="微软雅黑" w:eastAsia="微软雅黑" w:cs="微软雅黑"/>
          <w:b/>
          <w:bCs/>
          <w:color w:val="1D4686"/>
          <w:sz w:val="40"/>
          <w:szCs w:val="48"/>
          <w:lang w:val="en-US" w:eastAsia="zh-CN"/>
        </w:rPr>
        <w:t>水质在线自动监测仪</w:t>
      </w:r>
    </w:p>
    <w:p>
      <w:pPr>
        <w:rPr>
          <w:rFonts w:hint="eastAsia" w:ascii="微软雅黑" w:hAnsi="微软雅黑" w:eastAsia="微软雅黑" w:cs="微软雅黑"/>
          <w:b/>
          <w:bCs/>
          <w:color w:val="1D4686"/>
          <w:sz w:val="24"/>
          <w:szCs w:val="32"/>
          <w:lang w:val="en-US" w:eastAsia="zh-CN"/>
        </w:rPr>
      </w:pPr>
    </w:p>
    <w:p>
      <w:pPr>
        <w:rPr>
          <w:rFonts w:hint="eastAsia" w:ascii="微软雅黑" w:hAnsi="微软雅黑" w:eastAsia="微软雅黑" w:cs="微软雅黑"/>
          <w:b/>
          <w:bCs/>
          <w:color w:val="1D4686"/>
          <w:sz w:val="24"/>
          <w:szCs w:val="32"/>
          <w:lang w:val="en-US" w:eastAsia="zh-CN"/>
        </w:rPr>
      </w:pPr>
    </w:p>
    <w:p>
      <w:pPr>
        <w:rPr>
          <w:rFonts w:hint="eastAsia" w:asciiTheme="minorHAnsi" w:hAnsiTheme="minorHAnsi" w:eastAsiaTheme="minorEastAsia" w:cstheme="minorBidi"/>
          <w:kern w:val="2"/>
          <w:sz w:val="21"/>
          <w:szCs w:val="24"/>
          <w:lang w:val="en-US" w:eastAsia="zh-CN" w:bidi="ar-SA"/>
        </w:rPr>
      </w:pPr>
    </w:p>
    <w:p>
      <w:pPr>
        <w:pStyle w:val="3"/>
        <w:keepNext w:val="0"/>
        <w:keepLines w:val="0"/>
        <w:pageBreakBefore w:val="0"/>
        <w:kinsoku/>
        <w:wordWrap/>
        <w:overflowPunct/>
        <w:topLinePunct w:val="0"/>
        <w:autoSpaceDE/>
        <w:autoSpaceDN/>
        <w:bidi w:val="0"/>
        <w:adjustRightInd/>
        <w:snapToGrid w:val="0"/>
        <w:spacing w:line="240" w:lineRule="auto"/>
        <w:outlineLvl w:val="9"/>
        <w:rPr>
          <w:rFonts w:hint="default" w:ascii="微软雅黑" w:hAnsi="微软雅黑" w:eastAsia="微软雅黑" w:cs="微软雅黑"/>
          <w:b/>
          <w:bCs/>
          <w:color w:val="1D4686"/>
          <w:sz w:val="24"/>
          <w:szCs w:val="32"/>
          <w:lang w:val="en-US" w:eastAsia="zh-CN"/>
        </w:rPr>
      </w:pPr>
      <w:r>
        <w:rPr>
          <w:rFonts w:hint="eastAsia" w:ascii="微软雅黑" w:hAnsi="微软雅黑" w:eastAsia="微软雅黑" w:cs="微软雅黑"/>
          <w:b/>
          <w:bCs/>
          <w:color w:val="1D4686"/>
          <w:sz w:val="24"/>
          <w:szCs w:val="32"/>
          <w:lang w:val="en-US" w:eastAsia="zh-CN"/>
        </w:rPr>
        <w:t>应用领域</w:t>
      </w:r>
    </w:p>
    <w:p>
      <w:pPr>
        <w:pStyle w:val="3"/>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color w:val="3F3F3F"/>
          <w:kern w:val="2"/>
          <w:sz w:val="19"/>
          <w:szCs w:val="19"/>
          <w:lang w:val="en-US" w:eastAsia="zh-CN" w:bidi="ar-SA"/>
        </w:rPr>
      </w:pPr>
      <w:r>
        <w:rPr>
          <w:rFonts w:hint="eastAsia" w:ascii="微软雅黑" w:hAnsi="微软雅黑" w:eastAsia="微软雅黑" w:cs="微软雅黑"/>
          <w:color w:val="3F3F3F"/>
          <w:kern w:val="2"/>
          <w:sz w:val="19"/>
          <w:szCs w:val="19"/>
          <w:lang w:val="en-US" w:eastAsia="zh-CN" w:bidi="ar-SA"/>
        </w:rPr>
        <w:t>应用于企业污水、生活污水、地表水的监控、监测。</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kern w:val="2"/>
          <w:sz w:val="19"/>
          <w:szCs w:val="19"/>
          <w:lang w:val="en-US" w:eastAsia="zh-CN" w:bidi="ar-SA"/>
        </w:rPr>
      </w:pP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b/>
          <w:bCs/>
          <w:color w:val="1D4686"/>
          <w:kern w:val="2"/>
          <w:sz w:val="24"/>
          <w:szCs w:val="24"/>
          <w:lang w:val="en-US" w:eastAsia="zh-CN" w:bidi="ar-SA"/>
        </w:rPr>
      </w:pPr>
      <w:r>
        <w:rPr>
          <w:rFonts w:hint="eastAsia" w:ascii="微软雅黑" w:hAnsi="微软雅黑" w:eastAsia="微软雅黑" w:cs="微软雅黑"/>
          <w:b/>
          <w:bCs/>
          <w:color w:val="1D4686"/>
          <w:kern w:val="2"/>
          <w:sz w:val="24"/>
          <w:szCs w:val="24"/>
          <w:lang w:val="en-US" w:eastAsia="zh-CN" w:bidi="ar-SA"/>
        </w:rPr>
        <w:t>产品原理</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kern w:val="2"/>
          <w:sz w:val="19"/>
          <w:szCs w:val="19"/>
          <w:lang w:val="en-US" w:eastAsia="zh-CN" w:bidi="ar-SA"/>
        </w:rPr>
      </w:pPr>
      <w:r>
        <w:rPr>
          <w:rFonts w:hint="eastAsia" w:ascii="微软雅黑" w:hAnsi="微软雅黑" w:eastAsia="微软雅黑" w:cs="微软雅黑"/>
          <w:kern w:val="2"/>
          <w:sz w:val="19"/>
          <w:szCs w:val="19"/>
          <w:lang w:val="en-US" w:eastAsia="zh-CN" w:bidi="ar-SA"/>
        </w:rPr>
        <w:t xml:space="preserve">COD水质在线自动监测仪采用重铬酸钾氧化-分光光度法测定水样中的COD值，完全符合国家标准。 </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kern w:val="2"/>
          <w:sz w:val="19"/>
          <w:szCs w:val="19"/>
          <w:lang w:val="en-US" w:eastAsia="zh-CN" w:bidi="ar-SA"/>
        </w:rPr>
      </w:pPr>
      <w:r>
        <w:rPr>
          <w:rFonts w:hint="eastAsia" w:ascii="微软雅黑" w:hAnsi="微软雅黑" w:eastAsia="微软雅黑" w:cs="微软雅黑"/>
          <w:kern w:val="2"/>
          <w:sz w:val="19"/>
          <w:szCs w:val="19"/>
          <w:lang w:val="en-US" w:eastAsia="zh-CN" w:bidi="ar-SA"/>
        </w:rPr>
        <w:t xml:space="preserve">氨氮水质在线自动监测仪采用水杨酸分光光度法测定水样中的氨氮值，完全符合国家标准。 </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kern w:val="2"/>
          <w:sz w:val="19"/>
          <w:szCs w:val="19"/>
          <w:lang w:val="en-US" w:eastAsia="zh-CN" w:bidi="ar-SA"/>
        </w:rPr>
      </w:pPr>
      <w:r>
        <w:rPr>
          <w:rFonts w:hint="eastAsia" w:ascii="微软雅黑" w:hAnsi="微软雅黑" w:eastAsia="微软雅黑" w:cs="微软雅黑"/>
          <w:kern w:val="2"/>
          <w:sz w:val="19"/>
          <w:szCs w:val="19"/>
          <w:lang w:val="en-US" w:eastAsia="zh-CN" w:bidi="ar-SA"/>
        </w:rPr>
        <w:t xml:space="preserve">总磷水质在线自动监测仪采用钼酸铵分光光度法测定水样中的总磷浓度值，完全符合国家标准。 </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kern w:val="2"/>
          <w:sz w:val="19"/>
          <w:szCs w:val="19"/>
          <w:lang w:val="en-US" w:eastAsia="zh-CN" w:bidi="ar-SA"/>
        </w:rPr>
      </w:pPr>
      <w:r>
        <w:rPr>
          <w:rFonts w:hint="eastAsia" w:ascii="微软雅黑" w:hAnsi="微软雅黑" w:eastAsia="微软雅黑" w:cs="微软雅黑"/>
          <w:kern w:val="2"/>
          <w:sz w:val="19"/>
          <w:szCs w:val="19"/>
          <w:lang w:val="en-US" w:eastAsia="zh-CN" w:bidi="ar-SA"/>
        </w:rPr>
        <w:t xml:space="preserve">总氮水质在线自动监测仪采用碱性过硫酸钾消解分光光度法测定水样中的总氮值，完全符合国家标准。 </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p>
    <w:p>
      <w:pPr>
        <w:keepNext w:val="0"/>
        <w:keepLines w:val="0"/>
        <w:pageBreakBefore w:val="0"/>
        <w:kinsoku/>
        <w:wordWrap/>
        <w:overflowPunct/>
        <w:topLinePunct w:val="0"/>
        <w:autoSpaceDE/>
        <w:autoSpaceDN/>
        <w:bidi w:val="0"/>
        <w:adjustRightInd/>
        <w:snapToGrid w:val="0"/>
        <w:spacing w:line="240" w:lineRule="auto"/>
        <w:outlineLvl w:val="9"/>
        <w:rPr>
          <w:rFonts w:hint="default" w:ascii="微软雅黑" w:hAnsi="微软雅黑" w:eastAsia="微软雅黑" w:cs="微软雅黑"/>
          <w:b/>
          <w:bCs/>
          <w:color w:val="1D4686"/>
          <w:kern w:val="2"/>
          <w:sz w:val="24"/>
          <w:szCs w:val="24"/>
          <w:lang w:val="en-US" w:eastAsia="zh-CN" w:bidi="ar-SA"/>
        </w:rPr>
      </w:pPr>
      <w:r>
        <w:rPr>
          <w:rFonts w:hint="eastAsia" w:ascii="微软雅黑" w:hAnsi="微软雅黑" w:eastAsia="微软雅黑" w:cs="微软雅黑"/>
          <w:b/>
          <w:bCs/>
          <w:color w:val="1D4686"/>
          <w:kern w:val="2"/>
          <w:sz w:val="24"/>
          <w:szCs w:val="24"/>
          <w:lang w:val="en-US" w:eastAsia="zh-CN" w:bidi="ar-SA"/>
        </w:rPr>
        <w:t>产品特点</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产品具有国家环保认证、软著等自主知识产权。</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产品体积减小，自动化程度高。</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仪器具有自动标定，量程自动切换，缺液报警，故障报警等功能。</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清洗废液和测定废液分开，大大降低废液处理成本。</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多种测量模式可以选择:(定点模式、间隔模式、周期模式、外部触发模式等)</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独特的试剂配方，对离子、浊度、色度等抗干扰能力强。</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试剂配方可公开，可自行配制。</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试剂用量减小，为运维服务节省更多成本。</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b/>
          <w:bCs/>
          <w:color w:val="1D4686"/>
          <w:kern w:val="2"/>
          <w:sz w:val="24"/>
          <w:szCs w:val="24"/>
          <w:lang w:val="en-US" w:eastAsia="zh-CN" w:bidi="ar-SA"/>
        </w:rPr>
      </w:pPr>
      <w:r>
        <w:rPr>
          <w:rFonts w:hint="eastAsia" w:ascii="微软雅黑" w:hAnsi="微软雅黑" w:eastAsia="微软雅黑" w:cs="微软雅黑"/>
          <w:b/>
          <w:bCs/>
          <w:color w:val="1D4686"/>
          <w:kern w:val="2"/>
          <w:sz w:val="24"/>
          <w:szCs w:val="24"/>
          <w:lang w:val="en-US" w:eastAsia="zh-CN" w:bidi="ar-SA"/>
        </w:rPr>
        <w:t>硬件优势</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进口光电定量装置，可靠稳定，抗干扰能力强。</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进口冷光源，光强无衰减，寿命可达10年以上。</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接收器采用进口原件，精度高，温漂小。</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控制系统采用西门子PLC技术，抗干扰能力强。</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触摸屏采用7寸工业级触摸屏，适应各种复杂环境。</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水管件材质采用耐强酸强碱的进口PTFE材料。</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消解室采用一体阀设计，密封效果好。可耐高温200℃，高压2Mpa。</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(可选)打印功能。(可选)物联网反控功能，可以手机APP远程操控，运维和售后更方便。</w:t>
      </w: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p>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b/>
          <w:bCs/>
          <w:color w:val="1D4686"/>
          <w:kern w:val="2"/>
          <w:sz w:val="24"/>
          <w:szCs w:val="24"/>
          <w:lang w:val="en-US" w:eastAsia="zh-CN" w:bidi="ar-SA"/>
        </w:rPr>
      </w:pPr>
      <w:r>
        <w:rPr>
          <w:rFonts w:hint="eastAsia" w:ascii="微软雅黑" w:hAnsi="微软雅黑" w:eastAsia="微软雅黑" w:cs="微软雅黑"/>
          <w:b/>
          <w:bCs/>
          <w:color w:val="1D4686"/>
          <w:kern w:val="2"/>
          <w:sz w:val="24"/>
          <w:szCs w:val="24"/>
          <w:lang w:val="en-US" w:eastAsia="zh-CN" w:bidi="ar-SA"/>
        </w:rPr>
        <w:t>基本参数</w:t>
      </w:r>
    </w:p>
    <w:tbl>
      <w:tblPr>
        <w:tblStyle w:val="6"/>
        <w:tblpPr w:leftFromText="180" w:rightFromText="180" w:vertAnchor="page" w:horzAnchor="page" w:tblpX="1751" w:tblpY="3103"/>
        <w:tblOverlap w:val="never"/>
        <w:tblW w:w="88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57"/>
        <w:gridCol w:w="1992"/>
        <w:gridCol w:w="1872"/>
        <w:gridCol w:w="1788"/>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产品型号</w:t>
            </w:r>
          </w:p>
        </w:tc>
        <w:tc>
          <w:tcPr>
            <w:tcW w:w="199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LC-CODcr01</w:t>
            </w:r>
          </w:p>
        </w:tc>
        <w:tc>
          <w:tcPr>
            <w:tcW w:w="187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LC-NH3N01</w:t>
            </w:r>
          </w:p>
        </w:tc>
        <w:tc>
          <w:tcPr>
            <w:tcW w:w="1788"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LC-TP01</w:t>
            </w:r>
          </w:p>
        </w:tc>
        <w:tc>
          <w:tcPr>
            <w:tcW w:w="2040"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LC-TN01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检测参数</w:t>
            </w:r>
          </w:p>
        </w:tc>
        <w:tc>
          <w:tcPr>
            <w:tcW w:w="199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COD</w:t>
            </w:r>
          </w:p>
        </w:tc>
        <w:tc>
          <w:tcPr>
            <w:tcW w:w="187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氨氮</w:t>
            </w:r>
          </w:p>
        </w:tc>
        <w:tc>
          <w:tcPr>
            <w:tcW w:w="1788"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总磷</w:t>
            </w:r>
          </w:p>
        </w:tc>
        <w:tc>
          <w:tcPr>
            <w:tcW w:w="2040"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总氮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测试方法</w:t>
            </w:r>
          </w:p>
        </w:tc>
        <w:tc>
          <w:tcPr>
            <w:tcW w:w="199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重铬酸钾法</w:t>
            </w:r>
          </w:p>
        </w:tc>
        <w:tc>
          <w:tcPr>
            <w:tcW w:w="187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水杨酸法</w:t>
            </w:r>
          </w:p>
        </w:tc>
        <w:tc>
          <w:tcPr>
            <w:tcW w:w="1788"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钼酸铵法</w:t>
            </w:r>
          </w:p>
        </w:tc>
        <w:tc>
          <w:tcPr>
            <w:tcW w:w="2040"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碱性过硫酸钾法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测量范围</w:t>
            </w:r>
          </w:p>
        </w:tc>
        <w:tc>
          <w:tcPr>
            <w:tcW w:w="199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0-2000mg/L (可扩展)</w:t>
            </w:r>
          </w:p>
        </w:tc>
        <w:tc>
          <w:tcPr>
            <w:tcW w:w="187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0-150mg/L (可扩展)</w:t>
            </w:r>
          </w:p>
        </w:tc>
        <w:tc>
          <w:tcPr>
            <w:tcW w:w="1788"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0-50mg/L (可扩展)</w:t>
            </w:r>
          </w:p>
        </w:tc>
        <w:tc>
          <w:tcPr>
            <w:tcW w:w="2040"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0-200mg/L (可扩展)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零点漂移</w:t>
            </w:r>
          </w:p>
        </w:tc>
        <w:tc>
          <w:tcPr>
            <w:tcW w:w="199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±5mg/L</w:t>
            </w:r>
          </w:p>
        </w:tc>
        <w:tc>
          <w:tcPr>
            <w:tcW w:w="187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±0.02mg/L</w:t>
            </w:r>
          </w:p>
        </w:tc>
        <w:tc>
          <w:tcPr>
            <w:tcW w:w="1788"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±5%F.S</w:t>
            </w:r>
          </w:p>
        </w:tc>
        <w:tc>
          <w:tcPr>
            <w:tcW w:w="2040"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±5%F.S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量程漂移</w:t>
            </w:r>
          </w:p>
        </w:tc>
        <w:tc>
          <w:tcPr>
            <w:tcW w:w="199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±5%F.S</w:t>
            </w:r>
          </w:p>
        </w:tc>
        <w:tc>
          <w:tcPr>
            <w:tcW w:w="187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±2%F.S</w:t>
            </w:r>
          </w:p>
        </w:tc>
        <w:tc>
          <w:tcPr>
            <w:tcW w:w="1788"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±10%F.S</w:t>
            </w:r>
          </w:p>
        </w:tc>
        <w:tc>
          <w:tcPr>
            <w:tcW w:w="2040"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±10%F.S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示值误差</w:t>
            </w:r>
          </w:p>
        </w:tc>
        <w:tc>
          <w:tcPr>
            <w:tcW w:w="199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w:t>
            </w:r>
          </w:p>
        </w:tc>
        <w:tc>
          <w:tcPr>
            <w:tcW w:w="187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±3%</w:t>
            </w:r>
          </w:p>
        </w:tc>
        <w:tc>
          <w:tcPr>
            <w:tcW w:w="1788"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±10%</w:t>
            </w:r>
          </w:p>
        </w:tc>
        <w:tc>
          <w:tcPr>
            <w:tcW w:w="2040"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重复性</w:t>
            </w:r>
          </w:p>
        </w:tc>
        <w:tc>
          <w:tcPr>
            <w:tcW w:w="199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w:t>
            </w:r>
          </w:p>
        </w:tc>
        <w:tc>
          <w:tcPr>
            <w:tcW w:w="187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w:t>
            </w:r>
          </w:p>
        </w:tc>
        <w:tc>
          <w:tcPr>
            <w:tcW w:w="1788"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w:t>
            </w:r>
          </w:p>
        </w:tc>
        <w:tc>
          <w:tcPr>
            <w:tcW w:w="2040"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测试周期</w:t>
            </w:r>
          </w:p>
        </w:tc>
        <w:tc>
          <w:tcPr>
            <w:tcW w:w="199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≤45min</w:t>
            </w:r>
          </w:p>
        </w:tc>
        <w:tc>
          <w:tcPr>
            <w:tcW w:w="1872"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≤40min</w:t>
            </w:r>
          </w:p>
        </w:tc>
        <w:tc>
          <w:tcPr>
            <w:tcW w:w="1788"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≤50min</w:t>
            </w:r>
          </w:p>
        </w:tc>
        <w:tc>
          <w:tcPr>
            <w:tcW w:w="2040"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≤50min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157"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检测下限</w:t>
            </w:r>
          </w:p>
        </w:tc>
        <w:tc>
          <w:tcPr>
            <w:tcW w:w="199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15mg/L</w:t>
            </w:r>
          </w:p>
        </w:tc>
        <w:tc>
          <w:tcPr>
            <w:tcW w:w="1872"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0.1mg/L</w:t>
            </w:r>
          </w:p>
        </w:tc>
        <w:tc>
          <w:tcPr>
            <w:tcW w:w="1788"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0.1mg/L</w:t>
            </w:r>
          </w:p>
        </w:tc>
        <w:tc>
          <w:tcPr>
            <w:tcW w:w="2040" w:type="dxa"/>
            <w:tcBorders>
              <w:top w:val="single" w:color="000000" w:sz="4" w:space="0"/>
              <w:left w:val="single" w:color="000000" w:sz="4" w:space="0"/>
              <w:bottom w:val="single" w:color="000000" w:sz="4" w:space="0"/>
              <w:right w:val="single" w:color="000000" w:sz="4" w:space="0"/>
            </w:tcBorders>
            <w:shd w:val="clear" w:color="auto" w:fill="BDD7EE"/>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outlineLvl w:val="9"/>
              <w:rPr>
                <w:rFonts w:hint="eastAsia" w:ascii="微软雅黑" w:hAnsi="微软雅黑" w:eastAsia="微软雅黑" w:cs="微软雅黑"/>
                <w:i w:val="0"/>
                <w:color w:val="000000"/>
                <w:sz w:val="19"/>
                <w:szCs w:val="19"/>
                <w:u w:val="none"/>
              </w:rPr>
            </w:pPr>
            <w:r>
              <w:rPr>
                <w:rFonts w:hint="eastAsia" w:ascii="微软雅黑" w:hAnsi="微软雅黑" w:eastAsia="微软雅黑" w:cs="微软雅黑"/>
                <w:i w:val="0"/>
                <w:color w:val="000000"/>
                <w:kern w:val="0"/>
                <w:sz w:val="19"/>
                <w:szCs w:val="19"/>
                <w:u w:val="none"/>
                <w:lang w:val="en-US" w:eastAsia="zh-CN" w:bidi="ar"/>
              </w:rPr>
              <w:t>0.2mg/L</w:t>
            </w:r>
          </w:p>
        </w:tc>
      </w:tr>
    </w:tbl>
    <w:p>
      <w:pPr>
        <w:keepNext w:val="0"/>
        <w:keepLines w:val="0"/>
        <w:pageBreakBefore w:val="0"/>
        <w:kinsoku/>
        <w:wordWrap/>
        <w:overflowPunct/>
        <w:topLinePunct w:val="0"/>
        <w:autoSpaceDE/>
        <w:autoSpaceDN/>
        <w:bidi w:val="0"/>
        <w:adjustRightInd/>
        <w:snapToGrid w:val="0"/>
        <w:spacing w:line="240" w:lineRule="auto"/>
        <w:outlineLvl w:val="9"/>
        <w:rPr>
          <w:rFonts w:hint="eastAsia" w:ascii="微软雅黑" w:hAnsi="微软雅黑" w:eastAsia="微软雅黑" w:cs="微软雅黑"/>
          <w:sz w:val="19"/>
          <w:szCs w:val="19"/>
          <w:lang w:val="en-US" w:eastAsia="zh-CN"/>
        </w:rPr>
      </w:pP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显示屏：7寸工业触摸屏</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绝缘电阻：20MΩ以上</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MTBF：≥720h/次</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 xml:space="preserve">接口：RS232或RS485 </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外形尺寸：420×420×1370mm</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环境温度：5-35℃</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环境温湿度：20-85%RH</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ascii="微软雅黑" w:hAnsi="微软雅黑" w:eastAsia="微软雅黑" w:cs="微软雅黑"/>
          <w:sz w:val="19"/>
          <w:szCs w:val="19"/>
          <w:lang w:val="en-US" w:eastAsia="zh-CN"/>
        </w:rPr>
      </w:pPr>
      <w:bookmarkStart w:id="0" w:name="_GoBack"/>
      <w:r>
        <w:rPr>
          <w:rFonts w:hint="eastAsia" w:ascii="微软雅黑" w:hAnsi="微软雅黑" w:eastAsia="微软雅黑" w:cs="微软雅黑"/>
          <w:b/>
          <w:bCs/>
          <w:color w:val="1D4686"/>
          <w:kern w:val="2"/>
          <w:sz w:val="24"/>
          <w:szCs w:val="24"/>
          <w:lang w:val="en-US" w:eastAsia="zh-CN" w:bidi="ar-SA"/>
        </w:rPr>
        <w:drawing>
          <wp:anchor distT="0" distB="0" distL="114300" distR="114300" simplePos="0" relativeHeight="251694080" behindDoc="1" locked="0" layoutInCell="1" allowOverlap="1">
            <wp:simplePos x="0" y="0"/>
            <wp:positionH relativeFrom="column">
              <wp:posOffset>3898900</wp:posOffset>
            </wp:positionH>
            <wp:positionV relativeFrom="paragraph">
              <wp:posOffset>26035</wp:posOffset>
            </wp:positionV>
            <wp:extent cx="2682240" cy="3023870"/>
            <wp:effectExtent l="0" t="0" r="3810" b="4445"/>
            <wp:wrapNone/>
            <wp:docPr id="4" name="图片 4" descr="在线2台"/>
            <wp:cNvGraphicFramePr/>
            <a:graphic xmlns:a="http://schemas.openxmlformats.org/drawingml/2006/main">
              <a:graphicData uri="http://schemas.openxmlformats.org/drawingml/2006/picture">
                <pic:pic xmlns:pic="http://schemas.openxmlformats.org/drawingml/2006/picture">
                  <pic:nvPicPr>
                    <pic:cNvPr id="4" name="图片 4" descr="在线2台"/>
                    <pic:cNvPicPr/>
                  </pic:nvPicPr>
                  <pic:blipFill>
                    <a:blip r:embed="rId6"/>
                    <a:srcRect l="14189" t="13389" r="14388" b="15588"/>
                    <a:stretch>
                      <a:fillRect/>
                    </a:stretch>
                  </pic:blipFill>
                  <pic:spPr>
                    <a:xfrm>
                      <a:off x="0" y="0"/>
                      <a:ext cx="2682240" cy="3023870"/>
                    </a:xfrm>
                    <a:prstGeom prst="rect">
                      <a:avLst/>
                    </a:prstGeom>
                  </pic:spPr>
                </pic:pic>
              </a:graphicData>
            </a:graphic>
          </wp:anchor>
        </w:drawing>
      </w:r>
      <w:bookmarkEnd w:id="0"/>
      <w:r>
        <w:rPr>
          <w:rFonts w:hint="eastAsia" w:ascii="微软雅黑" w:hAnsi="微软雅黑" w:eastAsia="微软雅黑" w:cs="微软雅黑"/>
          <w:sz w:val="19"/>
          <w:szCs w:val="19"/>
          <w:lang w:val="en-US" w:eastAsia="zh-CN"/>
        </w:rPr>
        <w:t>电源电压：AC 220V</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ascii="微软雅黑" w:hAnsi="微软雅黑" w:eastAsia="微软雅黑" w:cs="微软雅黑"/>
          <w:sz w:val="19"/>
          <w:szCs w:val="19"/>
          <w:lang w:val="en-US" w:eastAsia="zh-CN"/>
        </w:rPr>
      </w:pPr>
      <w:r>
        <w:rPr>
          <w:rFonts w:hint="eastAsia" w:ascii="微软雅黑" w:hAnsi="微软雅黑" w:eastAsia="微软雅黑" w:cs="微软雅黑"/>
          <w:sz w:val="19"/>
          <w:szCs w:val="19"/>
          <w:lang w:val="en-US" w:eastAsia="zh-CN"/>
        </w:rPr>
        <w:t>电源频率：50Hz</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p>
      <w:pPr>
        <w:keepNext w:val="0"/>
        <w:keepLines w:val="0"/>
        <w:pageBreakBefore w:val="0"/>
        <w:tabs>
          <w:tab w:val="left" w:pos="2407"/>
        </w:tabs>
        <w:kinsoku/>
        <w:wordWrap/>
        <w:overflowPunct/>
        <w:topLinePunct w:val="0"/>
        <w:autoSpaceDE/>
        <w:autoSpaceDN/>
        <w:bidi w:val="0"/>
        <w:adjustRightInd/>
        <w:snapToGrid w:val="0"/>
        <w:spacing w:line="240" w:lineRule="auto"/>
        <w:jc w:val="both"/>
        <w:outlineLvl w:val="9"/>
        <w:rPr>
          <w:rFonts w:hint="eastAsia" w:eastAsia="宋体"/>
          <w:lang w:eastAsia="zh-CN"/>
        </w:rPr>
      </w:pPr>
      <w:r>
        <w:rPr>
          <w:rFonts w:hint="eastAsia" w:ascii="微软雅黑" w:hAnsi="微软雅黑" w:eastAsia="微软雅黑" w:cs="微软雅黑"/>
          <w:sz w:val="19"/>
          <w:szCs w:val="19"/>
          <w:lang w:val="en-US" w:eastAsia="zh-CN"/>
        </w:rPr>
        <w:t>额定功率：100W</w:t>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r>
        <w:rPr>
          <w:rFonts w:hint="eastAsia" w:ascii="微软雅黑" w:hAnsi="微软雅黑" w:eastAsia="微软雅黑" w:cs="微软雅黑"/>
          <w:sz w:val="19"/>
          <w:szCs w:val="19"/>
          <w:lang w:val="en-US" w:eastAsia="zh-CN"/>
        </w:rPr>
        <w:tab/>
      </w:r>
    </w:p>
    <w:sectPr>
      <w:headerReference r:id="rId3" w:type="default"/>
      <w:footerReference r:id="rId4" w:type="default"/>
      <w:type w:val="continuous"/>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40"/>
      </w:tabs>
      <w:jc w:val="cente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color w:val="FFFFFF" w:themeColor="background1"/>
        <w:sz w:val="19"/>
        <w14:textFill>
          <w14:solidFill>
            <w14:schemeClr w14:val="bg1"/>
          </w14:solidFill>
        </w14:textFill>
      </w:rPr>
      <mc:AlternateContent>
        <mc:Choice Requires="wpg">
          <w:drawing>
            <wp:anchor distT="0" distB="0" distL="114300" distR="114300" simplePos="0" relativeHeight="251660288" behindDoc="1" locked="0" layoutInCell="1" allowOverlap="1">
              <wp:simplePos x="0" y="0"/>
              <wp:positionH relativeFrom="column">
                <wp:posOffset>-1361440</wp:posOffset>
              </wp:positionH>
              <wp:positionV relativeFrom="paragraph">
                <wp:posOffset>-360680</wp:posOffset>
              </wp:positionV>
              <wp:extent cx="8013065" cy="1915160"/>
              <wp:effectExtent l="0" t="0" r="3175" b="0"/>
              <wp:wrapNone/>
              <wp:docPr id="15" name="组合 15"/>
              <wp:cNvGraphicFramePr/>
              <a:graphic xmlns:a="http://schemas.openxmlformats.org/drawingml/2006/main">
                <a:graphicData uri="http://schemas.microsoft.com/office/word/2010/wordprocessingGroup">
                  <wpg:wgp>
                    <wpg:cNvGrpSpPr/>
                    <wpg:grpSpPr>
                      <a:xfrm>
                        <a:off x="0" y="0"/>
                        <a:ext cx="8013065" cy="1915160"/>
                        <a:chOff x="5559" y="6271"/>
                        <a:chExt cx="12619" cy="3016"/>
                      </a:xfrm>
                    </wpg:grpSpPr>
                    <wps:wsp>
                      <wps:cNvPr id="12" name="任意多边形 12"/>
                      <wps:cNvSpPr/>
                      <wps:spPr>
                        <a:xfrm rot="300000" flipH="1">
                          <a:off x="5673" y="6271"/>
                          <a:ext cx="12505" cy="3016"/>
                        </a:xfrm>
                        <a:custGeom>
                          <a:avLst/>
                          <a:gdLst>
                            <a:gd name="connsiteX0" fmla="*/ 98 w 12226"/>
                            <a:gd name="connsiteY0" fmla="*/ 29 h 2675"/>
                            <a:gd name="connsiteX1" fmla="*/ 12226 w 12226"/>
                            <a:gd name="connsiteY1" fmla="*/ 1055 h 2675"/>
                            <a:gd name="connsiteX2" fmla="*/ 12226 w 12226"/>
                            <a:gd name="connsiteY2" fmla="*/ 2675 h 2675"/>
                            <a:gd name="connsiteX3" fmla="*/ 0 w 12226"/>
                            <a:gd name="connsiteY3" fmla="*/ 1493 h 2675"/>
                            <a:gd name="connsiteX4" fmla="*/ 98 w 12226"/>
                            <a:gd name="connsiteY4" fmla="*/ 29 h 2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26" h="2675">
                              <a:moveTo>
                                <a:pt x="98" y="29"/>
                              </a:moveTo>
                              <a:cubicBezTo>
                                <a:pt x="3742" y="-277"/>
                                <a:pt x="8146" y="1955"/>
                                <a:pt x="12226" y="1055"/>
                              </a:cubicBezTo>
                              <a:lnTo>
                                <a:pt x="12226" y="2675"/>
                              </a:lnTo>
                              <a:lnTo>
                                <a:pt x="0" y="1493"/>
                              </a:lnTo>
                              <a:lnTo>
                                <a:pt x="98" y="29"/>
                              </a:lnTo>
                              <a:close/>
                            </a:path>
                          </a:pathLst>
                        </a:custGeom>
                        <a:gradFill>
                          <a:gsLst>
                            <a:gs pos="0">
                              <a:srgbClr val="7EBEFF"/>
                            </a:gs>
                            <a:gs pos="59000">
                              <a:srgbClr val="7EBEFF"/>
                            </a:gs>
                            <a:gs pos="100000">
                              <a:srgbClr val="7EBEFF"/>
                            </a:gs>
                          </a:gsLst>
                        </a:gradFill>
                        <a:effectLst/>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任意多边形 11"/>
                      <wps:cNvSpPr/>
                      <wps:spPr>
                        <a:xfrm flipH="1">
                          <a:off x="5559" y="6801"/>
                          <a:ext cx="12607" cy="2119"/>
                        </a:xfrm>
                        <a:custGeom>
                          <a:avLst/>
                          <a:gdLst>
                            <a:gd name="connsiteX0" fmla="*/ 0 w 12239"/>
                            <a:gd name="connsiteY0" fmla="*/ 260 h 1879"/>
                            <a:gd name="connsiteX1" fmla="*/ 12239 w 12239"/>
                            <a:gd name="connsiteY1" fmla="*/ 260 h 1879"/>
                            <a:gd name="connsiteX2" fmla="*/ 12239 w 12239"/>
                            <a:gd name="connsiteY2" fmla="*/ 1880 h 1879"/>
                            <a:gd name="connsiteX3" fmla="*/ 0 w 12239"/>
                            <a:gd name="connsiteY3" fmla="*/ 1880 h 1879"/>
                            <a:gd name="connsiteX4" fmla="*/ 0 w 12239"/>
                            <a:gd name="connsiteY4" fmla="*/ 260 h 1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39" h="1880">
                              <a:moveTo>
                                <a:pt x="0" y="260"/>
                              </a:moveTo>
                              <a:cubicBezTo>
                                <a:pt x="4080" y="-640"/>
                                <a:pt x="8159" y="1160"/>
                                <a:pt x="12239" y="260"/>
                              </a:cubicBezTo>
                              <a:lnTo>
                                <a:pt x="12239" y="1880"/>
                              </a:lnTo>
                              <a:lnTo>
                                <a:pt x="0" y="1880"/>
                              </a:lnTo>
                              <a:lnTo>
                                <a:pt x="0" y="260"/>
                              </a:lnTo>
                              <a:close/>
                            </a:path>
                          </a:pathLst>
                        </a:custGeom>
                        <a:gradFill>
                          <a:gsLst>
                            <a:gs pos="0">
                              <a:srgbClr val="0A2751"/>
                            </a:gs>
                            <a:gs pos="50000">
                              <a:srgbClr val="183E78"/>
                            </a:gs>
                            <a:gs pos="100000">
                              <a:srgbClr val="1D4686"/>
                            </a:gs>
                          </a:gsLst>
                          <a:lin ang="10800000"/>
                        </a:gradFill>
                        <a:effectLst/>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7.2pt;margin-top:-28.4pt;height:150.8pt;width:630.95pt;z-index:-251656192;mso-width-relative:page;mso-height-relative:page;" coordorigin="5559,6271" coordsize="12619,3016" o:gfxdata="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">
              <o:lock v:ext="edit" aspectratio="f"/>
              <v:shape id="_x0000_s1026" o:spid="_x0000_s1026" o:spt="100" style="position:absolute;left:5673;top:6271;flip:x;height:3016;width:12505;rotation:-327680f;v-text-anchor:middle;" fillcolor="#7EBEFF" filled="t" stroked="f" coordsize="12226,2675" o:gfxdata="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HDpIugAAANsA&#10;AAAPAAAAAAAAAAEAIAAAACIAAABkcnMvZG93bnJldi54bWxQSwECFAAUAAAACACHTuJAMy8FnjsA&#10;AAA5AAAAEAAAAAAAAAABACAAAAAJAQAAZHJzL3NoYXBleG1sLnhtbFBLBQYAAAAABgAGAFsBAACz&#10;AwAAAAA=&#10;" path="m98,29c3742,-277,8146,1955,12226,1055l12226,2675,0,1493,98,29xe">
                <v:path o:connectlocs="100,32;12505,1189;12505,3016;0,1683;100,32" o:connectangles="0,0,0,0,0"/>
                <v:fill type="gradient" on="t" color2="#7EBEFF" angle="90" focus="50%" focussize="0,0" rotate="t">
                  <o:fill type="gradientUnscaled" v:ext="backwardCompatible"/>
                </v:fill>
                <v:stroke on="f"/>
                <v:imagedata o:title=""/>
                <o:lock v:ext="edit" aspectratio="f"/>
              </v:shape>
              <v:shape id="任意多边形 11" o:spid="_x0000_s1026" o:spt="100" style="position:absolute;left:5559;top:6801;flip:x;height:2119;width:12607;v-text-anchor:middle;" fillcolor="#0A2751" filled="t" stroked="f" coordsize="12239,1880" o:gfxdata="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j98augAAANsA&#10;AAAPAAAAAAAAAAEAIAAAACIAAABkcnMvZG93bnJldi54bWxQSwECFAAUAAAACACHTuJAMy8FnjsA&#10;AAA5AAAAEAAAAAAAAAABACAAAAAJAQAAZHJzL3NoYXBleG1sLnhtbFBLBQYAAAAABgAGAFsBAACz&#10;AwAAAAA=&#10;" path="m0,260c4080,-640,8159,1160,12239,260l12239,1880,0,1880,0,260xe">
                <v:path o:connectlocs="0,293;12607,293;12607,2120;0,2120;0,293" o:connectangles="0,0,0,0,0"/>
                <v:fill type="gradient" on="t" color2="#1D4686" colors="0f #0A2751;32768f #183E78;65536f #1D4686" angle="270" focus="100%" focussize="0,0" rotate="t">
                  <o:fill type="gradientUnscaled" v:ext="backwardCompatible"/>
                </v:fill>
                <v:stroke on="f"/>
                <v:imagedata o:title=""/>
                <o:lock v:ext="edit" aspectratio="f"/>
              </v:shape>
            </v:group>
          </w:pict>
        </mc:Fallback>
      </mc:AlternateContent>
    </w:r>
  </w:p>
  <w:p>
    <w:pPr>
      <w:pStyle w:val="4"/>
      <w:tabs>
        <w:tab w:val="left" w:pos="640"/>
      </w:tabs>
      <w:jc w:val="right"/>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sz w:val="21"/>
      </w:rPr>
      <mc:AlternateContent>
        <mc:Choice Requires="wps">
          <w:drawing>
            <wp:anchor distT="0" distB="0" distL="114300" distR="114300" simplePos="0" relativeHeight="251661312" behindDoc="0" locked="0" layoutInCell="1" allowOverlap="1">
              <wp:simplePos x="0" y="0"/>
              <wp:positionH relativeFrom="column">
                <wp:posOffset>2755900</wp:posOffset>
              </wp:positionH>
              <wp:positionV relativeFrom="paragraph">
                <wp:posOffset>132080</wp:posOffset>
              </wp:positionV>
              <wp:extent cx="3622040" cy="576580"/>
              <wp:effectExtent l="0" t="0" r="0" b="0"/>
              <wp:wrapNone/>
              <wp:docPr id="20" name="文本框 20"/>
              <wp:cNvGraphicFramePr/>
              <a:graphic xmlns:a="http://schemas.openxmlformats.org/drawingml/2006/main">
                <a:graphicData uri="http://schemas.microsoft.com/office/word/2010/wordprocessingShape">
                  <wps:wsp>
                    <wps:cNvSpPr txBox="1"/>
                    <wps:spPr>
                      <a:xfrm>
                        <a:off x="5161280" y="9408795"/>
                        <a:ext cx="3622040" cy="57658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4"/>
                            <w:tabs>
                              <w:tab w:val="left" w:pos="640"/>
                            </w:tabs>
                            <w:jc w:val="right"/>
                            <w:rPr>
                              <w:rFonts w:hint="eastAsia" w:ascii="微软雅黑" w:hAnsi="微软雅黑" w:eastAsia="微软雅黑" w:cs="微软雅黑"/>
                              <w:b w:val="0"/>
                              <w:bCs w:val="0"/>
                              <w:color w:val="FFFFFF" w:themeColor="background1"/>
                              <w:sz w:val="21"/>
                              <w:szCs w:val="21"/>
                              <w14:textFill>
                                <w14:solidFill>
                                  <w14:schemeClr w14:val="bg1"/>
                                </w14:solidFill>
                              </w14:textFill>
                            </w:rPr>
                          </w:pPr>
                          <w:r>
                            <w:rPr>
                              <w:rFonts w:hint="eastAsia" w:ascii="微软雅黑" w:hAnsi="微软雅黑" w:eastAsia="微软雅黑" w:cs="微软雅黑"/>
                              <w:b w:val="0"/>
                              <w:bCs w:val="0"/>
                              <w:color w:val="FFFFFF" w:themeColor="background1"/>
                              <w:sz w:val="21"/>
                              <w:szCs w:val="21"/>
                              <w14:textFill>
                                <w14:solidFill>
                                  <w14:schemeClr w14:val="bg1"/>
                                </w14:solidFill>
                              </w14:textFill>
                            </w:rPr>
                            <w:t>山东格林凯瑞精密仪器有限公司</w:t>
                          </w:r>
                          <w: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t xml:space="preserve">   </w:t>
                          </w:r>
                        </w:p>
                        <w:p>
                          <w:pPr>
                            <w:pStyle w:val="4"/>
                            <w:tabs>
                              <w:tab w:val="left" w:pos="640"/>
                            </w:tabs>
                            <w:jc w:val="right"/>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t>全国</w:t>
                          </w:r>
                          <w:r>
                            <w:rPr>
                              <w:rFonts w:hint="eastAsia" w:ascii="微软雅黑" w:hAnsi="微软雅黑" w:eastAsia="微软雅黑" w:cs="微软雅黑"/>
                              <w:b w:val="0"/>
                              <w:bCs w:val="0"/>
                              <w:color w:val="FFFFFF" w:themeColor="background1"/>
                              <w:sz w:val="21"/>
                              <w:szCs w:val="21"/>
                              <w14:textFill>
                                <w14:solidFill>
                                  <w14:schemeClr w14:val="bg1"/>
                                </w14:solidFill>
                              </w14:textFill>
                            </w:rPr>
                            <w:t>服务热线：400-6658-616</w:t>
                          </w:r>
                          <w: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t xml:space="preserve">   网址：www.cncod.cn</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pt;margin-top:10.4pt;height:45.4pt;width:285.2pt;z-index:251661312;mso-width-relative:page;mso-height-relative:page;" filled="f" stroked="f" coordsize="21600,21600" o:gfxdata="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hlea2QAAAAsBAAAPAAAAAAAAAAEAIAAA&#10;ACIAAABkcnMvZG93bnJldi54bWxQSwECFAAUAAAACACHTuJAU62GM0QCAABxBAAADgAAAAAAAAAB&#10;ACAAAAAoAQAAZHJzL2Uyb0RvYy54bWxQSwUGAAAAAAYABgBZAQAA3gUAAAAA&#10;">
              <v:fill on="f" focussize="0,0"/>
              <v:stroke on="f" weight="0pt"/>
              <v:imagedata o:title=""/>
              <o:lock v:ext="edit" aspectratio="f"/>
              <v:textbox>
                <w:txbxContent>
                  <w:p>
                    <w:pPr>
                      <w:pStyle w:val="4"/>
                      <w:tabs>
                        <w:tab w:val="left" w:pos="640"/>
                      </w:tabs>
                      <w:jc w:val="right"/>
                      <w:rPr>
                        <w:rFonts w:hint="eastAsia" w:ascii="微软雅黑" w:hAnsi="微软雅黑" w:eastAsia="微软雅黑" w:cs="微软雅黑"/>
                        <w:b w:val="0"/>
                        <w:bCs w:val="0"/>
                        <w:color w:val="FFFFFF" w:themeColor="background1"/>
                        <w:sz w:val="21"/>
                        <w:szCs w:val="21"/>
                        <w14:textFill>
                          <w14:solidFill>
                            <w14:schemeClr w14:val="bg1"/>
                          </w14:solidFill>
                        </w14:textFill>
                      </w:rPr>
                    </w:pPr>
                    <w:r>
                      <w:rPr>
                        <w:rFonts w:hint="eastAsia" w:ascii="微软雅黑" w:hAnsi="微软雅黑" w:eastAsia="微软雅黑" w:cs="微软雅黑"/>
                        <w:b w:val="0"/>
                        <w:bCs w:val="0"/>
                        <w:color w:val="FFFFFF" w:themeColor="background1"/>
                        <w:sz w:val="21"/>
                        <w:szCs w:val="21"/>
                        <w14:textFill>
                          <w14:solidFill>
                            <w14:schemeClr w14:val="bg1"/>
                          </w14:solidFill>
                        </w14:textFill>
                      </w:rPr>
                      <w:t>山东格林凯瑞精密仪器有限公司</w:t>
                    </w:r>
                    <w: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t xml:space="preserve">   </w:t>
                    </w:r>
                  </w:p>
                  <w:p>
                    <w:pPr>
                      <w:pStyle w:val="4"/>
                      <w:tabs>
                        <w:tab w:val="left" w:pos="640"/>
                      </w:tabs>
                      <w:jc w:val="right"/>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t>全国</w:t>
                    </w:r>
                    <w:r>
                      <w:rPr>
                        <w:rFonts w:hint="eastAsia" w:ascii="微软雅黑" w:hAnsi="微软雅黑" w:eastAsia="微软雅黑" w:cs="微软雅黑"/>
                        <w:b w:val="0"/>
                        <w:bCs w:val="0"/>
                        <w:color w:val="FFFFFF" w:themeColor="background1"/>
                        <w:sz w:val="21"/>
                        <w:szCs w:val="21"/>
                        <w14:textFill>
                          <w14:solidFill>
                            <w14:schemeClr w14:val="bg1"/>
                          </w14:solidFill>
                        </w14:textFill>
                      </w:rPr>
                      <w:t>服务热线：400-6658-616</w:t>
                    </w:r>
                    <w: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t xml:space="preserve">   网址：www.cncod.cn</w:t>
                    </w:r>
                  </w:p>
                  <w:p/>
                </w:txbxContent>
              </v:textbox>
            </v:shape>
          </w:pict>
        </mc:Fallback>
      </mc:AlternateContent>
    </w:r>
  </w:p>
  <w:p>
    <w:pPr>
      <w:pStyle w:val="4"/>
      <w:jc w:val="right"/>
      <w:rPr>
        <w:color w:val="FFFFFF" w:themeColor="background1"/>
        <w14:textFill>
          <w14:solidFill>
            <w14:schemeClr w14:val="bg1"/>
          </w14:solidFill>
        </w14:textFill>
      </w:rPr>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sz w:val="44"/>
        <w:szCs w:val="44"/>
        <w:lang w:eastAsia="zh-CN"/>
      </w:rPr>
      <w:drawing>
        <wp:anchor distT="0" distB="0" distL="114300" distR="114300" simplePos="0" relativeHeight="251738112" behindDoc="0" locked="0" layoutInCell="1" allowOverlap="1">
          <wp:simplePos x="0" y="0"/>
          <wp:positionH relativeFrom="column">
            <wp:posOffset>4617720</wp:posOffset>
          </wp:positionH>
          <wp:positionV relativeFrom="page">
            <wp:posOffset>245745</wp:posOffset>
          </wp:positionV>
          <wp:extent cx="1610995" cy="787400"/>
          <wp:effectExtent l="0" t="0" r="0" b="0"/>
          <wp:wrapNone/>
          <wp:docPr id="2" name="图片 2"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3"/>
                  <pic:cNvPicPr>
                    <a:picLocks noChangeAspect="1"/>
                  </pic:cNvPicPr>
                </pic:nvPicPr>
                <pic:blipFill>
                  <a:blip r:embed="rId1"/>
                  <a:stretch>
                    <a:fillRect/>
                  </a:stretch>
                </pic:blipFill>
                <pic:spPr>
                  <a:xfrm>
                    <a:off x="0" y="0"/>
                    <a:ext cx="1610995" cy="78740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7331DE"/>
    <w:rsid w:val="10B042A3"/>
    <w:rsid w:val="14C66AE1"/>
    <w:rsid w:val="17C13FE0"/>
    <w:rsid w:val="1DC27B53"/>
    <w:rsid w:val="20802770"/>
    <w:rsid w:val="400F46BF"/>
    <w:rsid w:val="51A350E5"/>
    <w:rsid w:val="54D62060"/>
    <w:rsid w:val="552F6FD9"/>
    <w:rsid w:val="5902412B"/>
    <w:rsid w:val="5CA8036A"/>
    <w:rsid w:val="5F312D94"/>
    <w:rsid w:val="61192E40"/>
    <w:rsid w:val="6C6E1172"/>
    <w:rsid w:val="6ED7739D"/>
    <w:rsid w:val="7A1E65FF"/>
    <w:rsid w:val="7A6C10E5"/>
    <w:rsid w:val="7B7331DE"/>
    <w:rsid w:val="7EDB70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customStyle="1" w:styleId="11">
    <w:name w:val="小标题"/>
    <w:basedOn w:val="3"/>
    <w:qFormat/>
    <w:uiPriority w:val="0"/>
    <w:rPr>
      <w:rFonts w:ascii="微软雅黑" w:hAnsi="微软雅黑" w:eastAsia="微软雅黑" w:cs="微软雅黑"/>
      <w:b/>
      <w:color w:val="1D4686"/>
      <w:sz w:val="24"/>
    </w:rPr>
  </w:style>
  <w:style w:type="paragraph" w:customStyle="1" w:styleId="12">
    <w:name w:val="格林正文"/>
    <w:basedOn w:val="3"/>
    <w:qFormat/>
    <w:uiPriority w:val="0"/>
    <w:rPr>
      <w:rFonts w:ascii="微软雅黑" w:hAnsi="微软雅黑" w:eastAsia="微软雅黑" w:cs="微软雅黑"/>
      <w:color w:val="3F3F3F"/>
      <w:sz w:val="19"/>
      <w:szCs w:val="19"/>
    </w:rPr>
  </w:style>
  <w:style w:type="paragraph" w:customStyle="1" w:styleId="13">
    <w:name w:val="产品名称"/>
    <w:basedOn w:val="1"/>
    <w:qFormat/>
    <w:uiPriority w:val="0"/>
    <w:rPr>
      <w:rFonts w:ascii="微软雅黑" w:hAnsi="微软雅黑" w:eastAsia="微软雅黑" w:cs="微软雅黑"/>
      <w:b/>
      <w:bCs/>
      <w:color w:val="1D4686"/>
      <w:sz w:val="40"/>
      <w:szCs w:val="4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2020-02-06T13:06:00Z</dcterms:created>
  <dc:creator>王一</dc:creator>
  <cp:lastModifiedBy>王炜炜</cp:lastModifiedBy>
  <cp:lastPrinted>2020-03-04T04:40:00Z</cp:lastPrinted>
  <dcterms:modified xsi:type="dcterms:W3CDTF">2021-01-16T02:11:48Z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