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ind w:right="57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hint="eastAsia" w:ascii="微软雅黑" w:hAnsi="微软雅黑" w:cs="Arial"/>
          <w:b/>
          <w:bCs/>
          <w:color w:val="333333"/>
          <w:sz w:val="28"/>
        </w:rPr>
        <w:t>产品介绍：</w:t>
      </w:r>
    </w:p>
    <w:p>
      <w:pPr>
        <w:adjustRightInd/>
        <w:snapToGrid/>
        <w:spacing w:before="100" w:beforeAutospacing="1" w:after="100" w:afterAutospacing="1"/>
        <w:ind w:right="57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ascii="Arial" w:hAnsi="Arial" w:eastAsia="宋体" w:cs="Arial"/>
          <w:color w:val="333333"/>
          <w:sz w:val="20"/>
          <w:szCs w:val="20"/>
        </w:rPr>
        <w:t>   </w:t>
      </w:r>
      <w:r>
        <w:rPr>
          <w:rFonts w:hint="eastAsia" w:ascii="微软雅黑" w:hAnsi="微软雅黑" w:cs="Arial"/>
          <w:b/>
          <w:bCs/>
          <w:color w:val="000000"/>
          <w:sz w:val="21"/>
        </w:rPr>
        <w:t>TS-1000S重金属检测仪</w:t>
      </w:r>
      <w:r>
        <w:rPr>
          <w:rFonts w:hint="eastAsia" w:ascii="微软雅黑" w:hAnsi="微软雅黑" w:cs="Arial"/>
          <w:color w:val="000000"/>
          <w:sz w:val="21"/>
          <w:szCs w:val="21"/>
        </w:rPr>
        <w:t>采用电化学</w:t>
      </w:r>
      <w:r>
        <w:rPr>
          <w:rFonts w:hint="eastAsia" w:ascii="微软雅黑" w:hAnsi="微软雅黑" w:cs="Arial"/>
          <w:color w:val="333333"/>
          <w:sz w:val="21"/>
          <w:szCs w:val="21"/>
        </w:rPr>
        <w:t>阳极溶出伏安法。检出限低（可达ppb级），</w:t>
      </w:r>
      <w:r>
        <w:rPr>
          <w:rFonts w:hint="eastAsia" w:ascii="微软雅黑" w:hAnsi="微软雅黑" w:cs="Arial"/>
          <w:color w:val="000000"/>
          <w:sz w:val="21"/>
          <w:szCs w:val="21"/>
        </w:rPr>
        <w:t>性能稳定，便于携带。同时配备自主研发的快速样品前处理流程，有效解决了样品前处理耗时问题，大幅减少检测所需的样品量，有利于样品处理通量的提高。配备适用自主研发的丝网印刷电极，即用即抛</w:t>
      </w:r>
      <w:r>
        <w:rPr>
          <w:rFonts w:hint="eastAsia" w:ascii="微软雅黑" w:hAnsi="微软雅黑" w:cs="Arial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cs="Arial"/>
          <w:color w:val="000000"/>
          <w:sz w:val="21"/>
          <w:szCs w:val="21"/>
        </w:rPr>
        <w:t>充分提高检测效率</w:t>
      </w:r>
      <w:bookmarkStart w:id="0" w:name="_GoBack"/>
      <w:bookmarkEnd w:id="0"/>
      <w:r>
        <w:rPr>
          <w:rFonts w:hint="eastAsia" w:ascii="微软雅黑" w:hAnsi="微软雅黑" w:cs="Arial"/>
          <w:color w:val="000000"/>
          <w:sz w:val="21"/>
          <w:szCs w:val="21"/>
        </w:rPr>
        <w:t>。</w:t>
      </w:r>
    </w:p>
    <w:p>
      <w:pPr>
        <w:adjustRightInd/>
        <w:snapToGrid/>
        <w:spacing w:before="100" w:beforeAutospacing="1" w:after="100" w:afterAutospacing="1"/>
        <w:ind w:right="55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hint="eastAsia" w:ascii="微软雅黑" w:hAnsi="微软雅黑" w:cs="Arial"/>
          <w:color w:val="000000"/>
          <w:sz w:val="21"/>
          <w:szCs w:val="21"/>
        </w:rPr>
        <w:t>检测项目：铅、镉、铜、锌、汞、砷、六价铬、铝等元素</w:t>
      </w:r>
    </w:p>
    <w:p>
      <w:pPr>
        <w:adjustRightInd/>
        <w:snapToGrid/>
        <w:spacing w:before="100" w:beforeAutospacing="1" w:after="100" w:afterAutospacing="1"/>
        <w:ind w:right="57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hint="eastAsia" w:ascii="微软雅黑" w:hAnsi="微软雅黑" w:cs="Arial"/>
          <w:color w:val="000000"/>
          <w:sz w:val="21"/>
          <w:szCs w:val="21"/>
        </w:rPr>
        <w:t>适用范围：稻谷、糙米、大米、小麦等粮食样品、水产品、蔬菜、乳及乳制品、茶叶、饲料、面制品等</w:t>
      </w:r>
    </w:p>
    <w:p>
      <w:pPr>
        <w:adjustRightInd/>
        <w:snapToGrid/>
        <w:spacing w:before="100" w:beforeAutospacing="1" w:after="100" w:afterAutospacing="1"/>
        <w:ind w:right="57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hint="eastAsia" w:ascii="微软雅黑" w:hAnsi="微软雅黑" w:cs="Arial"/>
          <w:b/>
          <w:bCs/>
          <w:color w:val="333333"/>
          <w:sz w:val="28"/>
        </w:rPr>
        <w:t>产品优势：</w:t>
      </w:r>
    </w:p>
    <w:p>
      <w:pPr>
        <w:adjustRightInd/>
        <w:snapToGrid/>
        <w:spacing w:before="100" w:beforeAutospacing="1" w:after="100" w:afterAutospacing="1"/>
        <w:ind w:right="57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hint="eastAsia" w:ascii="微软雅黑" w:hAnsi="微软雅黑" w:cs="Arial"/>
          <w:color w:val="000000"/>
          <w:sz w:val="21"/>
          <w:szCs w:val="21"/>
        </w:rPr>
        <w:t>     南京腾森分析仪器有限公司自主研发的重金属检测仪，铅镉可同时检测，同时出两个结果，整个检测过程大约2</w:t>
      </w:r>
      <w:r>
        <w:rPr>
          <w:rFonts w:hint="eastAsia" w:ascii="微软雅黑" w:hAnsi="微软雅黑" w:cs="Arial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Arial"/>
          <w:color w:val="000000"/>
          <w:sz w:val="21"/>
          <w:szCs w:val="21"/>
        </w:rPr>
        <w:t>分钟</w:t>
      </w:r>
      <w:r>
        <w:rPr>
          <w:rFonts w:hint="eastAsia" w:ascii="微软雅黑" w:hAnsi="微软雅黑" w:cs="Arial"/>
          <w:color w:val="000000"/>
          <w:sz w:val="21"/>
          <w:szCs w:val="21"/>
          <w:lang w:eastAsia="zh-CN"/>
        </w:rPr>
        <w:t>以内</w:t>
      </w:r>
      <w:r>
        <w:rPr>
          <w:rFonts w:hint="eastAsia" w:ascii="微软雅黑" w:hAnsi="微软雅黑" w:cs="Arial"/>
          <w:color w:val="000000"/>
          <w:sz w:val="21"/>
          <w:szCs w:val="21"/>
        </w:rPr>
        <w:t>，前处理过程不需要浓酸，也无需加热消解，操作非常方便。</w:t>
      </w:r>
      <w:r>
        <w:rPr>
          <w:rFonts w:hint="eastAsia" w:ascii="微软雅黑" w:hAnsi="微软雅黑" w:cs="Arial"/>
          <w:b/>
          <w:bCs/>
          <w:color w:val="000000"/>
          <w:sz w:val="21"/>
        </w:rPr>
        <w:t>TS-1000S重金属检测仪</w:t>
      </w:r>
      <w:r>
        <w:rPr>
          <w:rFonts w:hint="eastAsia" w:ascii="微软雅黑" w:hAnsi="微软雅黑" w:cs="Arial"/>
          <w:color w:val="000000"/>
          <w:sz w:val="21"/>
          <w:szCs w:val="21"/>
        </w:rPr>
        <w:t>使用丝网印刷电极，即用即抛，无需打磨维护，检测时无需电极处理、电极镀膜，仪器使用Linux系统，操作简单；可现场打印检测结果也可导出数据供分析记录使用，仪器可扩展检测其他食品安全项目。</w:t>
      </w:r>
    </w:p>
    <w:p>
      <w:pPr>
        <w:adjustRightInd/>
        <w:snapToGrid/>
        <w:spacing w:before="100" w:beforeAutospacing="1" w:after="100" w:afterAutospacing="1"/>
        <w:ind w:right="57"/>
        <w:rPr>
          <w:rFonts w:ascii="Arial" w:hAnsi="Arial" w:eastAsia="宋体" w:cs="Arial"/>
          <w:color w:val="333333"/>
          <w:sz w:val="20"/>
          <w:szCs w:val="20"/>
        </w:rPr>
      </w:pPr>
      <w:r>
        <w:rPr>
          <w:rFonts w:hint="eastAsia" w:ascii="微软雅黑" w:hAnsi="微软雅黑" w:cs="Arial"/>
          <w:b/>
          <w:bCs/>
          <w:color w:val="333333"/>
          <w:sz w:val="28"/>
        </w:rPr>
        <w:t>仪器参数：</w:t>
      </w:r>
    </w:p>
    <w:tbl>
      <w:tblPr>
        <w:tblStyle w:val="7"/>
        <w:tblW w:w="8085" w:type="dxa"/>
        <w:tblInd w:w="392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5295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检测方法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电化学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检出限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线性范围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0.05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μg/L-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000μg/L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default" w:ascii="微软雅黑" w:hAnsi="微软雅黑" w:eastAsia="微软雅黑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val="en-US" w:eastAsia="zh-CN"/>
              </w:rPr>
              <w:t>方法准确度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RSD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测试环境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0-40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C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检测时间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样品精确定量测试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≤2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min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检测样品数量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可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1-8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个样品同时检测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重复性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同一台设备两次独立测定结果的绝对差不超过算术平均值的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稳定性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连续测定同一样品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12h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，每小时测定一次的结果之间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RSD≤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前处理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常温提取，无需高温、高压等危险操作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测试方式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微量体系，无需复杂搅拌装置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检测模块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无需外部连接检测模块，在仪器上即可完成检测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数据接口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以太网、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USB2.0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接口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检测时长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内置锂电池，至少满足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3-4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小时户外流动应急检测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存储容量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8G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内存，以便存储日常检测数据及视频数据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测试数据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自带打印功能，可随时打印，可外接无线云端，可对接资源平台，数据可随时上传监控平台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电极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自带一次性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丝网印刷电极，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即用即抛，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无需打磨、清洗电极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主机重量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≤10kg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软件模式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直接定量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软件结果输出格式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测试报告自动生成，可输出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pdf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格式，可自动保存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  <w:lang w:eastAsia="zh-CN"/>
              </w:rPr>
              <w:t>主机电源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220V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9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显示屏</w:t>
            </w:r>
          </w:p>
        </w:tc>
        <w:tc>
          <w:tcPr>
            <w:tcW w:w="5295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彩色液晶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显示屏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微软雅黑" w:hAnsi="微软雅黑" w:cs="Arial"/>
                <w:color w:val="000000"/>
                <w:sz w:val="18"/>
                <w:szCs w:val="18"/>
                <w:lang w:eastAsia="zh-CN"/>
              </w:rPr>
              <w:t>可触屏操作</w:t>
            </w:r>
          </w:p>
        </w:tc>
      </w:tr>
    </w:tbl>
    <w:p/>
    <w:p>
      <w:r>
        <w:rPr>
          <w:rStyle w:val="9"/>
          <w:rFonts w:ascii="Arial" w:hAnsi="Arial" w:cs="Arial"/>
          <w:color w:val="FF0000"/>
          <w:sz w:val="42"/>
          <w:szCs w:val="42"/>
          <w:shd w:val="clear" w:color="auto" w:fill="FFFFFF"/>
        </w:rPr>
        <w:t>详情请咨询：4008288428</w:t>
      </w:r>
    </w:p>
    <w:p/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rPr>
          <w:rFonts w:ascii="Times New Roman" w:hAnsi="宋体"/>
          <w:color w:val="000000"/>
          <w:sz w:val="18"/>
          <w:szCs w:val="18"/>
        </w:rPr>
      </w:pPr>
    </w:p>
    <w:p>
      <w:pPr>
        <w:spacing w:line="400" w:lineRule="exact"/>
        <w:ind w:right="57"/>
        <w:rPr>
          <w:rFonts w:ascii="Times New Roman" w:hAnsi="Times New Roman"/>
          <w:b/>
          <w:sz w:val="28"/>
          <w:szCs w:val="28"/>
        </w:rPr>
      </w:pPr>
    </w:p>
    <w:p>
      <w:pPr>
        <w:spacing w:line="400" w:lineRule="exact"/>
        <w:ind w:right="57"/>
        <w:rPr>
          <w:rFonts w:ascii="Times New Roman" w:hAnsi="Times New Roman"/>
          <w:b/>
          <w:sz w:val="28"/>
          <w:szCs w:val="28"/>
        </w:rPr>
      </w:pPr>
    </w:p>
    <w:p>
      <w:pPr>
        <w:spacing w:line="400" w:lineRule="exact"/>
        <w:ind w:right="57"/>
        <w:rPr>
          <w:rFonts w:ascii="Times New Roman" w:hAnsi="Times New Roman"/>
          <w:b/>
          <w:sz w:val="28"/>
          <w:szCs w:val="28"/>
        </w:rPr>
      </w:pPr>
    </w:p>
    <w:p>
      <w:pPr>
        <w:spacing w:line="400" w:lineRule="exact"/>
        <w:ind w:right="57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54C4"/>
    <w:rsid w:val="0000606C"/>
    <w:rsid w:val="0005628B"/>
    <w:rsid w:val="0006092D"/>
    <w:rsid w:val="00086744"/>
    <w:rsid w:val="000A1E6B"/>
    <w:rsid w:val="000A40D5"/>
    <w:rsid w:val="000B1670"/>
    <w:rsid w:val="000C5D1C"/>
    <w:rsid w:val="000E44EB"/>
    <w:rsid w:val="00101793"/>
    <w:rsid w:val="001043D1"/>
    <w:rsid w:val="00154026"/>
    <w:rsid w:val="001621CC"/>
    <w:rsid w:val="0017217A"/>
    <w:rsid w:val="001B0663"/>
    <w:rsid w:val="001C4796"/>
    <w:rsid w:val="001D3CC1"/>
    <w:rsid w:val="00200ABD"/>
    <w:rsid w:val="00202D9E"/>
    <w:rsid w:val="00204432"/>
    <w:rsid w:val="002073DF"/>
    <w:rsid w:val="00240D18"/>
    <w:rsid w:val="002515A0"/>
    <w:rsid w:val="0028256D"/>
    <w:rsid w:val="0028275A"/>
    <w:rsid w:val="002F4BC1"/>
    <w:rsid w:val="003030C8"/>
    <w:rsid w:val="00314E53"/>
    <w:rsid w:val="00315356"/>
    <w:rsid w:val="00323B43"/>
    <w:rsid w:val="0033635E"/>
    <w:rsid w:val="003503C3"/>
    <w:rsid w:val="003632B4"/>
    <w:rsid w:val="003A2DD1"/>
    <w:rsid w:val="003D37D8"/>
    <w:rsid w:val="003F32D7"/>
    <w:rsid w:val="003F3736"/>
    <w:rsid w:val="00407FDE"/>
    <w:rsid w:val="00417614"/>
    <w:rsid w:val="00426133"/>
    <w:rsid w:val="00427A8C"/>
    <w:rsid w:val="00432789"/>
    <w:rsid w:val="004358AB"/>
    <w:rsid w:val="00446B2D"/>
    <w:rsid w:val="00486157"/>
    <w:rsid w:val="004B2B02"/>
    <w:rsid w:val="004D71A8"/>
    <w:rsid w:val="00575D44"/>
    <w:rsid w:val="0060322D"/>
    <w:rsid w:val="00661171"/>
    <w:rsid w:val="00686E47"/>
    <w:rsid w:val="006A3FC9"/>
    <w:rsid w:val="006A519C"/>
    <w:rsid w:val="00766F27"/>
    <w:rsid w:val="007C1889"/>
    <w:rsid w:val="007C5F87"/>
    <w:rsid w:val="007D6D41"/>
    <w:rsid w:val="007F00CA"/>
    <w:rsid w:val="008071B9"/>
    <w:rsid w:val="0081664A"/>
    <w:rsid w:val="00820895"/>
    <w:rsid w:val="008532BA"/>
    <w:rsid w:val="00855820"/>
    <w:rsid w:val="00856A88"/>
    <w:rsid w:val="00860B11"/>
    <w:rsid w:val="00875848"/>
    <w:rsid w:val="00886D37"/>
    <w:rsid w:val="00896EB9"/>
    <w:rsid w:val="008B7726"/>
    <w:rsid w:val="008C61D2"/>
    <w:rsid w:val="008D7D24"/>
    <w:rsid w:val="00923574"/>
    <w:rsid w:val="009457E8"/>
    <w:rsid w:val="0097248B"/>
    <w:rsid w:val="009D1632"/>
    <w:rsid w:val="009E5E21"/>
    <w:rsid w:val="00AD69BA"/>
    <w:rsid w:val="00AF6809"/>
    <w:rsid w:val="00B03A4C"/>
    <w:rsid w:val="00B26C97"/>
    <w:rsid w:val="00B531CD"/>
    <w:rsid w:val="00B579CC"/>
    <w:rsid w:val="00B67F55"/>
    <w:rsid w:val="00BC609E"/>
    <w:rsid w:val="00C56F00"/>
    <w:rsid w:val="00C6513F"/>
    <w:rsid w:val="00C75FA0"/>
    <w:rsid w:val="00C868A9"/>
    <w:rsid w:val="00CB181B"/>
    <w:rsid w:val="00CE0814"/>
    <w:rsid w:val="00CF56E2"/>
    <w:rsid w:val="00CF6530"/>
    <w:rsid w:val="00D13B0C"/>
    <w:rsid w:val="00D31D50"/>
    <w:rsid w:val="00D32805"/>
    <w:rsid w:val="00D94B16"/>
    <w:rsid w:val="00DB36FE"/>
    <w:rsid w:val="00E45D3C"/>
    <w:rsid w:val="00E63B46"/>
    <w:rsid w:val="00E63BE2"/>
    <w:rsid w:val="00F363F2"/>
    <w:rsid w:val="00F64C7C"/>
    <w:rsid w:val="00FA65D0"/>
    <w:rsid w:val="00FB0198"/>
    <w:rsid w:val="00FC68AF"/>
    <w:rsid w:val="00FD4E7B"/>
    <w:rsid w:val="09D47F3D"/>
    <w:rsid w:val="0BDE2A00"/>
    <w:rsid w:val="0D736618"/>
    <w:rsid w:val="132910BA"/>
    <w:rsid w:val="1533488D"/>
    <w:rsid w:val="1A0B38F0"/>
    <w:rsid w:val="254C1D16"/>
    <w:rsid w:val="29AB16A4"/>
    <w:rsid w:val="2BC54C4F"/>
    <w:rsid w:val="2D61026F"/>
    <w:rsid w:val="3204628E"/>
    <w:rsid w:val="42DF4AFD"/>
    <w:rsid w:val="458A1FC7"/>
    <w:rsid w:val="498C7C68"/>
    <w:rsid w:val="55EE7D6E"/>
    <w:rsid w:val="55F60C5E"/>
    <w:rsid w:val="58B252A2"/>
    <w:rsid w:val="58F51F65"/>
    <w:rsid w:val="5E9D01BC"/>
    <w:rsid w:val="61C17CBF"/>
    <w:rsid w:val="6E586860"/>
    <w:rsid w:val="74087768"/>
    <w:rsid w:val="7C9E398B"/>
    <w:rsid w:val="7F3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widowControl w:val="0"/>
      <w:adjustRightInd/>
      <w:snapToGrid/>
      <w:spacing w:beforeAutospacing="1" w:after="0" w:afterAutospacing="1" w:line="259" w:lineRule="auto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宋体" w:hAnsi="宋体" w:eastAsia="宋体" w:cs="Times New Roman"/>
      <w:b/>
      <w:sz w:val="27"/>
      <w:szCs w:val="27"/>
    </w:rPr>
  </w:style>
  <w:style w:type="character" w:customStyle="1" w:styleId="14">
    <w:name w:val="fontstyle01"/>
    <w:qFormat/>
    <w:uiPriority w:val="0"/>
    <w:rPr>
      <w:color w:val="57585A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1012</Characters>
  <Lines>8</Lines>
  <Paragraphs>2</Paragraphs>
  <TotalTime>12</TotalTime>
  <ScaleCrop>false</ScaleCrop>
  <LinksUpToDate>false</LinksUpToDate>
  <CharactersWithSpaces>1187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介绍一下自己吧</cp:lastModifiedBy>
  <dcterms:modified xsi:type="dcterms:W3CDTF">2021-01-08T08:00:00Z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