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spacing w:line="330" w:lineRule="atLeast"/>
        <w:jc w:val="center"/>
        <w:rPr>
          <w:rStyle w:val="6"/>
          <w:rFonts w:hint="default" w:ascii="Arial" w:hAnsi="Arial" w:eastAsia="宋体" w:cs="Arial"/>
          <w:color w:val="666666"/>
          <w:kern w:val="0"/>
          <w:sz w:val="28"/>
          <w:szCs w:val="28"/>
          <w:u w:val="none"/>
          <w:lang w:val="en-US" w:eastAsia="zh-CN" w:bidi="ar"/>
        </w:rPr>
      </w:pPr>
      <w:r>
        <w:rPr>
          <w:rFonts w:hint="eastAsia" w:ascii="微软雅黑" w:hAnsi="微软雅黑" w:eastAsia="微软雅黑" w:cs="微软雅黑"/>
          <w:color w:val="000000"/>
          <w:kern w:val="0"/>
          <w:sz w:val="28"/>
          <w:szCs w:val="28"/>
          <w:u w:val="none"/>
          <w:lang w:val="en-US" w:eastAsia="zh-CN" w:bidi="ar"/>
        </w:rPr>
        <w:t>德尔格Aerotest Alpha型压缩空气质量检测仪</w:t>
      </w:r>
    </w:p>
    <w:p>
      <w:pPr>
        <w:keepNext w:val="0"/>
        <w:keepLines w:val="0"/>
        <w:widowControl/>
        <w:suppressLineNumbers w:val="0"/>
        <w:pBdr>
          <w:top w:val="none" w:color="auto" w:sz="0" w:space="0"/>
        </w:pBdr>
        <w:spacing w:line="330" w:lineRule="atLeast"/>
        <w:jc w:val="left"/>
        <w:rPr>
          <w:rFonts w:ascii="Arial" w:hAnsi="Arial" w:cs="Arial"/>
          <w:color w:val="666666"/>
          <w:sz w:val="18"/>
          <w:szCs w:val="18"/>
          <w:u w:val="none"/>
        </w:rPr>
      </w:pPr>
      <w:r>
        <w:rPr>
          <w:rStyle w:val="6"/>
          <w:rFonts w:hint="default" w:ascii="Arial" w:hAnsi="Arial" w:eastAsia="宋体" w:cs="Arial"/>
          <w:color w:val="666666"/>
          <w:kern w:val="0"/>
          <w:sz w:val="36"/>
          <w:szCs w:val="36"/>
          <w:u w:val="none"/>
          <w:lang w:val="en-US" w:eastAsia="zh-CN" w:bidi="ar"/>
        </w:rPr>
        <w:fldChar w:fldCharType="begin"/>
      </w:r>
      <w:r>
        <w:rPr>
          <w:rStyle w:val="6"/>
          <w:rFonts w:hint="default" w:ascii="Arial" w:hAnsi="Arial" w:eastAsia="宋体" w:cs="Arial"/>
          <w:color w:val="666666"/>
          <w:kern w:val="0"/>
          <w:sz w:val="36"/>
          <w:szCs w:val="36"/>
          <w:u w:val="none"/>
          <w:lang w:val="en-US" w:eastAsia="zh-CN" w:bidi="ar"/>
        </w:rPr>
        <w:instrText xml:space="preserve">INCLUDEPICTURE \d "http://www.qdloobo.cn/UploadFiles/201597112438241.jpg" \* MERGEFORMATINET </w:instrText>
      </w:r>
      <w:r>
        <w:rPr>
          <w:rStyle w:val="6"/>
          <w:rFonts w:hint="default" w:ascii="Arial" w:hAnsi="Arial" w:eastAsia="宋体" w:cs="Arial"/>
          <w:color w:val="666666"/>
          <w:kern w:val="0"/>
          <w:sz w:val="36"/>
          <w:szCs w:val="36"/>
          <w:u w:val="none"/>
          <w:lang w:val="en-US" w:eastAsia="zh-CN" w:bidi="ar"/>
        </w:rPr>
        <w:fldChar w:fldCharType="separate"/>
      </w:r>
      <w:r>
        <w:rPr>
          <w:rStyle w:val="6"/>
          <w:rFonts w:hint="default" w:ascii="Arial" w:hAnsi="Arial" w:eastAsia="宋体" w:cs="Arial"/>
          <w:color w:val="666666"/>
          <w:kern w:val="0"/>
          <w:sz w:val="36"/>
          <w:szCs w:val="36"/>
          <w:u w:val="none"/>
          <w:lang w:val="en-US" w:eastAsia="zh-CN" w:bidi="ar"/>
        </w:rPr>
        <w:drawing>
          <wp:inline distT="0" distB="0" distL="114300" distR="114300">
            <wp:extent cx="2952750" cy="2533650"/>
            <wp:effectExtent l="0" t="0" r="3810" b="1143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2952750" cy="2533650"/>
                    </a:xfrm>
                    <a:prstGeom prst="rect">
                      <a:avLst/>
                    </a:prstGeom>
                    <a:noFill/>
                    <a:ln w="9525">
                      <a:noFill/>
                    </a:ln>
                  </pic:spPr>
                </pic:pic>
              </a:graphicData>
            </a:graphic>
          </wp:inline>
        </w:drawing>
      </w:r>
      <w:r>
        <w:rPr>
          <w:rStyle w:val="6"/>
          <w:rFonts w:hint="default" w:ascii="Arial" w:hAnsi="Arial" w:eastAsia="宋体" w:cs="Arial"/>
          <w:color w:val="666666"/>
          <w:kern w:val="0"/>
          <w:sz w:val="36"/>
          <w:szCs w:val="36"/>
          <w:u w:val="none"/>
          <w:lang w:val="en-US" w:eastAsia="zh-CN" w:bidi="ar"/>
        </w:rPr>
        <w:fldChar w:fldCharType="end"/>
      </w:r>
      <w:r>
        <w:rPr>
          <w:rStyle w:val="6"/>
          <w:rFonts w:hint="default" w:ascii="Arial" w:hAnsi="Arial" w:eastAsia="宋体" w:cs="Arial"/>
          <w:color w:val="666666"/>
          <w:kern w:val="0"/>
          <w:sz w:val="36"/>
          <w:szCs w:val="36"/>
          <w:u w:val="none"/>
          <w:lang w:val="en-US" w:eastAsia="zh-CN" w:bidi="ar"/>
        </w:rPr>
        <w:t> </w:t>
      </w:r>
      <w:bookmarkStart w:id="0" w:name="_GoBack"/>
      <w:bookmarkEnd w:id="0"/>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Style w:val="6"/>
          <w:rFonts w:hint="default" w:ascii="Arial" w:hAnsi="Arial" w:eastAsia="宋体" w:cs="Arial"/>
          <w:color w:val="666666"/>
          <w:kern w:val="0"/>
          <w:sz w:val="21"/>
          <w:szCs w:val="21"/>
          <w:u w:val="none"/>
          <w:lang w:val="en-US" w:eastAsia="zh-CN" w:bidi="ar"/>
        </w:rPr>
        <w:t>德尔格 Aerotest Alpha 压缩空气质量检测仪</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德尔格 Aerotest Alpha 压缩空气质量检测仪 在低压范围的呼吸空气纯度测量方面的质量无与伦比。</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Style w:val="6"/>
          <w:rFonts w:hint="default" w:ascii="Arial" w:hAnsi="Arial" w:eastAsia="宋体" w:cs="Arial"/>
          <w:color w:val="666666"/>
          <w:kern w:val="0"/>
          <w:sz w:val="21"/>
          <w:szCs w:val="21"/>
          <w:u w:val="none"/>
          <w:lang w:val="en-US" w:eastAsia="zh-CN" w:bidi="ar"/>
        </w:rPr>
        <w:t>已检测的呼吸空气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拥有 德尔格 Aerotest Alpha，就可以检测压缩机或压缩汽缸供应的呼吸空气质量。 通过该检测系统可确保对呼吸系统的可靠检测，符合应用分类 EN12021 标准。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Style w:val="6"/>
          <w:rFonts w:hint="default" w:ascii="Arial" w:hAnsi="Arial" w:eastAsia="宋体" w:cs="Arial"/>
          <w:color w:val="666666"/>
          <w:kern w:val="0"/>
          <w:sz w:val="21"/>
          <w:szCs w:val="21"/>
          <w:u w:val="none"/>
          <w:lang w:val="en-US" w:eastAsia="zh-CN" w:bidi="ar"/>
        </w:rPr>
        <w:t>污染物检测与测量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拥有 德尔格 Aerotest Alpha，就可以可靠地确认各种潜在污染物，如一氧化碳、二氧化碳、压缩空气中的水蒸气或油。 测量值可以选择同时或分别进行确认。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Style w:val="6"/>
          <w:rFonts w:hint="default" w:ascii="Arial" w:hAnsi="Arial" w:eastAsia="宋体" w:cs="Arial"/>
          <w:color w:val="666666"/>
          <w:kern w:val="0"/>
          <w:sz w:val="21"/>
          <w:szCs w:val="21"/>
          <w:u w:val="none"/>
          <w:lang w:val="en-US" w:eastAsia="zh-CN" w:bidi="ar"/>
        </w:rPr>
        <w:t>快速、使用方便</w:t>
      </w:r>
      <w:r>
        <w:rPr>
          <w:rFonts w:hint="default" w:ascii="Arial" w:hAnsi="Arial" w:eastAsia="宋体" w:cs="Arial"/>
          <w:color w:val="666666"/>
          <w:kern w:val="0"/>
          <w:sz w:val="21"/>
          <w:szCs w:val="21"/>
          <w:u w:val="none"/>
          <w:lang w:val="en-US" w:eastAsia="zh-CN" w:bidi="ar"/>
        </w:rPr>
        <w:t>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使用插头连接，测量设备可不使用电源、可连接至低压压缩空气供应系统，易于监测，放心无忧。 只需五分钟，快速检查功能即可发送精确测量结果并告知污染程度。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Style w:val="6"/>
          <w:rFonts w:hint="default" w:ascii="Arial" w:hAnsi="Arial" w:eastAsia="宋体" w:cs="Arial"/>
          <w:color w:val="666666"/>
          <w:kern w:val="0"/>
          <w:sz w:val="21"/>
          <w:szCs w:val="21"/>
          <w:u w:val="none"/>
          <w:lang w:val="en-US" w:eastAsia="zh-CN" w:bidi="ar"/>
        </w:rPr>
        <w:t>德尔格油检测盒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新型德尔格油检测盒的研发专门用于检测和检查压缩空气有无油雾。 除了普通常用的油之外，现在首次实现了检测合成油—不考虑油的种类或粘度。 广泛的测量范围(带比例换算)可确保精确读取准确数值。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Style w:val="6"/>
          <w:rFonts w:hint="default" w:ascii="Arial" w:hAnsi="Arial" w:eastAsia="宋体" w:cs="Arial"/>
          <w:color w:val="666666"/>
          <w:kern w:val="0"/>
          <w:sz w:val="21"/>
          <w:szCs w:val="21"/>
          <w:u w:val="none"/>
          <w:lang w:val="en-US" w:eastAsia="zh-CN" w:bidi="ar"/>
        </w:rPr>
        <w:t>功能与特点：</w:t>
      </w:r>
      <w:r>
        <w:rPr>
          <w:rFonts w:hint="default" w:ascii="Arial" w:hAnsi="Arial" w:eastAsia="宋体" w:cs="Arial"/>
          <w:color w:val="666666"/>
          <w:kern w:val="0"/>
          <w:sz w:val="21"/>
          <w:szCs w:val="21"/>
          <w:u w:val="none"/>
          <w:lang w:val="en-US" w:eastAsia="zh-CN" w:bidi="ar"/>
        </w:rPr>
        <w:t> </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◇用于检测呼吸用低压压缩空气的质量，该产品已广泛应用于国内各大制药厂。</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◇根据适当的净化标准，通过对压缩空气中的污染物进行定量分析能够检测出呼吸空气的质量。可满足不同标准的要求（比如：DIN3188标准）。</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◇德尔格检测管可用于定量检测压缩气体中的水蒸气H2O，油Oil，二氧化碳CO2 、一氧化碳CO和其他污染物。</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◇检测仪所带的快速插接口可以与各种类型的供气系统接口相连接。</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◇检测仪所有部件都可装入一个硬质手提箱中，方便携带，易于操作。</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Style w:val="6"/>
          <w:rFonts w:hint="default" w:ascii="Arial" w:hAnsi="Arial" w:eastAsia="宋体" w:cs="Arial"/>
          <w:color w:val="666666"/>
          <w:kern w:val="0"/>
          <w:sz w:val="21"/>
          <w:szCs w:val="21"/>
          <w:u w:val="none"/>
          <w:lang w:val="en-US" w:eastAsia="zh-CN" w:bidi="ar"/>
        </w:rPr>
        <w:t>基本参数：</w:t>
      </w:r>
    </w:p>
    <w:tbl>
      <w:tblPr>
        <w:tblStyle w:val="4"/>
        <w:tblW w:w="676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64"/>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719"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手提箱</w:t>
            </w:r>
          </w:p>
        </w:tc>
        <w:tc>
          <w:tcPr>
            <w:tcW w:w="2955"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长300mm，宽360mm，高80mm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719"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重量</w:t>
            </w:r>
          </w:p>
        </w:tc>
        <w:tc>
          <w:tcPr>
            <w:tcW w:w="2955"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2千克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3719"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压缩空气瓶工作压力</w:t>
            </w:r>
          </w:p>
        </w:tc>
        <w:tc>
          <w:tcPr>
            <w:tcW w:w="2955"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3-15巴 符合DIN13260标准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719"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接口</w:t>
            </w:r>
          </w:p>
        </w:tc>
        <w:tc>
          <w:tcPr>
            <w:tcW w:w="2955"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快速直插式接口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719"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流量</w:t>
            </w:r>
          </w:p>
        </w:tc>
        <w:tc>
          <w:tcPr>
            <w:tcW w:w="2955" w:type="dxa"/>
            <w:shd w:val="clear" w:color="auto" w:fill="auto"/>
            <w:vAlign w:val="top"/>
          </w:tcPr>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0.2升/分钟和4.0升/分钟</w:t>
            </w:r>
          </w:p>
        </w:tc>
      </w:tr>
    </w:tbl>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Style w:val="6"/>
          <w:rFonts w:hint="default" w:ascii="Arial" w:hAnsi="Arial" w:eastAsia="宋体" w:cs="Arial"/>
          <w:color w:val="666666"/>
          <w:kern w:val="0"/>
          <w:sz w:val="21"/>
          <w:szCs w:val="21"/>
          <w:u w:val="none"/>
          <w:lang w:val="en-US" w:eastAsia="zh-CN" w:bidi="ar"/>
        </w:rPr>
        <w:t>Aerotest Alpha主机1套，包含以下：</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1个手动减压器（3-15巴）</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1个可同时安装4支检测管的流量调节器</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1个数字计时器</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1个检测管开管器</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1个手提箱</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1根气泡测试软管</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1套外文使用手册</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选配：</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10支/盒德尔格油检测管</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10支/盒德尔格水蒸气检测管</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10支/盒德尔格一氧化碳检测管</w:t>
      </w:r>
    </w:p>
    <w:p>
      <w:pPr>
        <w:keepNext w:val="0"/>
        <w:keepLines w:val="0"/>
        <w:widowControl/>
        <w:suppressLineNumbers w:val="0"/>
        <w:pBdr>
          <w:top w:val="none" w:color="auto" w:sz="0" w:space="0"/>
        </w:pBdr>
        <w:spacing w:line="330" w:lineRule="atLeast"/>
        <w:jc w:val="left"/>
        <w:rPr>
          <w:rFonts w:hint="default" w:ascii="Arial" w:hAnsi="Arial" w:cs="Arial"/>
          <w:color w:val="666666"/>
          <w:sz w:val="21"/>
          <w:szCs w:val="21"/>
          <w:u w:val="none"/>
        </w:rPr>
      </w:pPr>
      <w:r>
        <w:rPr>
          <w:rFonts w:hint="default" w:ascii="Arial" w:hAnsi="Arial" w:eastAsia="宋体" w:cs="Arial"/>
          <w:color w:val="666666"/>
          <w:kern w:val="0"/>
          <w:sz w:val="21"/>
          <w:szCs w:val="21"/>
          <w:u w:val="none"/>
          <w:lang w:val="en-US" w:eastAsia="zh-CN" w:bidi="ar"/>
        </w:rPr>
        <w:t>10支/盒德尔格二氧化碳检测管</w:t>
      </w:r>
    </w:p>
    <w:p>
      <w:pPr>
        <w:rPr>
          <w:sz w:val="21"/>
          <w:szCs w:val="21"/>
        </w:rPr>
      </w:pPr>
      <w:r>
        <w:rPr>
          <w:rStyle w:val="6"/>
          <w:rFonts w:hint="default" w:ascii="Arial" w:hAnsi="Arial" w:eastAsia="宋体" w:cs="Arial"/>
          <w:color w:val="666666"/>
          <w:kern w:val="0"/>
          <w:sz w:val="21"/>
          <w:szCs w:val="21"/>
          <w:u w:val="none"/>
          <w:lang w:val="en-US" w:eastAsia="zh-CN" w:bidi="ar"/>
        </w:rPr>
        <w:t>青岛路博公司为您提供全面的技术支持和完善的售后服务！</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268595" cy="745490"/>
          <wp:effectExtent l="0" t="0" r="4445" b="1270"/>
          <wp:docPr id="4" name="图片 2"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4444"/>
                  <pic:cNvPicPr>
                    <a:picLocks noChangeAspect="1"/>
                  </pic:cNvPicPr>
                </pic:nvPicPr>
                <pic:blipFill>
                  <a:blip r:embed="rId1"/>
                  <a:stretch>
                    <a:fillRect/>
                  </a:stretch>
                </pic:blipFill>
                <pic:spPr>
                  <a:xfrm>
                    <a:off x="0" y="0"/>
                    <a:ext cx="5268595" cy="745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036EA"/>
    <w:rsid w:val="256036EA"/>
    <w:rsid w:val="2E9F607D"/>
    <w:rsid w:val="35141985"/>
    <w:rsid w:val="7A434E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2016-06-22T03:31:00Z</dcterms:created>
  <dc:creator>Administrator</dc:creator>
  <cp:lastModifiedBy>Administrator</cp:lastModifiedBy>
  <dcterms:modified xsi:type="dcterms:W3CDTF">2020-11-20T08:07:58Z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