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val="0"/>
          <w:i w:val="0"/>
          <w:caps w:val="0"/>
          <w:color w:val="000000"/>
          <w:spacing w:val="0"/>
          <w:sz w:val="28"/>
          <w:szCs w:val="28"/>
          <w:shd w:val="clear" w:fill="FFFFFF"/>
        </w:rPr>
      </w:pPr>
      <w:r>
        <w:rPr>
          <w:rFonts w:ascii="微软雅黑" w:hAnsi="微软雅黑" w:eastAsia="微软雅黑" w:cs="微软雅黑"/>
          <w:b w:val="0"/>
          <w:i w:val="0"/>
          <w:caps w:val="0"/>
          <w:color w:val="000000"/>
          <w:spacing w:val="0"/>
          <w:sz w:val="28"/>
          <w:szCs w:val="28"/>
          <w:shd w:val="clear" w:fill="FFFFFF"/>
        </w:rPr>
        <w:t>LB-</w:t>
      </w:r>
      <w:r>
        <w:rPr>
          <w:rFonts w:hint="eastAsia" w:ascii="微软雅黑" w:hAnsi="微软雅黑" w:eastAsia="微软雅黑" w:cs="微软雅黑"/>
          <w:b w:val="0"/>
          <w:i w:val="0"/>
          <w:caps w:val="0"/>
          <w:color w:val="000000"/>
          <w:spacing w:val="0"/>
          <w:sz w:val="28"/>
          <w:szCs w:val="28"/>
          <w:shd w:val="clear" w:fill="FFFFFF"/>
          <w:lang w:val="en-US" w:eastAsia="zh-CN"/>
        </w:rPr>
        <w:t>K</w:t>
      </w:r>
      <w:r>
        <w:rPr>
          <w:rFonts w:ascii="微软雅黑" w:hAnsi="微软雅黑" w:eastAsia="微软雅黑" w:cs="微软雅黑"/>
          <w:b w:val="0"/>
          <w:i w:val="0"/>
          <w:caps w:val="0"/>
          <w:color w:val="000000"/>
          <w:spacing w:val="0"/>
          <w:sz w:val="28"/>
          <w:szCs w:val="28"/>
          <w:shd w:val="clear" w:fill="FFFFFF"/>
        </w:rPr>
        <w:t>HW6六级筛孔撞击式空气微生物采样器</w:t>
      </w:r>
    </w:p>
    <w:p>
      <w:pPr>
        <w:jc w:val="center"/>
        <w:rPr>
          <w:rFonts w:hint="eastAsia" w:ascii="微软雅黑" w:hAnsi="微软雅黑" w:eastAsia="微软雅黑" w:cs="微软雅黑"/>
          <w:b w:val="0"/>
          <w:i w:val="0"/>
          <w:caps w:val="0"/>
          <w:color w:val="000000"/>
          <w:spacing w:val="0"/>
          <w:sz w:val="28"/>
          <w:szCs w:val="28"/>
          <w:shd w:val="clear" w:fill="FFFFFF"/>
          <w:lang w:eastAsia="zh-CN"/>
        </w:rPr>
      </w:pPr>
      <w:r>
        <w:rPr>
          <w:rFonts w:hint="eastAsia" w:ascii="微软雅黑" w:hAnsi="微软雅黑" w:eastAsia="微软雅黑" w:cs="微软雅黑"/>
          <w:b w:val="0"/>
          <w:i w:val="0"/>
          <w:caps w:val="0"/>
          <w:color w:val="000000"/>
          <w:spacing w:val="0"/>
          <w:sz w:val="28"/>
          <w:szCs w:val="28"/>
          <w:shd w:val="clear" w:fill="FFFFFF"/>
          <w:lang w:eastAsia="zh-CN"/>
        </w:rPr>
        <w:drawing>
          <wp:inline distT="0" distB="0" distL="114300" distR="114300">
            <wp:extent cx="4466590" cy="2919095"/>
            <wp:effectExtent l="0" t="0" r="13970" b="6985"/>
            <wp:docPr id="4" name="图片 4" descr="e67dc7f1b4cddfaa00bfff31f5d3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67dc7f1b4cddfaa00bfff31f5d3076"/>
                    <pic:cNvPicPr>
                      <a:picLocks noChangeAspect="1"/>
                    </pic:cNvPicPr>
                  </pic:nvPicPr>
                  <pic:blipFill>
                    <a:blip r:embed="rId6"/>
                    <a:srcRect r="556" b="13350"/>
                    <a:stretch>
                      <a:fillRect/>
                    </a:stretch>
                  </pic:blipFill>
                  <pic:spPr>
                    <a:xfrm>
                      <a:off x="0" y="0"/>
                      <a:ext cx="4466590" cy="2919095"/>
                    </a:xfrm>
                    <a:prstGeom prst="rect">
                      <a:avLst/>
                    </a:prstGeom>
                  </pic:spPr>
                </pic:pic>
              </a:graphicData>
            </a:graphic>
          </wp:inline>
        </w:drawing>
      </w:r>
    </w:p>
    <w:p>
      <w:pPr>
        <w:pStyle w:val="4"/>
        <w:keepNext w:val="0"/>
        <w:keepLines w:val="0"/>
        <w:widowControl/>
        <w:suppressLineNumbers w:val="0"/>
        <w:shd w:val="clear" w:fill="FFFFFF"/>
        <w:spacing w:line="330" w:lineRule="atLeast"/>
        <w:ind w:left="0" w:firstLine="0"/>
        <w:jc w:val="center"/>
        <w:rPr>
          <w:rFonts w:ascii="Arial" w:hAnsi="Arial" w:cs="Arial"/>
          <w:b w:val="0"/>
          <w:i w:val="0"/>
          <w:caps w:val="0"/>
          <w:color w:val="666666"/>
          <w:spacing w:val="0"/>
          <w:sz w:val="18"/>
          <w:szCs w:val="18"/>
        </w:rPr>
      </w:pPr>
    </w:p>
    <w:p>
      <w:pPr>
        <w:numPr>
          <w:ilvl w:val="0"/>
          <w:numId w:val="0"/>
        </w:numPr>
        <w:rPr>
          <w:rFonts w:hint="eastAsia"/>
          <w:szCs w:val="21"/>
        </w:rPr>
      </w:pPr>
      <w:r>
        <w:rPr>
          <w:rFonts w:hint="default" w:ascii="Arial" w:hAnsi="Arial" w:cs="Arial"/>
          <w:b w:val="0"/>
          <w:i w:val="0"/>
          <w:caps w:val="0"/>
          <w:color w:val="666666"/>
          <w:spacing w:val="0"/>
          <w:sz w:val="24"/>
          <w:szCs w:val="24"/>
          <w:shd w:val="clear" w:fill="FFFFFF"/>
        </w:rPr>
        <w:t> </w:t>
      </w:r>
      <w:r>
        <w:rPr>
          <w:rFonts w:hint="eastAsia"/>
          <w:szCs w:val="21"/>
        </w:rPr>
        <w:t>用途</w:t>
      </w:r>
    </w:p>
    <w:p>
      <w:pPr>
        <w:rPr>
          <w:rFonts w:hint="eastAsia"/>
          <w:szCs w:val="21"/>
        </w:rPr>
      </w:pPr>
      <w:r>
        <w:rPr>
          <w:rFonts w:hint="eastAsia"/>
          <w:b/>
          <w:bCs/>
          <w:szCs w:val="21"/>
        </w:rPr>
        <w:t>LB-</w:t>
      </w:r>
      <w:r>
        <w:rPr>
          <w:rFonts w:hint="eastAsia"/>
          <w:b/>
          <w:bCs/>
          <w:szCs w:val="21"/>
          <w:lang w:val="en-US" w:eastAsia="zh-CN"/>
        </w:rPr>
        <w:t>KHW6</w:t>
      </w:r>
      <w:r>
        <w:rPr>
          <w:rFonts w:hint="eastAsia"/>
          <w:szCs w:val="21"/>
        </w:rPr>
        <w:t>型</w:t>
      </w:r>
      <w:r>
        <w:rPr>
          <w:rFonts w:hint="eastAsia"/>
          <w:szCs w:val="21"/>
          <w:lang w:eastAsia="zh-CN"/>
        </w:rPr>
        <w:t>微生物采样仪</w:t>
      </w:r>
      <w:r>
        <w:rPr>
          <w:rFonts w:hint="eastAsia"/>
          <w:szCs w:val="21"/>
        </w:rPr>
        <w:t>可广泛用于疾病预防控制、环境保护、制药、发酵工业、</w:t>
      </w:r>
    </w:p>
    <w:p>
      <w:pPr>
        <w:rPr>
          <w:rFonts w:hint="eastAsia"/>
          <w:szCs w:val="21"/>
        </w:rPr>
      </w:pPr>
      <w:r>
        <w:rPr>
          <w:rFonts w:hint="eastAsia"/>
          <w:szCs w:val="21"/>
        </w:rPr>
        <w:t>食品工业、生物洁净等环境的空气微生物数量及其大小分布的采样监测，以及有关科研、教学部门作空气微生物的采样研究，为评价环境空气微生物污染的危害及其治理措施提供科学依据。</w:t>
      </w:r>
    </w:p>
    <w:p>
      <w:pPr>
        <w:rPr>
          <w:rFonts w:hint="default"/>
          <w:szCs w:val="21"/>
        </w:rPr>
      </w:pPr>
    </w:p>
    <w:p>
      <w:pPr>
        <w:rPr>
          <w:rFonts w:hint="default"/>
          <w:szCs w:val="21"/>
        </w:rPr>
      </w:pPr>
      <w:r>
        <w:rPr>
          <w:rFonts w:hint="default"/>
          <w:szCs w:val="21"/>
        </w:rPr>
        <w:t>工作原理</w:t>
      </w:r>
    </w:p>
    <w:p>
      <w:pPr>
        <w:rPr>
          <w:rFonts w:hint="default"/>
          <w:szCs w:val="21"/>
        </w:rPr>
      </w:pPr>
      <w:r>
        <w:rPr>
          <w:rFonts w:hint="default"/>
          <w:szCs w:val="21"/>
        </w:rPr>
        <w:t>LB-</w:t>
      </w:r>
      <w:r>
        <w:rPr>
          <w:rFonts w:hint="eastAsia"/>
          <w:szCs w:val="21"/>
          <w:lang w:val="en-US" w:eastAsia="zh-CN"/>
        </w:rPr>
        <w:t>K</w:t>
      </w:r>
      <w:r>
        <w:rPr>
          <w:rFonts w:hint="default"/>
          <w:szCs w:val="21"/>
        </w:rPr>
        <w:t>HW6型便携式浮游菌采样仪模拟人体呼吸道的解剖结构及其空气动力学特征，采用惯用撞击原理，将悬浮在空气中的微生物粒子，按大小等级地分别收集在采样介质表面上，然后共培养及做进一步微生物分析，求出空气微生物粒子数量及其大小分布的特征。</w:t>
      </w:r>
    </w:p>
    <w:p>
      <w:pPr>
        <w:rPr>
          <w:rFonts w:hint="default"/>
          <w:szCs w:val="21"/>
        </w:rPr>
      </w:pPr>
    </w:p>
    <w:p>
      <w:pPr>
        <w:rPr>
          <w:rFonts w:hint="default"/>
          <w:szCs w:val="21"/>
        </w:rPr>
      </w:pPr>
      <w:r>
        <w:rPr>
          <w:rFonts w:hint="default"/>
          <w:szCs w:val="21"/>
        </w:rPr>
        <w:t>结构</w:t>
      </w:r>
    </w:p>
    <w:p>
      <w:pPr>
        <w:rPr>
          <w:rFonts w:hint="default"/>
          <w:szCs w:val="21"/>
        </w:rPr>
      </w:pPr>
      <w:r>
        <w:rPr>
          <w:rFonts w:hint="default"/>
          <w:szCs w:val="21"/>
        </w:rPr>
        <w:t>整套仪器由六级撞击器、主机（流量计）、定时器、三角架组成。</w:t>
      </w:r>
    </w:p>
    <w:p>
      <w:pPr>
        <w:rPr>
          <w:rFonts w:hint="default"/>
          <w:szCs w:val="21"/>
        </w:rPr>
      </w:pPr>
      <w:r>
        <w:rPr>
          <w:rFonts w:hint="default"/>
          <w:szCs w:val="21"/>
        </w:rPr>
        <w:t>-撞击器是由六级带有微笑喷孔的铝合金圆盘组成的，圆盘下方放盛有采样介质的平皿，用三个弹簧挂钩把六级圆盘紧密地连接在一起。每个圆盘上环形排列400个尺寸精确的喷孔。当含有微生物粒子的空气进入采样口后，气流速度逐级增高，不同大小的微生物粒子按空气动力学特性分别撞击在响应的采样介质表面上。第一、二级类似人体上呼吸道捕获的粒子，第三级-第六级类似下呼吸道捕获的粒子，这就在相当程度上模拟了这些粒子在呼吸道的穿透作用和沉着部位。</w:t>
      </w:r>
    </w:p>
    <w:p>
      <w:pPr>
        <w:rPr>
          <w:rFonts w:hint="default"/>
          <w:szCs w:val="21"/>
        </w:rPr>
      </w:pPr>
    </w:p>
    <w:p>
      <w:pPr>
        <w:rPr>
          <w:rFonts w:hint="default"/>
          <w:szCs w:val="21"/>
        </w:rPr>
      </w:pPr>
    </w:p>
    <w:p>
      <w:pPr>
        <w:rPr>
          <w:rFonts w:hint="default"/>
          <w:szCs w:val="21"/>
        </w:rPr>
      </w:pPr>
      <w:bookmarkStart w:id="0" w:name="_GoBack"/>
      <w:bookmarkEnd w:id="0"/>
    </w:p>
    <w:p>
      <w:pPr>
        <w:rPr>
          <w:rFonts w:hint="eastAsia" w:eastAsiaTheme="minorEastAsia"/>
          <w:szCs w:val="21"/>
          <w:lang w:eastAsia="zh-CN"/>
        </w:rPr>
      </w:pPr>
      <w:r>
        <w:rPr>
          <w:rFonts w:hint="eastAsia"/>
          <w:szCs w:val="21"/>
          <w:lang w:eastAsia="zh-CN"/>
        </w:rPr>
        <w:t>参数</w:t>
      </w:r>
    </w:p>
    <w:tbl>
      <w:tblPr>
        <w:tblStyle w:val="5"/>
        <w:tblW w:w="8055" w:type="dxa"/>
        <w:tblCellSpacing w:w="7" w:type="dxa"/>
        <w:tblInd w:w="0" w:type="dxa"/>
        <w:shd w:val="clear" w:color="auto" w:fill="2582B4"/>
        <w:tblLayout w:type="fixed"/>
        <w:tblCellMar>
          <w:top w:w="0" w:type="dxa"/>
          <w:left w:w="0" w:type="dxa"/>
          <w:bottom w:w="0" w:type="dxa"/>
          <w:right w:w="0" w:type="dxa"/>
        </w:tblCellMar>
      </w:tblPr>
      <w:tblGrid>
        <w:gridCol w:w="1945"/>
        <w:gridCol w:w="6110"/>
      </w:tblGrid>
      <w:tr>
        <w:tblPrEx>
          <w:shd w:val="clear" w:color="auto" w:fill="2582B4"/>
        </w:tblPrEx>
        <w:trPr>
          <w:tblCellSpacing w:w="7" w:type="dxa"/>
        </w:trPr>
        <w:tc>
          <w:tcPr>
            <w:tcW w:w="1924" w:type="dxa"/>
            <w:shd w:val="clear" w:color="auto" w:fill="FFFFFF"/>
            <w:vAlign w:val="center"/>
          </w:tcPr>
          <w:p>
            <w:pPr>
              <w:rPr>
                <w:rFonts w:hint="default"/>
                <w:szCs w:val="21"/>
              </w:rPr>
            </w:pPr>
            <w:r>
              <w:rPr>
                <w:rFonts w:hint="eastAsia"/>
                <w:szCs w:val="21"/>
                <w:lang w:val="en-US" w:eastAsia="zh-CN"/>
              </w:rPr>
              <w:t>测量范围</w:t>
            </w:r>
          </w:p>
        </w:tc>
        <w:tc>
          <w:tcPr>
            <w:tcW w:w="6089" w:type="dxa"/>
            <w:shd w:val="clear" w:color="auto" w:fill="FFFFFF"/>
            <w:vAlign w:val="center"/>
          </w:tcPr>
          <w:p>
            <w:pPr>
              <w:rPr>
                <w:rFonts w:hint="default"/>
                <w:szCs w:val="21"/>
              </w:rPr>
            </w:pPr>
            <w:r>
              <w:rPr>
                <w:rFonts w:hint="default"/>
                <w:szCs w:val="21"/>
                <w:lang w:val="en-US" w:eastAsia="zh-CN"/>
              </w:rPr>
              <w:t>捕获率：≥98%</w:t>
            </w:r>
          </w:p>
        </w:tc>
      </w:tr>
      <w:tr>
        <w:tblPrEx>
          <w:tblCellMar>
            <w:top w:w="0" w:type="dxa"/>
            <w:left w:w="0" w:type="dxa"/>
            <w:bottom w:w="0" w:type="dxa"/>
            <w:right w:w="0" w:type="dxa"/>
          </w:tblCellMar>
        </w:tblPrEx>
        <w:trPr>
          <w:tblCellSpacing w:w="7" w:type="dxa"/>
        </w:trPr>
        <w:tc>
          <w:tcPr>
            <w:tcW w:w="1924" w:type="dxa"/>
            <w:shd w:val="clear" w:color="auto" w:fill="FFFFFF"/>
            <w:vAlign w:val="center"/>
          </w:tcPr>
          <w:p>
            <w:pPr>
              <w:rPr>
                <w:rFonts w:hint="default"/>
                <w:szCs w:val="21"/>
              </w:rPr>
            </w:pPr>
            <w:r>
              <w:rPr>
                <w:rFonts w:hint="default"/>
                <w:szCs w:val="21"/>
                <w:lang w:val="en-US" w:eastAsia="zh-CN"/>
              </w:rPr>
              <w:t>捕获粒子范围</w:t>
            </w:r>
          </w:p>
        </w:tc>
        <w:tc>
          <w:tcPr>
            <w:tcW w:w="6089" w:type="dxa"/>
            <w:shd w:val="clear" w:color="auto" w:fill="FFFFFF"/>
            <w:vAlign w:val="center"/>
          </w:tcPr>
          <w:p>
            <w:pPr>
              <w:rPr>
                <w:rFonts w:hint="default"/>
                <w:szCs w:val="21"/>
              </w:rPr>
            </w:pPr>
            <w:r>
              <w:rPr>
                <w:rFonts w:hint="default"/>
                <w:szCs w:val="21"/>
                <w:lang w:val="en-US" w:eastAsia="zh-CN"/>
              </w:rPr>
              <w:t>    第一级：＞7.0μm              孔径 1.18mm</w:t>
            </w:r>
          </w:p>
          <w:p>
            <w:pPr>
              <w:rPr>
                <w:rFonts w:hint="default"/>
                <w:szCs w:val="21"/>
              </w:rPr>
            </w:pPr>
            <w:r>
              <w:rPr>
                <w:rFonts w:hint="default"/>
                <w:szCs w:val="21"/>
                <w:lang w:val="en-US" w:eastAsia="zh-CN"/>
              </w:rPr>
              <w:t>第二级：4.7μm –7.0μm       孔径0.91mm</w:t>
            </w:r>
          </w:p>
          <w:p>
            <w:pPr>
              <w:rPr>
                <w:rFonts w:hint="default"/>
                <w:szCs w:val="21"/>
              </w:rPr>
            </w:pPr>
            <w:r>
              <w:rPr>
                <w:rFonts w:hint="default"/>
                <w:szCs w:val="21"/>
                <w:lang w:val="en-US" w:eastAsia="zh-CN"/>
              </w:rPr>
              <w:t>第三级：3.3μm–4.7μm        孔径0.71mm</w:t>
            </w:r>
          </w:p>
          <w:p>
            <w:pPr>
              <w:rPr>
                <w:rFonts w:hint="default"/>
                <w:szCs w:val="21"/>
              </w:rPr>
            </w:pPr>
            <w:r>
              <w:rPr>
                <w:rFonts w:hint="default"/>
                <w:szCs w:val="21"/>
                <w:lang w:val="en-US" w:eastAsia="zh-CN"/>
              </w:rPr>
              <w:t>第四级：2.1μm–3.3μm        孔径0.53mm</w:t>
            </w:r>
          </w:p>
          <w:p>
            <w:pPr>
              <w:rPr>
                <w:rFonts w:hint="default"/>
                <w:szCs w:val="21"/>
              </w:rPr>
            </w:pPr>
            <w:r>
              <w:rPr>
                <w:rFonts w:hint="default"/>
                <w:szCs w:val="21"/>
                <w:lang w:val="en-US" w:eastAsia="zh-CN"/>
              </w:rPr>
              <w:t>第五级：1.1μm - 2.1μm       孔径0.34mm</w:t>
            </w:r>
          </w:p>
          <w:p>
            <w:pPr>
              <w:rPr>
                <w:rFonts w:hint="default"/>
                <w:szCs w:val="21"/>
              </w:rPr>
            </w:pPr>
            <w:r>
              <w:rPr>
                <w:rFonts w:hint="default"/>
                <w:szCs w:val="21"/>
                <w:lang w:val="en-US" w:eastAsia="zh-CN"/>
              </w:rPr>
              <w:t>第六级：0.65μm–1.1μm       孔径0.25mm</w:t>
            </w:r>
          </w:p>
        </w:tc>
      </w:tr>
      <w:tr>
        <w:tblPrEx>
          <w:tblCellMar>
            <w:top w:w="0" w:type="dxa"/>
            <w:left w:w="0" w:type="dxa"/>
            <w:bottom w:w="0" w:type="dxa"/>
            <w:right w:w="0" w:type="dxa"/>
          </w:tblCellMar>
        </w:tblPrEx>
        <w:trPr>
          <w:tblCellSpacing w:w="7" w:type="dxa"/>
        </w:trPr>
        <w:tc>
          <w:tcPr>
            <w:tcW w:w="1924" w:type="dxa"/>
            <w:shd w:val="clear" w:color="auto" w:fill="FFFFFF"/>
            <w:vAlign w:val="center"/>
          </w:tcPr>
          <w:p>
            <w:pPr>
              <w:rPr>
                <w:rFonts w:hint="default"/>
                <w:szCs w:val="21"/>
              </w:rPr>
            </w:pPr>
            <w:r>
              <w:rPr>
                <w:rFonts w:hint="default"/>
                <w:szCs w:val="21"/>
                <w:lang w:val="en-US" w:eastAsia="zh-CN"/>
              </w:rPr>
              <w:t>采样流量</w:t>
            </w:r>
          </w:p>
        </w:tc>
        <w:tc>
          <w:tcPr>
            <w:tcW w:w="6089" w:type="dxa"/>
            <w:shd w:val="clear" w:color="auto" w:fill="FFFFFF"/>
            <w:vAlign w:val="center"/>
          </w:tcPr>
          <w:p>
            <w:pPr>
              <w:rPr>
                <w:rFonts w:hint="default"/>
                <w:szCs w:val="21"/>
              </w:rPr>
            </w:pPr>
            <w:r>
              <w:rPr>
                <w:rFonts w:hint="default"/>
                <w:szCs w:val="21"/>
                <w:lang w:val="en-US" w:eastAsia="zh-CN"/>
              </w:rPr>
              <w:t>28.3L/min可调节精度≤5%</w:t>
            </w:r>
          </w:p>
        </w:tc>
      </w:tr>
      <w:tr>
        <w:tblPrEx>
          <w:tblCellMar>
            <w:top w:w="0" w:type="dxa"/>
            <w:left w:w="0" w:type="dxa"/>
            <w:bottom w:w="0" w:type="dxa"/>
            <w:right w:w="0" w:type="dxa"/>
          </w:tblCellMar>
        </w:tblPrEx>
        <w:trPr>
          <w:tblCellSpacing w:w="7" w:type="dxa"/>
        </w:trPr>
        <w:tc>
          <w:tcPr>
            <w:tcW w:w="1924" w:type="dxa"/>
            <w:shd w:val="clear" w:color="auto" w:fill="FFFFFF"/>
            <w:vAlign w:val="center"/>
          </w:tcPr>
          <w:p>
            <w:pPr>
              <w:rPr>
                <w:rFonts w:hint="default"/>
                <w:szCs w:val="21"/>
              </w:rPr>
            </w:pPr>
            <w:r>
              <w:rPr>
                <w:rFonts w:hint="default"/>
                <w:szCs w:val="21"/>
                <w:lang w:val="en-US" w:eastAsia="zh-CN"/>
              </w:rPr>
              <w:t> 噪声</w:t>
            </w:r>
          </w:p>
        </w:tc>
        <w:tc>
          <w:tcPr>
            <w:tcW w:w="6089" w:type="dxa"/>
            <w:shd w:val="clear" w:color="auto" w:fill="FFFFFF"/>
            <w:vAlign w:val="center"/>
          </w:tcPr>
          <w:p>
            <w:pPr>
              <w:rPr>
                <w:rFonts w:hint="default"/>
                <w:szCs w:val="21"/>
              </w:rPr>
            </w:pPr>
            <w:r>
              <w:rPr>
                <w:rFonts w:hint="eastAsia"/>
                <w:szCs w:val="21"/>
                <w:lang w:val="en-US" w:eastAsia="zh-CN"/>
              </w:rPr>
              <w:t>  </w:t>
            </w:r>
            <w:r>
              <w:rPr>
                <w:rFonts w:hint="default"/>
                <w:szCs w:val="21"/>
                <w:lang w:val="en-US" w:eastAsia="zh-CN"/>
              </w:rPr>
              <w:t>≤60 db</w:t>
            </w:r>
          </w:p>
        </w:tc>
      </w:tr>
      <w:tr>
        <w:tblPrEx>
          <w:tblCellMar>
            <w:top w:w="0" w:type="dxa"/>
            <w:left w:w="0" w:type="dxa"/>
            <w:bottom w:w="0" w:type="dxa"/>
            <w:right w:w="0" w:type="dxa"/>
          </w:tblCellMar>
        </w:tblPrEx>
        <w:trPr>
          <w:tblCellSpacing w:w="7" w:type="dxa"/>
        </w:trPr>
        <w:tc>
          <w:tcPr>
            <w:tcW w:w="1924" w:type="dxa"/>
            <w:shd w:val="clear" w:color="auto" w:fill="FFFFFF"/>
            <w:vAlign w:val="center"/>
          </w:tcPr>
          <w:p>
            <w:pPr>
              <w:rPr>
                <w:rFonts w:hint="default"/>
                <w:szCs w:val="21"/>
              </w:rPr>
            </w:pPr>
            <w:r>
              <w:rPr>
                <w:rFonts w:hint="default"/>
                <w:szCs w:val="21"/>
                <w:lang w:val="en-US" w:eastAsia="zh-CN"/>
              </w:rPr>
              <w:t>电子定时器</w:t>
            </w:r>
          </w:p>
        </w:tc>
        <w:tc>
          <w:tcPr>
            <w:tcW w:w="6089" w:type="dxa"/>
            <w:shd w:val="clear" w:color="auto" w:fill="FFFFFF"/>
            <w:vAlign w:val="center"/>
          </w:tcPr>
          <w:p>
            <w:pPr>
              <w:rPr>
                <w:rFonts w:hint="default"/>
                <w:szCs w:val="21"/>
              </w:rPr>
            </w:pPr>
            <w:r>
              <w:rPr>
                <w:rFonts w:hint="eastAsia"/>
                <w:szCs w:val="21"/>
                <w:lang w:val="en-US" w:eastAsia="zh-CN"/>
              </w:rPr>
              <w:t>  范围1-99分钟精度＜1%</w:t>
            </w:r>
          </w:p>
        </w:tc>
      </w:tr>
      <w:tr>
        <w:tblPrEx>
          <w:tblCellMar>
            <w:top w:w="0" w:type="dxa"/>
            <w:left w:w="0" w:type="dxa"/>
            <w:bottom w:w="0" w:type="dxa"/>
            <w:right w:w="0" w:type="dxa"/>
          </w:tblCellMar>
        </w:tblPrEx>
        <w:trPr>
          <w:tblCellSpacing w:w="7" w:type="dxa"/>
        </w:trPr>
        <w:tc>
          <w:tcPr>
            <w:tcW w:w="1924" w:type="dxa"/>
            <w:shd w:val="clear" w:color="auto" w:fill="FFFFFF"/>
            <w:vAlign w:val="center"/>
          </w:tcPr>
          <w:p>
            <w:pPr>
              <w:rPr>
                <w:rFonts w:hint="default"/>
                <w:szCs w:val="21"/>
              </w:rPr>
            </w:pPr>
            <w:r>
              <w:rPr>
                <w:rFonts w:hint="default"/>
                <w:szCs w:val="21"/>
                <w:lang w:val="en-US" w:eastAsia="zh-CN"/>
              </w:rPr>
              <w:t>工作电源</w:t>
            </w:r>
          </w:p>
        </w:tc>
        <w:tc>
          <w:tcPr>
            <w:tcW w:w="6089" w:type="dxa"/>
            <w:shd w:val="clear" w:color="auto" w:fill="FFFFFF"/>
            <w:vAlign w:val="center"/>
          </w:tcPr>
          <w:p>
            <w:pPr>
              <w:rPr>
                <w:rFonts w:hint="default"/>
                <w:szCs w:val="21"/>
              </w:rPr>
            </w:pPr>
            <w:r>
              <w:rPr>
                <w:rFonts w:hint="eastAsia"/>
                <w:szCs w:val="21"/>
                <w:lang w:val="en-US" w:eastAsia="zh-CN"/>
              </w:rPr>
              <w:t>  220V/AC</w:t>
            </w:r>
          </w:p>
        </w:tc>
      </w:tr>
      <w:tr>
        <w:tblPrEx>
          <w:tblCellMar>
            <w:top w:w="0" w:type="dxa"/>
            <w:left w:w="0" w:type="dxa"/>
            <w:bottom w:w="0" w:type="dxa"/>
            <w:right w:w="0" w:type="dxa"/>
          </w:tblCellMar>
        </w:tblPrEx>
        <w:trPr>
          <w:tblCellSpacing w:w="7" w:type="dxa"/>
        </w:trPr>
        <w:tc>
          <w:tcPr>
            <w:tcW w:w="1924" w:type="dxa"/>
            <w:shd w:val="clear" w:color="auto" w:fill="FFFFFF"/>
            <w:vAlign w:val="center"/>
          </w:tcPr>
          <w:p>
            <w:pPr>
              <w:rPr>
                <w:rFonts w:hint="default"/>
                <w:szCs w:val="21"/>
              </w:rPr>
            </w:pPr>
            <w:r>
              <w:rPr>
                <w:rFonts w:hint="default"/>
                <w:szCs w:val="21"/>
                <w:lang w:val="en-US" w:eastAsia="zh-CN"/>
              </w:rPr>
              <w:t>功率</w:t>
            </w:r>
          </w:p>
        </w:tc>
        <w:tc>
          <w:tcPr>
            <w:tcW w:w="6089" w:type="dxa"/>
            <w:shd w:val="clear" w:color="auto" w:fill="FFFFFF"/>
            <w:vAlign w:val="center"/>
          </w:tcPr>
          <w:p>
            <w:pPr>
              <w:rPr>
                <w:rFonts w:hint="default"/>
                <w:szCs w:val="21"/>
              </w:rPr>
            </w:pPr>
            <w:r>
              <w:rPr>
                <w:rFonts w:hint="eastAsia"/>
                <w:szCs w:val="21"/>
                <w:lang w:val="en-US" w:eastAsia="zh-CN"/>
              </w:rPr>
              <w:t>  </w:t>
            </w:r>
            <w:r>
              <w:rPr>
                <w:rFonts w:hint="default"/>
                <w:szCs w:val="21"/>
                <w:lang w:val="en-US" w:eastAsia="zh-CN"/>
              </w:rPr>
              <w:t>≤45W</w:t>
            </w:r>
          </w:p>
        </w:tc>
      </w:tr>
      <w:tr>
        <w:tblPrEx>
          <w:tblCellMar>
            <w:top w:w="0" w:type="dxa"/>
            <w:left w:w="0" w:type="dxa"/>
            <w:bottom w:w="0" w:type="dxa"/>
            <w:right w:w="0" w:type="dxa"/>
          </w:tblCellMar>
        </w:tblPrEx>
        <w:trPr>
          <w:tblCellSpacing w:w="7" w:type="dxa"/>
        </w:trPr>
        <w:tc>
          <w:tcPr>
            <w:tcW w:w="1924" w:type="dxa"/>
            <w:shd w:val="clear" w:color="auto" w:fill="FFFFFF"/>
            <w:vAlign w:val="center"/>
          </w:tcPr>
          <w:p>
            <w:pPr>
              <w:rPr>
                <w:rFonts w:hint="default"/>
                <w:szCs w:val="21"/>
              </w:rPr>
            </w:pPr>
            <w:r>
              <w:rPr>
                <w:rFonts w:hint="eastAsia"/>
                <w:szCs w:val="21"/>
                <w:lang w:val="en-US" w:eastAsia="zh-CN"/>
              </w:rPr>
              <w:t>保修期</w:t>
            </w:r>
          </w:p>
        </w:tc>
        <w:tc>
          <w:tcPr>
            <w:tcW w:w="6089" w:type="dxa"/>
            <w:shd w:val="clear" w:color="auto" w:fill="FFFFFF"/>
            <w:vAlign w:val="center"/>
          </w:tcPr>
          <w:p>
            <w:pPr>
              <w:rPr>
                <w:rFonts w:hint="default"/>
                <w:szCs w:val="21"/>
              </w:rPr>
            </w:pPr>
            <w:r>
              <w:rPr>
                <w:rFonts w:hint="eastAsia"/>
                <w:szCs w:val="21"/>
                <w:lang w:val="en-US" w:eastAsia="zh-CN"/>
              </w:rPr>
              <w:t>   1年</w:t>
            </w:r>
          </w:p>
        </w:tc>
      </w:tr>
    </w:tbl>
    <w:p>
      <w:pPr>
        <w:keepNext w:val="0"/>
        <w:keepLines w:val="0"/>
        <w:widowControl/>
        <w:suppressLineNumbers w:val="0"/>
        <w:shd w:val="clear" w:fill="FFFFFF"/>
        <w:spacing w:line="330" w:lineRule="atLeast"/>
        <w:ind w:left="0" w:firstLine="0"/>
        <w:jc w:val="left"/>
        <w:rPr>
          <w:rFonts w:hint="default" w:ascii="Arial" w:hAnsi="Arial" w:cs="Arial"/>
          <w:b w:val="0"/>
          <w:i w:val="0"/>
          <w:caps w:val="0"/>
          <w:color w:val="666666"/>
          <w:spacing w:val="0"/>
          <w:sz w:val="18"/>
          <w:szCs w:val="18"/>
        </w:rPr>
      </w:pPr>
      <w:r>
        <w:rPr>
          <w:rFonts w:hint="default" w:ascii="Arial" w:hAnsi="Arial" w:eastAsia="宋体" w:cs="Arial"/>
          <w:b w:val="0"/>
          <w:i w:val="0"/>
          <w:caps w:val="0"/>
          <w:color w:val="666666"/>
          <w:spacing w:val="0"/>
          <w:kern w:val="0"/>
          <w:sz w:val="27"/>
          <w:szCs w:val="27"/>
          <w:shd w:val="clear" w:fill="FFFFFF"/>
          <w:lang w:val="en-US" w:eastAsia="zh-CN" w:bidi="ar"/>
        </w:rPr>
        <w:t>青岛路博公司为您提供全面的技术支持和完善的售后服务！</w:t>
      </w:r>
    </w:p>
    <w:p>
      <w:pPr>
        <w:jc w:val="center"/>
        <w:rPr>
          <w:rFonts w:hint="eastAsia" w:ascii="微软雅黑" w:hAnsi="微软雅黑" w:eastAsia="微软雅黑" w:cs="微软雅黑"/>
          <w:b w:val="0"/>
          <w:i w:val="0"/>
          <w:caps w:val="0"/>
          <w:color w:val="000000"/>
          <w:spacing w:val="0"/>
          <w:sz w:val="28"/>
          <w:szCs w:val="28"/>
          <w:shd w:val="clear" w:fill="FFFFFF"/>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rFonts w:hint="eastAsia"/>
        <w:lang w:eastAsia="zh-CN"/>
      </w:rPr>
      <w:t>产品负责人：赵丽</w:t>
    </w:r>
    <w:r>
      <w:rPr>
        <w:rFonts w:hint="eastAsia"/>
        <w:lang w:val="en-US" w:eastAsia="zh-CN"/>
      </w:rPr>
      <w:t xml:space="preserve">       TEL：15589812373（同微信）          QQ：971506394</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宋体"/>
        <w:lang w:eastAsia="zh-CN"/>
      </w:rPr>
      <w:drawing>
        <wp:inline distT="0" distB="0" distL="114300" distR="114300">
          <wp:extent cx="5268595" cy="745490"/>
          <wp:effectExtent l="0" t="0" r="4445" b="1270"/>
          <wp:docPr id="3" name="图片 1" descr="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4444"/>
                  <pic:cNvPicPr>
                    <a:picLocks noChangeAspect="1"/>
                  </pic:cNvPicPr>
                </pic:nvPicPr>
                <pic:blipFill>
                  <a:blip r:embed="rId1"/>
                  <a:stretch>
                    <a:fillRect/>
                  </a:stretch>
                </pic:blipFill>
                <pic:spPr>
                  <a:xfrm>
                    <a:off x="0" y="0"/>
                    <a:ext cx="5268595" cy="745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70A40"/>
    <w:rsid w:val="15C509BD"/>
    <w:rsid w:val="1CA068D9"/>
    <w:rsid w:val="24EC421E"/>
    <w:rsid w:val="79770A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2016-11-11T04:51:00Z</dcterms:created>
  <dc:creator>Administrator</dc:creator>
  <cp:lastModifiedBy>Administrator</cp:lastModifiedBy>
  <dcterms:modified xsi:type="dcterms:W3CDTF">2020-10-23T06:50:08Z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