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8" w:lineRule="auto"/>
        <w:textAlignment w:val="auto"/>
        <w:rPr>
          <w:rFonts w:hint="eastAsia"/>
          <w:sz w:val="44"/>
          <w:szCs w:val="44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8" w:lineRule="auto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-1161415</wp:posOffset>
            </wp:positionH>
            <wp:positionV relativeFrom="paragraph">
              <wp:posOffset>303530</wp:posOffset>
            </wp:positionV>
            <wp:extent cx="7858760" cy="6303645"/>
            <wp:effectExtent l="0" t="0" r="5080" b="5715"/>
            <wp:wrapNone/>
            <wp:docPr id="6" name="图片 6" descr="GL-900完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GL-900完美"/>
                    <pic:cNvPicPr>
                      <a:picLocks noChangeAspect="1"/>
                    </pic:cNvPicPr>
                  </pic:nvPicPr>
                  <pic:blipFill>
                    <a:blip r:embed="rId6"/>
                    <a:srcRect l="7583" r="8998"/>
                    <a:stretch>
                      <a:fillRect/>
                    </a:stretch>
                  </pic:blipFill>
                  <pic:spPr>
                    <a:xfrm>
                      <a:off x="0" y="0"/>
                      <a:ext cx="7858760" cy="6303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44"/>
          <w:szCs w:val="44"/>
          <w:lang w:val="en-US" w:eastAsia="zh-CN"/>
        </w:rPr>
        <w:t>GL-900型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8" w:lineRule="auto"/>
        <w:textAlignment w:val="auto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多参数水质测定仪</w:t>
      </w:r>
    </w:p>
    <w:p>
      <w:pPr>
        <w:pStyle w:val="3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Style w:val="3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Style w:val="3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Style w:val="3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Style w:val="3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Style w:val="3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Style w:val="3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Style w:val="3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Style w:val="3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Style w:val="3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Style w:val="3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Style w:val="3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Style w:val="3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Style w:val="3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color w:val="1D4686"/>
          <w:sz w:val="24"/>
          <w:szCs w:val="32"/>
          <w:lang w:val="en-US" w:eastAsia="zh-CN"/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color w:val="1D4686"/>
          <w:sz w:val="24"/>
          <w:szCs w:val="32"/>
          <w:lang w:val="en-US" w:eastAsia="zh-CN"/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color w:val="1D4686"/>
          <w:sz w:val="24"/>
          <w:szCs w:val="32"/>
          <w:lang w:val="en-US" w:eastAsia="zh-CN"/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color w:val="1D4686"/>
          <w:sz w:val="24"/>
          <w:szCs w:val="32"/>
          <w:lang w:val="en-US" w:eastAsia="zh-CN"/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color w:val="1D4686"/>
          <w:sz w:val="24"/>
          <w:szCs w:val="32"/>
          <w:lang w:val="en-US" w:eastAsia="zh-CN"/>
        </w:rPr>
      </w:pPr>
    </w:p>
    <w:p>
      <w:pPr>
        <w:pStyle w:val="11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233680</wp:posOffset>
            </wp:positionV>
            <wp:extent cx="6447790" cy="1316990"/>
            <wp:effectExtent l="0" t="0" r="13970" b="0"/>
            <wp:wrapTight wrapText="bothSides">
              <wp:wrapPolygon>
                <wp:start x="153" y="750"/>
                <wp:lineTo x="0" y="1500"/>
                <wp:lineTo x="0" y="19746"/>
                <wp:lineTo x="204" y="20496"/>
                <wp:lineTo x="21340" y="20496"/>
                <wp:lineTo x="21545" y="19746"/>
                <wp:lineTo x="21545" y="1500"/>
                <wp:lineTo x="21392" y="750"/>
                <wp:lineTo x="153" y="750"/>
              </wp:wrapPolygon>
            </wp:wrapTight>
            <wp:docPr id="19" name="图片 19" descr="未标题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未标题-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4779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rPr>
          <w:rFonts w:hint="eastAsia" w:ascii="微软雅黑" w:hAnsi="微软雅黑" w:eastAsia="微软雅黑" w:cs="微软雅黑"/>
          <w:b/>
          <w:bCs/>
          <w:color w:val="1D4686"/>
          <w:sz w:val="24"/>
          <w:szCs w:val="32"/>
          <w:lang w:val="en-US" w:eastAsia="zh-CN"/>
        </w:rPr>
      </w:pP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-22860</wp:posOffset>
                </wp:positionV>
                <wp:extent cx="6388735" cy="321945"/>
                <wp:effectExtent l="0" t="0" r="12065" b="13335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735" cy="321945"/>
                          <a:chOff x="7320" y="12853"/>
                          <a:chExt cx="10061" cy="507"/>
                        </a:xfrm>
                      </wpg:grpSpPr>
                      <wps:wsp>
                        <wps:cNvPr id="21" name="文本框 21"/>
                        <wps:cNvSpPr txBox="1"/>
                        <wps:spPr>
                          <a:xfrm>
                            <a:off x="7320" y="12853"/>
                            <a:ext cx="2425" cy="5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11"/>
                                <w:bidi w:val="0"/>
                                <w:jc w:val="center"/>
                                <w:rPr>
                                  <w:rFonts w:hint="default"/>
                                  <w:sz w:val="20"/>
                                  <w:szCs w:val="2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  <w:lang w:val="en-US" w:eastAsia="zh-CN"/>
                                </w:rPr>
                                <w:t>配套多功能智能消解仪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2" name="文本框 22"/>
                        <wps:cNvSpPr txBox="1"/>
                        <wps:spPr>
                          <a:xfrm>
                            <a:off x="9918" y="12853"/>
                            <a:ext cx="2425" cy="5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11"/>
                                <w:bidi w:val="0"/>
                                <w:jc w:val="center"/>
                                <w:rPr>
                                  <w:rFonts w:hint="default"/>
                                  <w:sz w:val="20"/>
                                  <w:szCs w:val="2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  <w:lang w:val="en-US" w:eastAsia="zh-CN"/>
                                </w:rPr>
                                <w:t>内置微型热敏打印机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3" name="文本框 23"/>
                        <wps:cNvSpPr txBox="1"/>
                        <wps:spPr>
                          <a:xfrm>
                            <a:off x="12793" y="12853"/>
                            <a:ext cx="1799" cy="5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11"/>
                                <w:bidi w:val="0"/>
                                <w:jc w:val="center"/>
                                <w:rPr>
                                  <w:rFonts w:hint="default"/>
                                  <w:sz w:val="20"/>
                                  <w:szCs w:val="2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  <w:lang w:val="en-US" w:eastAsia="zh-CN"/>
                                </w:rPr>
                                <w:t>管皿双比色池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15142" y="12853"/>
                            <a:ext cx="2239" cy="5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11"/>
                                <w:bidi w:val="0"/>
                                <w:jc w:val="center"/>
                                <w:rPr>
                                  <w:rFonts w:hint="default"/>
                                  <w:sz w:val="20"/>
                                  <w:szCs w:val="2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  <w:lang w:val="en-US" w:eastAsia="zh-CN"/>
                                </w:rPr>
                                <w:t>配套预制试剂及移液器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7pt;margin-top:-1.8pt;height:25.35pt;width:503.05pt;z-index:251660288;mso-width-relative:page;mso-height-relative:page;" coordorigin="7320,12853" coordsize="10061,507" o:gfxdata="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">
                <o:lock v:ext="edit" aspectratio="f"/>
                <v:shape id="_x0000_s1026" o:spid="_x0000_s1026" o:spt="202" type="#_x0000_t202" style="position:absolute;left:7320;top:12853;height:507;width:2425;" fillcolor="#FFFFFF [3201]" filled="t" stroked="f" coordsize="21600,21600" o:gfxdata="UEsDBAoAAAAAAIdO4kAAAAAAAAAAAAAAAAAEAAAAZHJzL1BLAwQUAAAACACHTuJA2pDFkLYAAADb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oxy+X9IPkI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qQxZC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11"/>
                          <w:bidi w:val="0"/>
                          <w:jc w:val="center"/>
                          <w:rPr>
                            <w:rFonts w:hint="default"/>
                            <w:sz w:val="20"/>
                            <w:szCs w:val="20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  <w:lang w:val="en-US" w:eastAsia="zh-CN"/>
                          </w:rPr>
                          <w:t>配套多功能智能消解仪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918;top:12853;height:507;width:2425;" fillcolor="#FFFFFF [3201]" filled="t" stroked="f" coordsize="21600,21600" o:gfxdata="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kJb5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11"/>
                          <w:bidi w:val="0"/>
                          <w:jc w:val="center"/>
                          <w:rPr>
                            <w:rFonts w:hint="default"/>
                            <w:sz w:val="20"/>
                            <w:szCs w:val="20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  <w:lang w:val="en-US" w:eastAsia="zh-CN"/>
                          </w:rPr>
                          <w:t>内置微型热敏打印机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793;top:12853;height:507;width:1799;" fillcolor="#FFFFFF [3201]" filled="t" stroked="f" coordsize="21600,21600" o:gfxdata="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UO/ny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11"/>
                          <w:bidi w:val="0"/>
                          <w:jc w:val="center"/>
                          <w:rPr>
                            <w:rFonts w:hint="default"/>
                            <w:sz w:val="20"/>
                            <w:szCs w:val="20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  <w:lang w:val="en-US" w:eastAsia="zh-CN"/>
                          </w:rPr>
                          <w:t>管皿双比色池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142;top:12853;height:507;width:2239;" fillcolor="#FFFFFF [3201]" filled="t" stroked="f" coordsize="21600,21600" o:gfxdata="UEsDBAoAAAAAAIdO4kAAAAAAAAAAAAAAAAAEAAAAZHJzL1BLAwQUAAAACACHTuJAyudmCLYAAADb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ozF8v6QfIB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rnZgi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11"/>
                          <w:bidi w:val="0"/>
                          <w:jc w:val="center"/>
                          <w:rPr>
                            <w:rFonts w:hint="default"/>
                            <w:sz w:val="20"/>
                            <w:szCs w:val="20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  <w:lang w:val="en-US" w:eastAsia="zh-CN"/>
                          </w:rPr>
                          <w:t>配套预制试剂及移液器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3"/>
        <w:rPr>
          <w:rFonts w:hint="eastAsia" w:ascii="微软雅黑" w:hAnsi="微软雅黑" w:eastAsia="微软雅黑" w:cs="微软雅黑"/>
          <w:b/>
          <w:bCs/>
          <w:color w:val="1D4686"/>
          <w:sz w:val="24"/>
          <w:szCs w:val="32"/>
          <w:lang w:val="en-US" w:eastAsia="zh-CN"/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color w:val="1D4686"/>
          <w:sz w:val="24"/>
          <w:szCs w:val="32"/>
          <w:lang w:val="en-US" w:eastAsia="zh-CN"/>
        </w:rPr>
      </w:pPr>
    </w:p>
    <w:p>
      <w:pPr>
        <w:pStyle w:val="3"/>
        <w:rPr>
          <w:rFonts w:hint="default" w:ascii="微软雅黑" w:hAnsi="微软雅黑" w:eastAsia="微软雅黑" w:cs="微软雅黑"/>
          <w:b/>
          <w:bCs/>
          <w:color w:val="1D4686"/>
          <w:sz w:val="24"/>
          <w:szCs w:val="32"/>
          <w:lang w:val="en-US" w:eastAsia="zh-CN"/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color w:val="1D4686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1D4686"/>
          <w:sz w:val="24"/>
          <w:szCs w:val="32"/>
          <w:lang w:val="en-US" w:eastAsia="zh-CN"/>
        </w:rPr>
        <w:t>产品介绍</w:t>
      </w:r>
    </w:p>
    <w:p>
      <w:pPr>
        <w:pStyle w:val="3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GL-900多参数水质测定仪，测定项目的原理符合环保行业认可方法。设备的光源、传感器等核心部件为国外进口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拥有更稳定的光学性能。设备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搭载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专利技术“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Glos水质智能检测系统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eastAsia="zh-CN"/>
        </w:rPr>
        <w:t>”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和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eastAsia="zh-CN"/>
        </w:rPr>
        <w:t>“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动态光学矢量控制系统”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让检测变得简单智能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。产品内置水质分析、光度测量、自建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系数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曲线、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自建标样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曲线、数据打印、批量检测、引导检测模式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等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多种应用程序。</w:t>
      </w:r>
    </w:p>
    <w:p>
      <w:pPr>
        <w:pStyle w:val="3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color w:val="1D4686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1D4686"/>
          <w:sz w:val="24"/>
          <w:szCs w:val="32"/>
          <w:lang w:val="en-US" w:eastAsia="zh-CN"/>
        </w:rPr>
        <w:t>应用领域</w:t>
      </w:r>
    </w:p>
    <w:p>
      <w:pPr>
        <w:pStyle w:val="3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可广泛应用于科研院所、污水工程、水环境检测、石油化工、冶金钢铁、生物医药、食品乳业、毛纺印染、电子机械、水产养殖、光伏、皮革、造纸、等领域的水质检测。  </w:t>
      </w:r>
    </w:p>
    <w:p>
      <w:pPr>
        <w:pStyle w:val="3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</w:pPr>
    </w:p>
    <w:p>
      <w:pPr>
        <w:pStyle w:val="11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测定原理</w:t>
      </w:r>
    </w:p>
    <w:p>
      <w:pPr>
        <w:pStyle w:val="3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</w:pP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COD的测定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依据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《HJ/T 399-2007水质 化学需氧量 快速消解分光光度法》</w:t>
      </w:r>
    </w:p>
    <w:p>
      <w:pPr>
        <w:pStyle w:val="3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1D4686"/>
          <w:spacing w:val="0"/>
          <w:sz w:val="24"/>
          <w:szCs w:val="24"/>
          <w:shd w:val="clear" w:fill="FFFFFF"/>
          <w:lang w:val="en-US" w:eastAsia="zh-CN"/>
        </w:rPr>
        <w:t>产品特点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shd w:val="clear" w:fill="FFFFFF"/>
        </w:rPr>
        <w:br w:type="textWrapping"/>
      </w: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进口固态冷光源10万小时光学寿命，性能稳定，检测结果准确。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内置动态光学矢量控制系统，最大支持14组滤光通道自动切换。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搭载自主研发Glos水质智能检测系统，让检测更简单智能。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引导式操作，扁平式UI设计使用者初次上手便能轻松完成污染物检测。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检测结果自动打印、批量检测、引导检测模式等功能。  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搭配双比色系统，同时支持（16mm）管比色和多规格皿比色。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开放自建曲线功能，用户可实现自建曲线，系数曲线或样品曲线。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8 英寸1024 ×768 分辨率IPS级高清电容触摸屏。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点触操作立体声反馈，弹指间更舒适的操作体验。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ABS材质，高强度、耐腐蚀、耐高温外壳。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配备GL-16型多功能智能消解仪，仅需一键完成项目消解。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配备进口Biohit移液器，减少了移取水样的误差，更简单，更稳定。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配备预制试剂，无需反复移液，只需要在试管内添加污染物样品再经过消解即可进行检测。</w:t>
      </w:r>
    </w:p>
    <w:p>
      <w:pPr>
        <w:pStyle w:val="3"/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19"/>
          <w:szCs w:val="19"/>
          <w:shd w:val="clear" w:fill="FFFFFF"/>
          <w:lang w:val="en-US" w:eastAsia="zh-CN"/>
        </w:rPr>
      </w:pPr>
    </w:p>
    <w:p>
      <w:pPr>
        <w:pStyle w:val="3"/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19"/>
          <w:szCs w:val="19"/>
          <w:shd w:val="clear" w:fill="FFFFFF"/>
          <w:lang w:val="en-US" w:eastAsia="zh-CN"/>
        </w:rPr>
      </w:pPr>
    </w:p>
    <w:p>
      <w:pPr>
        <w:pStyle w:val="3"/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19"/>
          <w:szCs w:val="19"/>
          <w:shd w:val="clear" w:fill="FFFFFF"/>
          <w:lang w:val="en-US" w:eastAsia="zh-CN"/>
        </w:rPr>
      </w:pPr>
    </w:p>
    <w:p>
      <w:pPr>
        <w:pStyle w:val="3"/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19"/>
          <w:szCs w:val="19"/>
          <w:shd w:val="clear" w:fill="FFFFFF"/>
          <w:lang w:val="en-US" w:eastAsia="zh-CN"/>
        </w:rPr>
      </w:pPr>
    </w:p>
    <w:p>
      <w:pPr>
        <w:pStyle w:val="3"/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19"/>
          <w:szCs w:val="19"/>
          <w:shd w:val="clear" w:fill="FFFFFF"/>
          <w:lang w:val="en-US" w:eastAsia="zh-CN"/>
        </w:rPr>
      </w:pPr>
    </w:p>
    <w:p>
      <w:pPr>
        <w:pStyle w:val="3"/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19"/>
          <w:szCs w:val="19"/>
          <w:shd w:val="clear" w:fill="FFFFFF"/>
          <w:lang w:val="en-US" w:eastAsia="zh-CN"/>
        </w:rPr>
      </w:pPr>
    </w:p>
    <w:p>
      <w:pPr>
        <w:pStyle w:val="3"/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19"/>
          <w:szCs w:val="19"/>
          <w:shd w:val="clear" w:fill="FFFFFF"/>
          <w:lang w:val="en-US" w:eastAsia="zh-CN"/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i w:val="0"/>
          <w:caps w:val="0"/>
          <w:color w:val="1D4686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0"/>
          <w:szCs w:val="1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D4686"/>
          <w:spacing w:val="0"/>
          <w:sz w:val="24"/>
          <w:szCs w:val="24"/>
          <w:shd w:val="clear" w:fill="FFFFFF"/>
          <w:lang w:val="en-US" w:eastAsia="zh-CN"/>
        </w:rPr>
        <w:t>技术参数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shd w:val="clear" w:fill="FFFFFF"/>
          <w:lang w:val="en-US" w:eastAsia="zh-CN"/>
        </w:rPr>
        <w:t xml:space="preserve"> </w:t>
      </w:r>
    </w:p>
    <w:tbl>
      <w:tblPr>
        <w:tblStyle w:val="6"/>
        <w:tblpPr w:leftFromText="180" w:rightFromText="180" w:vertAnchor="text" w:horzAnchor="page" w:tblpX="1808" w:tblpY="337"/>
        <w:tblOverlap w:val="never"/>
        <w:tblW w:w="897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"/>
        <w:gridCol w:w="78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产品型号</w:t>
            </w:r>
          </w:p>
        </w:tc>
        <w:tc>
          <w:tcPr>
            <w:tcW w:w="7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GL-900型  多参数水质分析仪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检测参数</w:t>
            </w:r>
          </w:p>
        </w:tc>
        <w:tc>
          <w:tcPr>
            <w:tcW w:w="7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COD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测量标准</w:t>
            </w:r>
          </w:p>
        </w:tc>
        <w:tc>
          <w:tcPr>
            <w:tcW w:w="7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HJ/T399-2007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测量范围</w:t>
            </w:r>
          </w:p>
        </w:tc>
        <w:tc>
          <w:tcPr>
            <w:tcW w:w="7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0-15000mg/L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抗氯干扰</w:t>
            </w:r>
          </w:p>
        </w:tc>
        <w:tc>
          <w:tcPr>
            <w:tcW w:w="7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2000mg/L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检测下限</w:t>
            </w:r>
          </w:p>
        </w:tc>
        <w:tc>
          <w:tcPr>
            <w:tcW w:w="7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5mg/L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消解温度</w:t>
            </w:r>
          </w:p>
        </w:tc>
        <w:tc>
          <w:tcPr>
            <w:tcW w:w="7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165℃，20min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检测时间</w:t>
            </w:r>
          </w:p>
        </w:tc>
        <w:tc>
          <w:tcPr>
            <w:tcW w:w="7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25分钟/批次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重复性</w:t>
            </w:r>
          </w:p>
        </w:tc>
        <w:tc>
          <w:tcPr>
            <w:tcW w:w="7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≤± 3％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示值误差</w:t>
            </w:r>
          </w:p>
        </w:tc>
        <w:tc>
          <w:tcPr>
            <w:tcW w:w="7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≤± 5％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光学稳定性</w:t>
            </w:r>
          </w:p>
        </w:tc>
        <w:tc>
          <w:tcPr>
            <w:tcW w:w="7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≤±0.001Abs/20分钟（10万小时寿命）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比色方式</w:t>
            </w:r>
          </w:p>
        </w:tc>
        <w:tc>
          <w:tcPr>
            <w:tcW w:w="7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双比色池，同时支持（16mm）管比色和多规格皿比色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打印机</w:t>
            </w:r>
          </w:p>
        </w:tc>
        <w:tc>
          <w:tcPr>
            <w:tcW w:w="7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微型热敏打印机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操作系统</w:t>
            </w:r>
          </w:p>
        </w:tc>
        <w:tc>
          <w:tcPr>
            <w:tcW w:w="7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搭载Glos水质智能检测系统 专利技术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屏幕显示</w:t>
            </w:r>
          </w:p>
        </w:tc>
        <w:tc>
          <w:tcPr>
            <w:tcW w:w="7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8 英寸1024 ×768 分辨率IPS级高清电容触摸屏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设备功能</w:t>
            </w:r>
          </w:p>
        </w:tc>
        <w:tc>
          <w:tcPr>
            <w:tcW w:w="7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水质分析、光度测量、数据管理、自建系数曲线、自建标样曲线、PC联机、USB升级等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仪器电源</w:t>
            </w:r>
          </w:p>
        </w:tc>
        <w:tc>
          <w:tcPr>
            <w:tcW w:w="7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AC（220V±5%），50Hz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工作环境</w:t>
            </w:r>
          </w:p>
        </w:tc>
        <w:tc>
          <w:tcPr>
            <w:tcW w:w="7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5-40℃，≤85%无冷凝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仪器尺寸</w:t>
            </w:r>
          </w:p>
        </w:tc>
        <w:tc>
          <w:tcPr>
            <w:tcW w:w="7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408mm×208mm×126mm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仪器重量</w:t>
            </w:r>
          </w:p>
        </w:tc>
        <w:tc>
          <w:tcPr>
            <w:tcW w:w="7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5.2kg</w:t>
            </w:r>
          </w:p>
        </w:tc>
      </w:tr>
    </w:tbl>
    <w:p>
      <w:pPr>
        <w:pStyle w:val="3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shd w:val="clear" w:fill="FFFFFF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outlineLvl w:val="0"/>
        <w:rPr>
          <w:rFonts w:hint="eastAsia" w:ascii="微软雅黑" w:hAnsi="微软雅黑" w:eastAsia="微软雅黑" w:cs="微软雅黑"/>
          <w:b/>
          <w:bCs/>
          <w:color w:val="0D0D0D" w:themeColor="text1" w:themeTint="F2"/>
          <w:sz w:val="36"/>
          <w:szCs w:val="4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outlineLvl w:val="0"/>
        <w:rPr>
          <w:rFonts w:hint="eastAsia" w:ascii="微软雅黑" w:hAnsi="微软雅黑" w:eastAsia="微软雅黑" w:cs="微软雅黑"/>
          <w:b/>
          <w:bCs/>
          <w:color w:val="0D0D0D" w:themeColor="text1" w:themeTint="F2"/>
          <w:sz w:val="36"/>
          <w:szCs w:val="4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outlineLvl w:val="0"/>
        <w:rPr>
          <w:rFonts w:hint="eastAsia" w:ascii="微软雅黑" w:hAnsi="微软雅黑" w:eastAsia="微软雅黑" w:cs="微软雅黑"/>
          <w:b/>
          <w:bCs/>
          <w:color w:val="0D0D0D" w:themeColor="text1" w:themeTint="F2"/>
          <w:sz w:val="36"/>
          <w:szCs w:val="4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11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以下检测项目并非全部搭载到本仪器</w:t>
      </w:r>
    </w:p>
    <w:p>
      <w:pPr>
        <w:pStyle w:val="11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可根据客户需求定制检测项目</w:t>
      </w:r>
    </w:p>
    <w:tbl>
      <w:tblPr>
        <w:tblStyle w:val="6"/>
        <w:tblpPr w:leftFromText="180" w:rightFromText="180" w:vertAnchor="page" w:horzAnchor="page" w:tblpX="1797" w:tblpY="2472"/>
        <w:tblOverlap w:val="never"/>
        <w:tblW w:w="89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2880"/>
        <w:gridCol w:w="480"/>
        <w:gridCol w:w="2700"/>
        <w:gridCol w:w="480"/>
        <w:gridCol w:w="2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</w:pPr>
            <w:r>
              <w:rPr>
                <w:rFonts w:hint="eastAsia"/>
                <w:lang w:val="en-US" w:eastAsia="zh-CN"/>
              </w:rPr>
              <w:t>ＣOD（0-15000 mg/L）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余氯（0-10 mg/L）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镉（0.005-0.5 mg/L）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氨氮（0-50 mg/L）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总余氯（0-10 mg/L）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钴（0-2 mg/L）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总磷（0-16 mg/L）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六价铬（0-1 mg/L）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硼（0.1-3 mg/L）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总氮（0-250 mg/L）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总铬(0-1 mg/L）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锰（0-16 mg/L）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色度（0-500 PCU）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总砷（0-0.5 mg/L）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钛（0.01-0.6 mg/L）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浊度（0-100 NTU）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二氧化硅（0.25-25 mg/L）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钒（0.018-10 mg/L）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悬浮物（0-500 mg/L）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二氧化硫（0.05-5 mg/L）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铝（0.05-0.3 mg/L）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硫化物（0-1 mg/L）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二氧化氯（0-3 mg/L）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砷（0.005-0.5 mg/L）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挥发酚（0-2 mg/L）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氯离子（0.1-25 mg/L）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锑（0.01-3.5 mg/L）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氰化物（0-0.5 mg/L）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苯胺（0.001-2 mg/L）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钡（2-100 mg/L）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氟化物（0-1.6 mg/L）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磷酸根（0.05-5 mg/L）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铅（0.05-2 mg/L）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高锰酸盐指数（0-20 mg/L）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甲醛（0.005-3.5 mg/L）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锡（0.01-0.5 mg/L）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亚硝酸盐（0-0.2 mg/L）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铜（0-1 mg/L）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铍（0.005-0.5 mg/L）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硝酸盐氮（0-20 mg/L）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镍（0-4 mg/L）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硫酸盐（8-200 mg/L）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铁（0-5 mg/L）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磷酸盐（0-1 mg/L）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锌（0-3 mg/L）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阴离子表面活性剂（0-2 mg/L）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银（0-1 mg/L）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jc w:val="center"/>
              <w:rPr>
                <w:rFonts w:hint="eastAsia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</w:p>
        </w:tc>
      </w:tr>
    </w:tbl>
    <w:p>
      <w:pPr>
        <w:pStyle w:val="12"/>
        <w:bidi w:val="0"/>
        <w:rPr>
          <w:rFonts w:hint="eastAsia"/>
          <w:lang w:val="en-US" w:eastAsia="zh-CN"/>
        </w:rPr>
        <w:sectPr>
          <w:headerReference r:id="rId3" w:type="default"/>
          <w:footerReference r:id="rId4" w:type="default"/>
          <w:cols w:space="0" w:num="1"/>
        </w:sectPr>
      </w:pPr>
    </w:p>
    <w:p>
      <w:pPr>
        <w:pStyle w:val="11"/>
        <w:bidi w:val="0"/>
        <w:rPr>
          <w:rFonts w:hint="default"/>
          <w:lang w:val="en-US" w:eastAsia="zh-CN"/>
        </w:rPr>
      </w:pPr>
    </w:p>
    <w:tbl>
      <w:tblPr>
        <w:tblStyle w:val="7"/>
        <w:tblpPr w:leftFromText="180" w:rightFromText="180" w:vertAnchor="page" w:horzAnchor="page" w:tblpX="1909" w:tblpY="9350"/>
        <w:tblOverlap w:val="never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730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5730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名称</w:t>
            </w:r>
          </w:p>
        </w:tc>
        <w:tc>
          <w:tcPr>
            <w:tcW w:w="260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730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主机</w:t>
            </w:r>
          </w:p>
        </w:tc>
        <w:tc>
          <w:tcPr>
            <w:tcW w:w="2602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1 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730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电源线</w:t>
            </w:r>
          </w:p>
        </w:tc>
        <w:tc>
          <w:tcPr>
            <w:tcW w:w="2602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1 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5730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专用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试剂</w:t>
            </w:r>
          </w:p>
        </w:tc>
        <w:tc>
          <w:tcPr>
            <w:tcW w:w="2602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各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1 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5730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试管架</w:t>
            </w:r>
          </w:p>
        </w:tc>
        <w:tc>
          <w:tcPr>
            <w:tcW w:w="2602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1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48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5730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擦拭布</w:t>
            </w:r>
          </w:p>
        </w:tc>
        <w:tc>
          <w:tcPr>
            <w:tcW w:w="2602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2 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5730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消解比色管</w:t>
            </w:r>
          </w:p>
        </w:tc>
        <w:tc>
          <w:tcPr>
            <w:tcW w:w="2602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18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 xml:space="preserve"> 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5730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手套</w:t>
            </w:r>
          </w:p>
        </w:tc>
        <w:tc>
          <w:tcPr>
            <w:tcW w:w="2602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2双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5730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稀释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杯</w:t>
            </w:r>
          </w:p>
        </w:tc>
        <w:tc>
          <w:tcPr>
            <w:tcW w:w="2602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5730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棕色瓶</w:t>
            </w:r>
          </w:p>
        </w:tc>
        <w:tc>
          <w:tcPr>
            <w:tcW w:w="2602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1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5730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使用说明书</w:t>
            </w:r>
          </w:p>
        </w:tc>
        <w:tc>
          <w:tcPr>
            <w:tcW w:w="2602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1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8" w:type="dxa"/>
            <w:vAlign w:val="top"/>
          </w:tcPr>
          <w:p>
            <w:pPr>
              <w:pStyle w:val="12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5730" w:type="dxa"/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合格证</w:t>
            </w:r>
          </w:p>
        </w:tc>
        <w:tc>
          <w:tcPr>
            <w:tcW w:w="2602" w:type="dxa"/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1份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48" w:type="dxa"/>
            <w:vAlign w:val="top"/>
          </w:tcPr>
          <w:p>
            <w:pPr>
              <w:pStyle w:val="12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5730" w:type="dxa"/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专用移液器</w:t>
            </w:r>
          </w:p>
        </w:tc>
        <w:tc>
          <w:tcPr>
            <w:tcW w:w="2602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1支</w:t>
            </w:r>
          </w:p>
        </w:tc>
      </w:tr>
    </w:tbl>
    <w:p>
      <w:pPr>
        <w:pStyle w:val="3"/>
        <w:rPr>
          <w:rFonts w:hint="eastAsia" w:eastAsia="宋体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D4686"/>
          <w:spacing w:val="0"/>
          <w:sz w:val="24"/>
          <w:szCs w:val="24"/>
          <w:shd w:val="clear" w:fill="FFFFFF"/>
          <w:lang w:val="en-US" w:eastAsia="zh-CN"/>
        </w:rPr>
        <w:t>发货清单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shd w:val="clear" w:fill="FFFFFF"/>
          <w:lang w:val="en-US" w:eastAsia="zh-CN"/>
        </w:rPr>
        <w:t xml:space="preserve">  </w:t>
      </w:r>
    </w:p>
    <w:sectPr>
      <w:type w:val="continuous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640"/>
      </w:tabs>
      <w:jc w:val="center"/>
      <w:rPr>
        <w:rFonts w:hint="eastAsia" w:ascii="微软雅黑" w:hAnsi="微软雅黑" w:eastAsia="微软雅黑" w:cs="微软雅黑"/>
        <w:b w:val="0"/>
        <w:bCs w:val="0"/>
        <w:color w:val="FFFFFF" w:themeColor="background1"/>
        <w:sz w:val="21"/>
        <w:szCs w:val="21"/>
        <w:lang w:val="en-US" w:eastAsia="zh-CN"/>
        <w14:textFill>
          <w14:solidFill>
            <w14:schemeClr w14:val="bg1"/>
          </w14:solidFill>
        </w14:textFill>
      </w:rPr>
    </w:pPr>
    <w:r>
      <w:rPr>
        <w:color w:val="FFFFFF" w:themeColor="background1"/>
        <w:sz w:val="19"/>
        <w14:textFill>
          <w14:solidFill>
            <w14:schemeClr w14:val="bg1"/>
          </w14:solidFill>
        </w14:textFill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-1361440</wp:posOffset>
              </wp:positionH>
              <wp:positionV relativeFrom="paragraph">
                <wp:posOffset>-360680</wp:posOffset>
              </wp:positionV>
              <wp:extent cx="8013065" cy="1915160"/>
              <wp:effectExtent l="0" t="0" r="3175" b="0"/>
              <wp:wrapNone/>
              <wp:docPr id="15" name="组合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13065" cy="1915160"/>
                        <a:chOff x="5559" y="6271"/>
                        <a:chExt cx="12619" cy="3016"/>
                      </a:xfrm>
                    </wpg:grpSpPr>
                    <wps:wsp>
                      <wps:cNvPr id="12" name="任意多边形 12"/>
                      <wps:cNvSpPr/>
                      <wps:spPr>
                        <a:xfrm rot="300000" flipH="1">
                          <a:off x="5673" y="6271"/>
                          <a:ext cx="12505" cy="3016"/>
                        </a:xfrm>
                        <a:custGeom>
                          <a:avLst/>
                          <a:gdLst>
                            <a:gd name="connsiteX0" fmla="*/ 98 w 12226"/>
                            <a:gd name="connsiteY0" fmla="*/ 29 h 2675"/>
                            <a:gd name="connsiteX1" fmla="*/ 12226 w 12226"/>
                            <a:gd name="connsiteY1" fmla="*/ 1055 h 2675"/>
                            <a:gd name="connsiteX2" fmla="*/ 12226 w 12226"/>
                            <a:gd name="connsiteY2" fmla="*/ 2675 h 2675"/>
                            <a:gd name="connsiteX3" fmla="*/ 0 w 12226"/>
                            <a:gd name="connsiteY3" fmla="*/ 1493 h 2675"/>
                            <a:gd name="connsiteX4" fmla="*/ 98 w 12226"/>
                            <a:gd name="connsiteY4" fmla="*/ 29 h 2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26" h="2675">
                              <a:moveTo>
                                <a:pt x="98" y="29"/>
                              </a:moveTo>
                              <a:cubicBezTo>
                                <a:pt x="3742" y="-277"/>
                                <a:pt x="8146" y="1955"/>
                                <a:pt x="12226" y="1055"/>
                              </a:cubicBezTo>
                              <a:lnTo>
                                <a:pt x="12226" y="2675"/>
                              </a:lnTo>
                              <a:lnTo>
                                <a:pt x="0" y="1493"/>
                              </a:lnTo>
                              <a:lnTo>
                                <a:pt x="98" y="29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7EBEFF"/>
                            </a:gs>
                            <a:gs pos="59000">
                              <a:srgbClr val="7EBEFF"/>
                            </a:gs>
                            <a:gs pos="100000">
                              <a:srgbClr val="7EBEFF"/>
                            </a:gs>
                          </a:gsLst>
                        </a:gradFill>
                        <a:effectLst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13" name="任意多边形 11"/>
                      <wps:cNvSpPr/>
                      <wps:spPr>
                        <a:xfrm flipH="1">
                          <a:off x="5559" y="6801"/>
                          <a:ext cx="12607" cy="2119"/>
                        </a:xfrm>
                        <a:custGeom>
                          <a:avLst/>
                          <a:gdLst>
                            <a:gd name="connsiteX0" fmla="*/ 0 w 12239"/>
                            <a:gd name="connsiteY0" fmla="*/ 260 h 1879"/>
                            <a:gd name="connsiteX1" fmla="*/ 12239 w 12239"/>
                            <a:gd name="connsiteY1" fmla="*/ 260 h 1879"/>
                            <a:gd name="connsiteX2" fmla="*/ 12239 w 12239"/>
                            <a:gd name="connsiteY2" fmla="*/ 1880 h 1879"/>
                            <a:gd name="connsiteX3" fmla="*/ 0 w 12239"/>
                            <a:gd name="connsiteY3" fmla="*/ 1880 h 1879"/>
                            <a:gd name="connsiteX4" fmla="*/ 0 w 12239"/>
                            <a:gd name="connsiteY4" fmla="*/ 260 h 18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39" h="1880">
                              <a:moveTo>
                                <a:pt x="0" y="260"/>
                              </a:moveTo>
                              <a:cubicBezTo>
                                <a:pt x="4080" y="-640"/>
                                <a:pt x="8159" y="1160"/>
                                <a:pt x="12239" y="260"/>
                              </a:cubicBezTo>
                              <a:lnTo>
                                <a:pt x="12239" y="1880"/>
                              </a:lnTo>
                              <a:lnTo>
                                <a:pt x="0" y="1880"/>
                              </a:lnTo>
                              <a:lnTo>
                                <a:pt x="0" y="26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0A2751"/>
                            </a:gs>
                            <a:gs pos="50000">
                              <a:srgbClr val="183E78"/>
                            </a:gs>
                            <a:gs pos="100000">
                              <a:srgbClr val="1D4686"/>
                            </a:gs>
                          </a:gsLst>
                          <a:lin ang="10800000"/>
                        </a:gradFill>
                        <a:effectLst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107.2pt;margin-top:-28.4pt;height:150.8pt;width:630.95pt;z-index:-251656192;mso-width-relative:page;mso-height-relative:page;" coordorigin="5559,6271" coordsize="12619,3016" o:gfxdata="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">
              <o:lock v:ext="edit" aspectratio="f"/>
              <v:shape id="_x0000_s1026" o:spid="_x0000_s1026" o:spt="100" style="position:absolute;left:5673;top:6271;flip:x;height:3016;width:12505;rotation:-327680f;v-text-anchor:middle;" fillcolor="#7EBEFF" filled="t" stroked="f" coordsize="12226,2675" o:gfxdata="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HDpIugAAANsA&#10;AAAPAAAAAAAAAAEAIAAAACIAAABkcnMvZG93bnJldi54bWxQSwECFAAUAAAACACHTuJAMy8FnjsA&#10;AAA5AAAAEAAAAAAAAAABACAAAAAJAQAAZHJzL3NoYXBleG1sLnhtbFBLBQYAAAAABgAGAFsBAACz&#10;AwAAAAA=&#10;" path="m98,29c3742,-277,8146,1955,12226,1055l12226,2675,0,1493,98,29xe">
                <v:path o:connectlocs="100,32;12505,1189;12505,3016;0,1683;100,32" o:connectangles="0,0,0,0,0"/>
                <v:fill type="gradient" on="t" color2="#7EBEFF" angle="90" focus="5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</v:shape>
              <v:shape id="任意多边形 11" o:spid="_x0000_s1026" o:spt="100" style="position:absolute;left:5559;top:6801;flip:x;height:2119;width:12607;v-text-anchor:middle;" fillcolor="#0A2751" filled="t" stroked="f" coordsize="12239,1880" o:gfxdata="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1j98augAAANsA&#10;AAAPAAAAAAAAAAEAIAAAACIAAABkcnMvZG93bnJldi54bWxQSwECFAAUAAAACACHTuJAMy8FnjsA&#10;AAA5AAAAEAAAAAAAAAABACAAAAAJAQAAZHJzL3NoYXBleG1sLnhtbFBLBQYAAAAABgAGAFsBAACz&#10;AwAAAAA=&#10;" path="m0,260c4080,-640,8159,1160,12239,260l12239,1880,0,1880,0,260xe">
                <v:path o:connectlocs="0,293;12607,293;12607,2120;0,2120;0,293" o:connectangles="0,0,0,0,0"/>
                <v:fill type="gradient" on="t" color2="#1D4686" colors="0f #0A2751;32768f #183E78;65536f #1D4686" angle="270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</v:shape>
            </v:group>
          </w:pict>
        </mc:Fallback>
      </mc:AlternateContent>
    </w:r>
  </w:p>
  <w:p>
    <w:pPr>
      <w:pStyle w:val="4"/>
      <w:tabs>
        <w:tab w:val="left" w:pos="640"/>
      </w:tabs>
      <w:jc w:val="right"/>
      <w:rPr>
        <w:rFonts w:hint="eastAsia" w:ascii="微软雅黑" w:hAnsi="微软雅黑" w:eastAsia="微软雅黑" w:cs="微软雅黑"/>
        <w:b w:val="0"/>
        <w:bCs w:val="0"/>
        <w:color w:val="FFFFFF" w:themeColor="background1"/>
        <w:sz w:val="21"/>
        <w:szCs w:val="21"/>
        <w:lang w:val="en-US" w:eastAsia="zh-CN"/>
        <w14:textFill>
          <w14:solidFill>
            <w14:schemeClr w14:val="bg1"/>
          </w14:solidFill>
        </w14:textFill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2755900</wp:posOffset>
              </wp:positionH>
              <wp:positionV relativeFrom="paragraph">
                <wp:posOffset>132080</wp:posOffset>
              </wp:positionV>
              <wp:extent cx="3622040" cy="57658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161280" y="9408795"/>
                        <a:ext cx="3622040" cy="5765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tabs>
                              <w:tab w:val="left" w:pos="640"/>
                            </w:tabs>
                            <w:jc w:val="right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山东格林凯瑞精密仪器有限公司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  </w:t>
                          </w:r>
                        </w:p>
                        <w:p>
                          <w:pPr>
                            <w:pStyle w:val="4"/>
                            <w:tabs>
                              <w:tab w:val="left" w:pos="640"/>
                            </w:tabs>
                            <w:jc w:val="right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全国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服务热线：400-6658-616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  网址：www.cncod.cn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7pt;margin-top:10.4pt;height:45.4pt;width:285.2pt;z-index:251661312;mso-width-relative:page;mso-height-relative:page;" filled="f" stroked="f" coordsize="21600,21600" o:gfxdata="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ehlea2QAAAAsBAAAPAAAAAAAAAAEAIAAAACIAAABkcnMvZG93bnJldi54bWxQSwECFAAUAAAA&#10;CACHTuJAwRr4myYCAAAjBAAADgAAAAAAAAABACAAAAAoAQAAZHJzL2Uyb0RvYy54bWxQSwUGAAAA&#10;AAYABgBZAQAAwAUAAAAA&#10;">
              <v:fill on="f" focussize="0,0"/>
              <v:stroke on="f" weight="0pt"/>
              <v:imagedata o:title=""/>
              <o:lock v:ext="edit" aspectratio="f"/>
              <v:textbox>
                <w:txbxContent>
                  <w:p>
                    <w:pPr>
                      <w:pStyle w:val="4"/>
                      <w:tabs>
                        <w:tab w:val="left" w:pos="640"/>
                      </w:tabs>
                      <w:jc w:val="right"/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山东格林凯瑞精密仪器有限公司</w:t>
                    </w: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  </w:t>
                    </w:r>
                  </w:p>
                  <w:p>
                    <w:pPr>
                      <w:pStyle w:val="4"/>
                      <w:tabs>
                        <w:tab w:val="left" w:pos="640"/>
                      </w:tabs>
                      <w:jc w:val="right"/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全国</w:t>
                    </w: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服务热线：400-6658-616</w:t>
                    </w: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  网址：www.cncod.cn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4"/>
      <w:jc w:val="right"/>
      <w:rPr>
        <w:color w:val="FFFFFF" w:themeColor="background1"/>
        <w14:textFill>
          <w14:solidFill>
            <w14:schemeClr w14:val="bg1"/>
          </w14:solidFill>
        </w14:textFill>
      </w:rPr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  <w:sz w:val="44"/>
        <w:szCs w:val="44"/>
        <w:lang w:eastAsia="zh-CN"/>
      </w:rPr>
      <w:drawing>
        <wp:anchor distT="0" distB="0" distL="114300" distR="114300" simplePos="0" relativeHeight="251738112" behindDoc="0" locked="0" layoutInCell="1" allowOverlap="1">
          <wp:simplePos x="0" y="0"/>
          <wp:positionH relativeFrom="column">
            <wp:posOffset>4617720</wp:posOffset>
          </wp:positionH>
          <wp:positionV relativeFrom="page">
            <wp:posOffset>245745</wp:posOffset>
          </wp:positionV>
          <wp:extent cx="1610995" cy="787400"/>
          <wp:effectExtent l="0" t="0" r="0" b="0"/>
          <wp:wrapNone/>
          <wp:docPr id="2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未标题-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0995" cy="7874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331DE"/>
    <w:rsid w:val="0F331A93"/>
    <w:rsid w:val="10B042A3"/>
    <w:rsid w:val="17C13FE0"/>
    <w:rsid w:val="20802770"/>
    <w:rsid w:val="2D1863C6"/>
    <w:rsid w:val="3A457A9A"/>
    <w:rsid w:val="400F46BF"/>
    <w:rsid w:val="51A350E5"/>
    <w:rsid w:val="5259741E"/>
    <w:rsid w:val="54D62060"/>
    <w:rsid w:val="552F6FD9"/>
    <w:rsid w:val="5CA8036A"/>
    <w:rsid w:val="5F312D94"/>
    <w:rsid w:val="61192E40"/>
    <w:rsid w:val="6C6E1172"/>
    <w:rsid w:val="6D6C4B52"/>
    <w:rsid w:val="6ED7739D"/>
    <w:rsid w:val="7A1E65FF"/>
    <w:rsid w:val="7A6C10E5"/>
    <w:rsid w:val="7B7331DE"/>
    <w:rsid w:val="7EDB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小标题"/>
    <w:basedOn w:val="3"/>
    <w:qFormat/>
    <w:uiPriority w:val="0"/>
    <w:rPr>
      <w:rFonts w:ascii="微软雅黑" w:hAnsi="微软雅黑" w:eastAsia="微软雅黑" w:cs="微软雅黑"/>
      <w:b/>
      <w:color w:val="1D4686"/>
      <w:sz w:val="24"/>
    </w:rPr>
  </w:style>
  <w:style w:type="paragraph" w:customStyle="1" w:styleId="12">
    <w:name w:val="格林正文"/>
    <w:basedOn w:val="3"/>
    <w:qFormat/>
    <w:uiPriority w:val="0"/>
    <w:rPr>
      <w:rFonts w:ascii="微软雅黑" w:hAnsi="微软雅黑" w:eastAsia="微软雅黑" w:cs="微软雅黑"/>
      <w:color w:val="3F3F3F"/>
      <w:sz w:val="19"/>
      <w:szCs w:val="19"/>
    </w:rPr>
  </w:style>
  <w:style w:type="paragraph" w:customStyle="1" w:styleId="13">
    <w:name w:val="产品名称"/>
    <w:basedOn w:val="1"/>
    <w:qFormat/>
    <w:uiPriority w:val="0"/>
    <w:rPr>
      <w:rFonts w:ascii="微软雅黑" w:hAnsi="微软雅黑" w:eastAsia="微软雅黑" w:cs="微软雅黑"/>
      <w:b/>
      <w:bCs/>
      <w:color w:val="1D4686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1498</Words>
  <Characters>2125</Characters>
  <Lines>0</Lines>
  <Paragraphs>0</Paragraphs>
  <TotalTime>4</TotalTime>
  <ScaleCrop>false</ScaleCrop>
  <LinksUpToDate>false</LinksUpToDate>
  <CharactersWithSpaces>2208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2020-02-06T13:06:00Z</dcterms:created>
  <dc:creator>王一</dc:creator>
  <cp:lastModifiedBy>财务工作号</cp:lastModifiedBy>
  <cp:lastPrinted>2020-03-04T04:40:00Z</cp:lastPrinted>
  <dcterms:modified xsi:type="dcterms:W3CDTF">2020-04-06T06:01:51Z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