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1E62" w14:textId="77777777" w:rsidR="00A16EAE" w:rsidRDefault="00B97B53">
      <w:pPr>
        <w:widowControl/>
        <w:shd w:val="clear" w:color="auto" w:fill="FFFFFF"/>
        <w:spacing w:line="360" w:lineRule="atLeast"/>
        <w:rPr>
          <w:rFonts w:ascii="微软雅黑" w:eastAsia="微软雅黑" w:hAnsi="微软雅黑" w:cs="微软雅黑"/>
          <w:b/>
          <w:bCs/>
          <w:color w:val="0070C0"/>
          <w:sz w:val="32"/>
          <w:szCs w:val="32"/>
        </w:rPr>
      </w:pPr>
      <w:r>
        <w:rPr>
          <w:b/>
          <w:bCs/>
          <w:noProof/>
          <w:color w:val="0070C0"/>
          <w:sz w:val="24"/>
          <w:szCs w:val="28"/>
        </w:rPr>
        <w:drawing>
          <wp:anchor distT="0" distB="0" distL="114300" distR="114300" simplePos="0" relativeHeight="251660288" behindDoc="0" locked="0" layoutInCell="1" allowOverlap="1" wp14:anchorId="2627D397" wp14:editId="179DA577">
            <wp:simplePos x="0" y="0"/>
            <wp:positionH relativeFrom="column">
              <wp:posOffset>3554730</wp:posOffset>
            </wp:positionH>
            <wp:positionV relativeFrom="paragraph">
              <wp:posOffset>148590</wp:posOffset>
            </wp:positionV>
            <wp:extent cx="1621155" cy="2019300"/>
            <wp:effectExtent l="0" t="0" r="0" b="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1621155" cy="2019300"/>
                    </a:xfrm>
                    <a:prstGeom prst="rect">
                      <a:avLst/>
                    </a:prstGeom>
                    <a:noFill/>
                    <a:ln>
                      <a:noFill/>
                    </a:ln>
                  </pic:spPr>
                </pic:pic>
              </a:graphicData>
            </a:graphic>
            <wp14:sizeRelH relativeFrom="margin">
              <wp14:pctWidth>0</wp14:pctWidth>
            </wp14:sizeRelH>
          </wp:anchor>
        </w:drawing>
      </w:r>
      <w:r>
        <w:rPr>
          <w:rFonts w:ascii="微软雅黑" w:eastAsia="微软雅黑" w:hAnsi="微软雅黑" w:cs="微软雅黑" w:hint="eastAsia"/>
          <w:b/>
          <w:bCs/>
          <w:color w:val="0070C0"/>
          <w:sz w:val="32"/>
          <w:szCs w:val="32"/>
        </w:rPr>
        <w:t>MRR-2/MRR-POR</w:t>
      </w:r>
      <w:r>
        <w:rPr>
          <w:rFonts w:ascii="微软雅黑" w:eastAsia="微软雅黑" w:hAnsi="微软雅黑" w:cs="微软雅黑" w:hint="eastAsia"/>
          <w:b/>
          <w:bCs/>
          <w:color w:val="0070C0"/>
          <w:sz w:val="32"/>
          <w:szCs w:val="32"/>
        </w:rPr>
        <w:t>微型雨雷达</w:t>
      </w:r>
    </w:p>
    <w:p w14:paraId="5C297E5A" w14:textId="77777777" w:rsidR="00A16EAE" w:rsidRDefault="00A16EAE">
      <w:pPr>
        <w:widowControl/>
        <w:shd w:val="clear" w:color="auto" w:fill="FFFFFF"/>
        <w:spacing w:line="360" w:lineRule="atLeast"/>
        <w:rPr>
          <w:rFonts w:ascii="微软雅黑" w:eastAsia="微软雅黑" w:hAnsi="微软雅黑" w:cs="微软雅黑"/>
          <w:color w:val="0000FF"/>
          <w:sz w:val="24"/>
          <w:szCs w:val="24"/>
        </w:rPr>
      </w:pPr>
    </w:p>
    <w:p w14:paraId="3EE119FD"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微型雨雷达测量谱勒光谱的廓线，获得雨滴大小分布、雨速、液态水含量、雷达反射率因子、多普勒速率、路径综合衰减。</w:t>
      </w: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微型雨雷达的安装设置非常简便，对于周围环境，如桅杆、建筑物或树木等不敏感，</w:t>
      </w: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微型雨雷达是一款各种水文气象站（甚至远程站）应用中理想的、实用的、免维护测量仪器。</w:t>
      </w:r>
    </w:p>
    <w:p w14:paraId="5CAEC9D6" w14:textId="77777777" w:rsidR="00A16EAE" w:rsidRDefault="00B97B53">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产品概述</w:t>
      </w:r>
    </w:p>
    <w:p w14:paraId="38820929"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微型雨雷达的工作原理是以雨滴大小和散射截面、雨滴大小和下降速率的关系为基础的。</w:t>
      </w:r>
      <w:r>
        <w:rPr>
          <w:rFonts w:ascii="微软雅黑" w:eastAsia="微软雅黑" w:hAnsi="微软雅黑" w:cs="微软雅黑" w:hint="eastAsia"/>
          <w:sz w:val="20"/>
          <w:szCs w:val="20"/>
        </w:rPr>
        <w:t>METEK</w:t>
      </w:r>
      <w:r>
        <w:rPr>
          <w:rFonts w:ascii="微软雅黑" w:eastAsia="微软雅黑" w:hAnsi="微软雅黑" w:cs="微软雅黑" w:hint="eastAsia"/>
          <w:sz w:val="20"/>
          <w:szCs w:val="20"/>
        </w:rPr>
        <w:t>微型雨雷达使用了一种单相静态天线构造可以可靠的修复雨滴大小分布（</w:t>
      </w:r>
      <w:r>
        <w:rPr>
          <w:rFonts w:ascii="微软雅黑" w:eastAsia="微软雅黑" w:hAnsi="微软雅黑" w:cs="微软雅黑" w:hint="eastAsia"/>
          <w:sz w:val="20"/>
          <w:szCs w:val="20"/>
        </w:rPr>
        <w:t>DSD</w:t>
      </w:r>
      <w:r>
        <w:rPr>
          <w:rFonts w:ascii="微软雅黑" w:eastAsia="微软雅黑" w:hAnsi="微软雅黑" w:cs="微软雅黑" w:hint="eastAsia"/>
          <w:sz w:val="20"/>
          <w:szCs w:val="20"/>
        </w:rPr>
        <w:t>）。</w:t>
      </w:r>
    </w:p>
    <w:p w14:paraId="6FA62B61"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微型雨雷达测量多谱勒光</w:t>
      </w:r>
      <w:r>
        <w:rPr>
          <w:rFonts w:ascii="微软雅黑" w:eastAsia="微软雅黑" w:hAnsi="微软雅黑" w:cs="微软雅黑" w:hint="eastAsia"/>
          <w:sz w:val="20"/>
          <w:szCs w:val="20"/>
        </w:rPr>
        <w:t>谱的廓线，获得雨滴大小分布、雨速、液态水含量、雷达反射率因子、多普勒速率、路径综合衰减。安装设置非常简便，对于周围环境，如桅杆、建筑物或树木等不敏感，</w:t>
      </w:r>
      <w:r>
        <w:rPr>
          <w:rFonts w:ascii="微软雅黑" w:eastAsia="微软雅黑" w:hAnsi="微软雅黑" w:cs="微软雅黑" w:hint="eastAsia"/>
          <w:sz w:val="20"/>
          <w:szCs w:val="20"/>
        </w:rPr>
        <w:t>MRR-2</w:t>
      </w:r>
      <w:r>
        <w:rPr>
          <w:rFonts w:ascii="微软雅黑" w:eastAsia="微软雅黑" w:hAnsi="微软雅黑" w:cs="微软雅黑" w:hint="eastAsia"/>
          <w:sz w:val="20"/>
          <w:szCs w:val="20"/>
        </w:rPr>
        <w:t>微雨雷达是一款各种水文气象站（甚至远程站）应用中理想的、实用的、免维护测量仪器。</w:t>
      </w:r>
    </w:p>
    <w:p w14:paraId="54DB1F00"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原始数据可用</w:t>
      </w:r>
      <w:r>
        <w:rPr>
          <w:rFonts w:ascii="微软雅黑" w:eastAsia="微软雅黑" w:hAnsi="微软雅黑" w:cs="微软雅黑" w:hint="eastAsia"/>
          <w:sz w:val="20"/>
          <w:szCs w:val="20"/>
        </w:rPr>
        <w:t>RS422</w:t>
      </w:r>
      <w:r>
        <w:rPr>
          <w:rFonts w:ascii="微软雅黑" w:eastAsia="微软雅黑" w:hAnsi="微软雅黑" w:cs="微软雅黑" w:hint="eastAsia"/>
          <w:sz w:val="20"/>
          <w:szCs w:val="20"/>
        </w:rPr>
        <w:t>串行数据线或以太网接口传输到</w:t>
      </w:r>
      <w:r>
        <w:rPr>
          <w:rFonts w:ascii="微软雅黑" w:eastAsia="微软雅黑" w:hAnsi="微软雅黑" w:cs="微软雅黑" w:hint="eastAsia"/>
          <w:sz w:val="20"/>
          <w:szCs w:val="20"/>
        </w:rPr>
        <w:t>100</w:t>
      </w:r>
      <w:r>
        <w:rPr>
          <w:rFonts w:ascii="微软雅黑" w:eastAsia="微软雅黑" w:hAnsi="微软雅黑" w:cs="微软雅黑" w:hint="eastAsia"/>
          <w:sz w:val="20"/>
          <w:szCs w:val="20"/>
        </w:rPr>
        <w:t>米以内的电脑上，进行数据计算、存储或远程控制，也可选用低耗电的单片式</w:t>
      </w:r>
      <w:r>
        <w:rPr>
          <w:rFonts w:ascii="微软雅黑" w:eastAsia="微软雅黑" w:hAnsi="微软雅黑" w:cs="微软雅黑" w:hint="eastAsia"/>
          <w:sz w:val="20"/>
          <w:szCs w:val="20"/>
        </w:rPr>
        <w:t>PC</w:t>
      </w:r>
      <w:r>
        <w:rPr>
          <w:rFonts w:ascii="微软雅黑" w:eastAsia="微软雅黑" w:hAnsi="微软雅黑" w:cs="微软雅黑" w:hint="eastAsia"/>
          <w:sz w:val="20"/>
          <w:szCs w:val="20"/>
        </w:rPr>
        <w:t>装置。</w:t>
      </w:r>
    </w:p>
    <w:p w14:paraId="75411917"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自动控制天线加热装置，在冬季低温或雪天、冰冻环境下也可正常运行。</w:t>
      </w:r>
    </w:p>
    <w:p w14:paraId="5D6C7C3E" w14:textId="77777777" w:rsidR="00A16EAE" w:rsidRDefault="00B97B53">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特</w:t>
      </w:r>
      <w:r>
        <w:rPr>
          <w:rFonts w:ascii="微软雅黑" w:eastAsia="微软雅黑" w:hAnsi="微软雅黑" w:cs="微软雅黑" w:hint="eastAsia"/>
          <w:color w:val="0070C0"/>
          <w:sz w:val="24"/>
          <w:szCs w:val="24"/>
        </w:rPr>
        <w:t xml:space="preserve">    </w:t>
      </w:r>
      <w:r>
        <w:rPr>
          <w:rFonts w:ascii="微软雅黑" w:eastAsia="微软雅黑" w:hAnsi="微软雅黑" w:cs="微软雅黑" w:hint="eastAsia"/>
          <w:color w:val="0070C0"/>
          <w:sz w:val="24"/>
          <w:szCs w:val="24"/>
        </w:rPr>
        <w:t>点</w:t>
      </w:r>
    </w:p>
    <w:p w14:paraId="25E73E27"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测量雨滴大小的垂直分布廓线、降雨速率、液态水含量（</w:t>
      </w:r>
      <w:r>
        <w:rPr>
          <w:rFonts w:ascii="微软雅黑" w:eastAsia="微软雅黑" w:hAnsi="微软雅黑" w:cs="微软雅黑" w:hint="eastAsia"/>
          <w:sz w:val="20"/>
          <w:szCs w:val="20"/>
        </w:rPr>
        <w:t>LWC</w:t>
      </w:r>
      <w:r>
        <w:rPr>
          <w:rFonts w:ascii="微软雅黑" w:eastAsia="微软雅黑" w:hAnsi="微软雅黑" w:cs="微软雅黑" w:hint="eastAsia"/>
          <w:sz w:val="20"/>
          <w:szCs w:val="20"/>
        </w:rPr>
        <w:t>）和</w:t>
      </w:r>
      <w:proofErr w:type="gramStart"/>
      <w:r>
        <w:rPr>
          <w:rFonts w:ascii="微软雅黑" w:eastAsia="微软雅黑" w:hAnsi="微软雅黑" w:cs="微软雅黑" w:hint="eastAsia"/>
          <w:sz w:val="20"/>
          <w:szCs w:val="20"/>
        </w:rPr>
        <w:t>其它微</w:t>
      </w:r>
      <w:proofErr w:type="gramEnd"/>
      <w:r>
        <w:rPr>
          <w:rFonts w:ascii="微软雅黑" w:eastAsia="微软雅黑" w:hAnsi="微软雅黑" w:cs="微软雅黑" w:hint="eastAsia"/>
          <w:sz w:val="20"/>
          <w:szCs w:val="20"/>
        </w:rPr>
        <w:t>物理特性</w:t>
      </w:r>
    </w:p>
    <w:p w14:paraId="334819AA"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测量高度可达</w:t>
      </w:r>
      <w:r>
        <w:rPr>
          <w:rFonts w:ascii="微软雅黑" w:eastAsia="微软雅黑" w:hAnsi="微软雅黑" w:cs="微软雅黑" w:hint="eastAsia"/>
          <w:sz w:val="20"/>
          <w:szCs w:val="20"/>
        </w:rPr>
        <w:t>6000m</w:t>
      </w:r>
      <w:r>
        <w:rPr>
          <w:rFonts w:ascii="微软雅黑" w:eastAsia="微软雅黑" w:hAnsi="微软雅黑" w:cs="微软雅黑" w:hint="eastAsia"/>
          <w:sz w:val="20"/>
          <w:szCs w:val="20"/>
        </w:rPr>
        <w:t>，可取样</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个分层，高度分辨率可调</w:t>
      </w:r>
    </w:p>
    <w:p w14:paraId="700D4AC6"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不受风、周围环境和海洋环境影响，无蒸发误差</w:t>
      </w:r>
    </w:p>
    <w:p w14:paraId="48FA7ABA"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无需维护，长期无人值守操作</w:t>
      </w:r>
    </w:p>
    <w:p w14:paraId="4C430185"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大的采样容量导致了非常高的时间分辨率</w:t>
      </w:r>
    </w:p>
    <w:p w14:paraId="419E1DE3"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应用领域</w:t>
      </w:r>
    </w:p>
    <w:p w14:paraId="69ED6DBF"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长期无人值守雨量监测</w:t>
      </w:r>
    </w:p>
    <w:p w14:paraId="549821E3"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雨滴分布测量</w:t>
      </w:r>
    </w:p>
    <w:p w14:paraId="6B58D1B6"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混合云层监测</w:t>
      </w:r>
    </w:p>
    <w:p w14:paraId="49722190"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气象雷达校准</w:t>
      </w:r>
    </w:p>
    <w:p w14:paraId="3A7E6143"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降水实时报告</w:t>
      </w:r>
    </w:p>
    <w:p w14:paraId="1D6619EA"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调查研究（水文学、降水、云物理）</w:t>
      </w:r>
    </w:p>
    <w:p w14:paraId="70FCDFED"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船上或海滨等开放场所的雨测量</w:t>
      </w:r>
    </w:p>
    <w:p w14:paraId="30277099" w14:textId="77777777" w:rsidR="00A16EAE" w:rsidRDefault="00B97B53">
      <w:pPr>
        <w:widowControl/>
        <w:shd w:val="clear" w:color="auto" w:fill="FFFFFF"/>
        <w:spacing w:line="360" w:lineRule="atLeast"/>
        <w:rPr>
          <w:rFonts w:ascii="微软雅黑" w:eastAsia="微软雅黑" w:hAnsi="微软雅黑" w:cs="微软雅黑"/>
          <w:color w:val="0070C0"/>
          <w:sz w:val="24"/>
          <w:szCs w:val="24"/>
        </w:rPr>
      </w:pPr>
      <w:proofErr w:type="gramStart"/>
      <w:r>
        <w:rPr>
          <w:rFonts w:ascii="微软雅黑" w:eastAsia="微软雅黑" w:hAnsi="微软雅黑" w:cs="微软雅黑" w:hint="eastAsia"/>
          <w:color w:val="0070C0"/>
          <w:sz w:val="24"/>
          <w:szCs w:val="24"/>
        </w:rPr>
        <w:t>降水融区监测</w:t>
      </w:r>
      <w:proofErr w:type="gramEnd"/>
    </w:p>
    <w:p w14:paraId="74176DD4"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多谱</w:t>
      </w:r>
      <w:proofErr w:type="gramStart"/>
      <w:r>
        <w:rPr>
          <w:rFonts w:ascii="微软雅黑" w:eastAsia="微软雅黑" w:hAnsi="微软雅黑" w:cs="微软雅黑" w:hint="eastAsia"/>
          <w:sz w:val="20"/>
          <w:szCs w:val="20"/>
        </w:rPr>
        <w:t>勒雨速图</w:t>
      </w:r>
      <w:proofErr w:type="gramEnd"/>
      <w:r>
        <w:rPr>
          <w:rFonts w:ascii="微软雅黑" w:eastAsia="微软雅黑" w:hAnsi="微软雅黑" w:cs="微软雅黑" w:hint="eastAsia"/>
          <w:sz w:val="20"/>
          <w:szCs w:val="20"/>
        </w:rPr>
        <w:t>显示，经过融区时雨滴下降速度加快，多谱</w:t>
      </w:r>
      <w:proofErr w:type="gramStart"/>
      <w:r>
        <w:rPr>
          <w:rFonts w:ascii="微软雅黑" w:eastAsia="微软雅黑" w:hAnsi="微软雅黑" w:cs="微软雅黑" w:hint="eastAsia"/>
          <w:sz w:val="20"/>
          <w:szCs w:val="20"/>
        </w:rPr>
        <w:t>勒速度</w:t>
      </w:r>
      <w:proofErr w:type="gramEnd"/>
      <w:r>
        <w:rPr>
          <w:rFonts w:ascii="微软雅黑" w:eastAsia="微软雅黑" w:hAnsi="微软雅黑" w:cs="微软雅黑" w:hint="eastAsia"/>
          <w:sz w:val="20"/>
          <w:szCs w:val="20"/>
        </w:rPr>
        <w:t>变化从</w:t>
      </w:r>
      <w:r>
        <w:rPr>
          <w:rFonts w:ascii="微软雅黑" w:eastAsia="微软雅黑" w:hAnsi="微软雅黑" w:cs="微软雅黑" w:hint="eastAsia"/>
          <w:sz w:val="20"/>
          <w:szCs w:val="20"/>
        </w:rPr>
        <w:t>2ms-1</w:t>
      </w:r>
      <w:r>
        <w:rPr>
          <w:rFonts w:ascii="微软雅黑" w:eastAsia="微软雅黑" w:hAnsi="微软雅黑" w:cs="微软雅黑" w:hint="eastAsia"/>
          <w:sz w:val="20"/>
          <w:szCs w:val="20"/>
        </w:rPr>
        <w:t>到</w:t>
      </w:r>
      <w:r>
        <w:rPr>
          <w:rFonts w:ascii="微软雅黑" w:eastAsia="微软雅黑" w:hAnsi="微软雅黑" w:cs="微软雅黑" w:hint="eastAsia"/>
          <w:sz w:val="20"/>
          <w:szCs w:val="20"/>
        </w:rPr>
        <w:t>6ms-1</w:t>
      </w:r>
      <w:r>
        <w:rPr>
          <w:rFonts w:ascii="微软雅黑" w:eastAsia="微软雅黑" w:hAnsi="微软雅黑" w:cs="微软雅黑" w:hint="eastAsia"/>
          <w:sz w:val="20"/>
          <w:szCs w:val="20"/>
        </w:rPr>
        <w:t>，</w:t>
      </w:r>
      <w:proofErr w:type="gramStart"/>
      <w:r>
        <w:rPr>
          <w:rFonts w:ascii="微软雅黑" w:eastAsia="微软雅黑" w:hAnsi="微软雅黑" w:cs="微软雅黑" w:hint="eastAsia"/>
          <w:sz w:val="20"/>
          <w:szCs w:val="20"/>
        </w:rPr>
        <w:t>融区高度</w:t>
      </w:r>
      <w:proofErr w:type="gramEnd"/>
      <w:r>
        <w:rPr>
          <w:rFonts w:ascii="微软雅黑" w:eastAsia="微软雅黑" w:hAnsi="微软雅黑" w:cs="微软雅黑" w:hint="eastAsia"/>
          <w:sz w:val="20"/>
          <w:szCs w:val="20"/>
        </w:rPr>
        <w:t>在</w:t>
      </w:r>
      <w:r>
        <w:rPr>
          <w:rFonts w:ascii="微软雅黑" w:eastAsia="微软雅黑" w:hAnsi="微软雅黑" w:cs="微软雅黑" w:hint="eastAsia"/>
          <w:sz w:val="20"/>
          <w:szCs w:val="20"/>
        </w:rPr>
        <w:t>700</w:t>
      </w:r>
      <w:r>
        <w:rPr>
          <w:rFonts w:ascii="微软雅黑" w:eastAsia="微软雅黑" w:hAnsi="微软雅黑" w:cs="微软雅黑" w:hint="eastAsia"/>
          <w:sz w:val="20"/>
          <w:szCs w:val="20"/>
        </w:rPr>
        <w:t>-800m</w:t>
      </w:r>
      <w:r>
        <w:rPr>
          <w:rFonts w:ascii="微软雅黑" w:eastAsia="微软雅黑" w:hAnsi="微软雅黑" w:cs="微软雅黑" w:hint="eastAsia"/>
          <w:sz w:val="20"/>
          <w:szCs w:val="20"/>
        </w:rPr>
        <w:t>区间。接着在</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分钟内下降到</w:t>
      </w:r>
      <w:r>
        <w:rPr>
          <w:rFonts w:ascii="微软雅黑" w:eastAsia="微软雅黑" w:hAnsi="微软雅黑" w:cs="微软雅黑" w:hint="eastAsia"/>
          <w:sz w:val="20"/>
          <w:szCs w:val="20"/>
        </w:rPr>
        <w:t>70m</w:t>
      </w:r>
      <w:r>
        <w:rPr>
          <w:rFonts w:ascii="微软雅黑" w:eastAsia="微软雅黑" w:hAnsi="微软雅黑" w:cs="微软雅黑" w:hint="eastAsia"/>
          <w:sz w:val="20"/>
          <w:szCs w:val="20"/>
        </w:rPr>
        <w:t>，表明有冷空气团到达。</w:t>
      </w:r>
    </w:p>
    <w:p w14:paraId="41DD4C76" w14:textId="77777777" w:rsidR="00A16EAE" w:rsidRDefault="00B97B53">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雷达反射图显示，经过融区时雨滴的雷达反射率加强，所以，</w:t>
      </w:r>
      <w:proofErr w:type="gramStart"/>
      <w:r>
        <w:rPr>
          <w:rFonts w:ascii="微软雅黑" w:eastAsia="微软雅黑" w:hAnsi="微软雅黑" w:cs="微软雅黑" w:hint="eastAsia"/>
          <w:sz w:val="20"/>
          <w:szCs w:val="20"/>
        </w:rPr>
        <w:t>融区又</w:t>
      </w:r>
      <w:proofErr w:type="gramEnd"/>
      <w:r>
        <w:rPr>
          <w:rFonts w:ascii="微软雅黑" w:eastAsia="微软雅黑" w:hAnsi="微软雅黑" w:cs="微软雅黑" w:hint="eastAsia"/>
          <w:sz w:val="20"/>
          <w:szCs w:val="20"/>
        </w:rPr>
        <w:t>被称作“亮区”</w:t>
      </w:r>
    </w:p>
    <w:p w14:paraId="61CB1AD0" w14:textId="3D7C6FE0" w:rsidR="00A16EAE" w:rsidRDefault="00B97B53">
      <w:pPr>
        <w:widowControl/>
        <w:spacing w:line="360" w:lineRule="exact"/>
        <w:jc w:val="left"/>
        <w:rPr>
          <w:rFonts w:ascii="微软雅黑" w:eastAsia="微软雅黑" w:hAnsi="微软雅黑" w:cs="微软雅黑"/>
          <w:sz w:val="20"/>
          <w:szCs w:val="20"/>
        </w:rPr>
      </w:pPr>
      <w:r>
        <w:rPr>
          <w:noProof/>
        </w:rPr>
        <w:drawing>
          <wp:anchor distT="0" distB="0" distL="114300" distR="114300" simplePos="0" relativeHeight="251659264" behindDoc="0" locked="0" layoutInCell="1" allowOverlap="1" wp14:anchorId="01CB5704" wp14:editId="70D5E707">
            <wp:simplePos x="0" y="0"/>
            <wp:positionH relativeFrom="column">
              <wp:posOffset>76200</wp:posOffset>
            </wp:positionH>
            <wp:positionV relativeFrom="paragraph">
              <wp:posOffset>49530</wp:posOffset>
            </wp:positionV>
            <wp:extent cx="5272405" cy="1900555"/>
            <wp:effectExtent l="0" t="0" r="10795" b="444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272405" cy="1900555"/>
                    </a:xfrm>
                    <a:prstGeom prst="rect">
                      <a:avLst/>
                    </a:prstGeom>
                    <a:noFill/>
                    <a:ln>
                      <a:noFill/>
                    </a:ln>
                  </pic:spPr>
                </pic:pic>
              </a:graphicData>
            </a:graphic>
          </wp:anchor>
        </w:drawing>
      </w:r>
      <w:r>
        <w:rPr>
          <w:rFonts w:ascii="微软雅黑" w:eastAsia="微软雅黑" w:hAnsi="微软雅黑" w:cs="微软雅黑" w:hint="eastAsia"/>
          <w:noProof/>
          <w:sz w:val="20"/>
          <w:szCs w:val="20"/>
        </w:rPr>
        <w:drawing>
          <wp:inline distT="0" distB="0" distL="114300" distR="114300" wp14:anchorId="590CE8B0" wp14:editId="5F477D21">
            <wp:extent cx="7620000" cy="42672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0"/>
                    <a:stretch>
                      <a:fillRect/>
                    </a:stretch>
                  </pic:blipFill>
                  <pic:spPr>
                    <a:xfrm>
                      <a:off x="0" y="0"/>
                      <a:ext cx="7620000" cy="4267200"/>
                    </a:xfrm>
                    <a:prstGeom prst="rect">
                      <a:avLst/>
                    </a:prstGeom>
                    <a:noFill/>
                    <a:ln w="9525">
                      <a:noFill/>
                    </a:ln>
                  </pic:spPr>
                </pic:pic>
              </a:graphicData>
            </a:graphic>
          </wp:inline>
        </w:drawing>
      </w:r>
      <w:r w:rsidR="009A28CF" w:rsidRPr="009A28CF">
        <w:t xml:space="preserve"> </w:t>
      </w:r>
      <w:r w:rsidR="009A28CF" w:rsidRPr="009A28CF">
        <w:rPr>
          <w:rFonts w:ascii="微软雅黑" w:eastAsia="微软雅黑" w:hAnsi="微软雅黑" w:cs="微软雅黑"/>
          <w:color w:val="0070C0"/>
          <w:sz w:val="20"/>
          <w:szCs w:val="20"/>
        </w:rPr>
        <w:t>MRR-2</w:t>
      </w:r>
      <w:r>
        <w:rPr>
          <w:rFonts w:ascii="微软雅黑" w:eastAsia="微软雅黑" w:hAnsi="微软雅黑" w:cs="微软雅黑" w:hint="eastAsia"/>
          <w:color w:val="0070C0"/>
          <w:sz w:val="20"/>
          <w:szCs w:val="20"/>
        </w:rPr>
        <w:t>技术性能参数</w:t>
      </w:r>
    </w:p>
    <w:p w14:paraId="47D0967F"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传输频率：</w:t>
      </w:r>
      <w:r>
        <w:rPr>
          <w:rFonts w:ascii="微软雅黑" w:eastAsia="微软雅黑" w:hAnsi="微软雅黑" w:cs="微软雅黑" w:hint="eastAsia"/>
          <w:sz w:val="20"/>
          <w:szCs w:val="20"/>
        </w:rPr>
        <w:t>24.23GHz</w:t>
      </w:r>
    </w:p>
    <w:p w14:paraId="282A666C"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传输功率：</w:t>
      </w:r>
      <w:r>
        <w:rPr>
          <w:rFonts w:ascii="微软雅黑" w:eastAsia="微软雅黑" w:hAnsi="微软雅黑" w:cs="微软雅黑" w:hint="eastAsia"/>
          <w:sz w:val="20"/>
          <w:szCs w:val="20"/>
        </w:rPr>
        <w:t>50mW</w:t>
      </w:r>
    </w:p>
    <w:p w14:paraId="7DA8005E"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发射</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接收天线：</w:t>
      </w:r>
      <w:r>
        <w:rPr>
          <w:rFonts w:ascii="微软雅黑" w:eastAsia="微软雅黑" w:hAnsi="微软雅黑" w:cs="微软雅黑" w:hint="eastAsia"/>
          <w:sz w:val="20"/>
          <w:szCs w:val="20"/>
        </w:rPr>
        <w:t>0.6m</w:t>
      </w:r>
      <w:r>
        <w:rPr>
          <w:rFonts w:ascii="微软雅黑" w:eastAsia="微软雅黑" w:hAnsi="微软雅黑" w:cs="微软雅黑" w:hint="eastAsia"/>
          <w:sz w:val="20"/>
          <w:szCs w:val="20"/>
        </w:rPr>
        <w:t>抛面天线</w:t>
      </w:r>
    </w:p>
    <w:p w14:paraId="31230CC3"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波宽：</w:t>
      </w:r>
      <w:r>
        <w:rPr>
          <w:rFonts w:ascii="微软雅黑" w:eastAsia="微软雅黑" w:hAnsi="微软雅黑" w:cs="微软雅黑" w:hint="eastAsia"/>
          <w:sz w:val="20"/>
          <w:szCs w:val="20"/>
        </w:rPr>
        <w:t> 1.5</w:t>
      </w:r>
    </w:p>
    <w:p w14:paraId="28AD5CFF"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高度分辨率：</w:t>
      </w:r>
      <w:r>
        <w:rPr>
          <w:rFonts w:ascii="微软雅黑" w:eastAsia="微软雅黑" w:hAnsi="微软雅黑" w:cs="微软雅黑" w:hint="eastAsia"/>
          <w:sz w:val="20"/>
          <w:szCs w:val="20"/>
        </w:rPr>
        <w:t>10-200m</w:t>
      </w:r>
    </w:p>
    <w:p w14:paraId="1DD57968"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平均间隔时间：</w:t>
      </w:r>
      <w:r>
        <w:rPr>
          <w:rFonts w:ascii="微软雅黑" w:eastAsia="微软雅黑" w:hAnsi="微软雅黑" w:cs="微软雅黑" w:hint="eastAsia"/>
          <w:sz w:val="20"/>
          <w:szCs w:val="20"/>
        </w:rPr>
        <w:t>10~3600s</w:t>
      </w:r>
      <w:r>
        <w:rPr>
          <w:rFonts w:ascii="微软雅黑" w:eastAsia="微软雅黑" w:hAnsi="微软雅黑" w:cs="微软雅黑" w:hint="eastAsia"/>
          <w:sz w:val="20"/>
          <w:szCs w:val="20"/>
        </w:rPr>
        <w:t>，可调</w:t>
      </w:r>
      <w:bookmarkStart w:id="0" w:name="_GoBack"/>
      <w:bookmarkEnd w:id="0"/>
    </w:p>
    <w:p w14:paraId="219F4B4C"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可选层数：最多可到</w:t>
      </w:r>
      <w:r>
        <w:rPr>
          <w:rFonts w:ascii="微软雅黑" w:eastAsia="微软雅黑" w:hAnsi="微软雅黑" w:cs="微软雅黑" w:hint="eastAsia"/>
          <w:sz w:val="20"/>
          <w:szCs w:val="20"/>
        </w:rPr>
        <w:t>30</w:t>
      </w:r>
    </w:p>
    <w:p w14:paraId="77186525"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天线加热：可选装，电源</w:t>
      </w:r>
      <w:r>
        <w:rPr>
          <w:rFonts w:ascii="微软雅黑" w:eastAsia="微软雅黑" w:hAnsi="微软雅黑" w:cs="微软雅黑" w:hint="eastAsia"/>
          <w:sz w:val="20"/>
          <w:szCs w:val="20"/>
        </w:rPr>
        <w:t>230VAC</w:t>
      </w:r>
    </w:p>
    <w:p w14:paraId="7DED21AB"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数据接口：</w:t>
      </w:r>
      <w:r>
        <w:rPr>
          <w:rFonts w:ascii="微软雅黑" w:eastAsia="微软雅黑" w:hAnsi="微软雅黑" w:cs="微软雅黑" w:hint="eastAsia"/>
          <w:sz w:val="20"/>
          <w:szCs w:val="20"/>
        </w:rPr>
        <w:t>RS-232/RS422 </w:t>
      </w:r>
      <w:r>
        <w:rPr>
          <w:rFonts w:ascii="微软雅黑" w:eastAsia="微软雅黑" w:hAnsi="微软雅黑" w:cs="微软雅黑" w:hint="eastAsia"/>
          <w:sz w:val="20"/>
          <w:szCs w:val="20"/>
        </w:rPr>
        <w:t>（可选</w:t>
      </w:r>
      <w:r>
        <w:rPr>
          <w:rFonts w:ascii="微软雅黑" w:eastAsia="微软雅黑" w:hAnsi="微软雅黑" w:cs="微软雅黑" w:hint="eastAsia"/>
          <w:sz w:val="20"/>
          <w:szCs w:val="20"/>
        </w:rPr>
        <w:t>LAN</w:t>
      </w:r>
      <w:r>
        <w:rPr>
          <w:rFonts w:ascii="微软雅黑" w:eastAsia="微软雅黑" w:hAnsi="微软雅黑" w:cs="微软雅黑" w:hint="eastAsia"/>
          <w:sz w:val="20"/>
          <w:szCs w:val="20"/>
        </w:rPr>
        <w:t>）</w:t>
      </w:r>
    </w:p>
    <w:p w14:paraId="0D318640"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电源：</w:t>
      </w:r>
      <w:r>
        <w:rPr>
          <w:rFonts w:ascii="微软雅黑" w:eastAsia="微软雅黑" w:hAnsi="微软雅黑" w:cs="微软雅黑" w:hint="eastAsia"/>
          <w:sz w:val="20"/>
          <w:szCs w:val="20"/>
        </w:rPr>
        <w:t>24 VDC</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25 W</w:t>
      </w:r>
    </w:p>
    <w:p w14:paraId="3FF7F2BB" w14:textId="77777777" w:rsidR="00A16EAE" w:rsidRDefault="00B97B53" w:rsidP="00B2015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重量：</w:t>
      </w:r>
      <w:r>
        <w:rPr>
          <w:rFonts w:ascii="微软雅黑" w:eastAsia="微软雅黑" w:hAnsi="微软雅黑" w:cs="微软雅黑" w:hint="eastAsia"/>
          <w:sz w:val="20"/>
          <w:szCs w:val="20"/>
        </w:rPr>
        <w:t>6kg </w:t>
      </w:r>
      <w:r>
        <w:rPr>
          <w:rFonts w:ascii="微软雅黑" w:eastAsia="微软雅黑" w:hAnsi="微软雅黑" w:cs="微软雅黑" w:hint="eastAsia"/>
          <w:sz w:val="20"/>
          <w:szCs w:val="20"/>
        </w:rPr>
        <w:t>（不包括电源的和电缆）</w:t>
      </w:r>
    </w:p>
    <w:sectPr w:rsidR="00A16EAE">
      <w:headerReference w:type="default" r:id="rId11"/>
      <w:footerReference w:type="default" r:id="rId12"/>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8219" w14:textId="77777777" w:rsidR="00B97B53" w:rsidRDefault="00B97B53">
      <w:r>
        <w:separator/>
      </w:r>
    </w:p>
  </w:endnote>
  <w:endnote w:type="continuationSeparator" w:id="0">
    <w:p w14:paraId="288CA71A" w14:textId="77777777" w:rsidR="00B97B53" w:rsidRDefault="00B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124A" w14:textId="77777777" w:rsidR="00A16EAE" w:rsidRDefault="00B97B53">
    <w:pPr>
      <w:pStyle w:val="a5"/>
    </w:pPr>
    <w:r>
      <w:rPr>
        <w:noProof/>
      </w:rPr>
      <w:drawing>
        <wp:anchor distT="0" distB="0" distL="114300" distR="114300" simplePos="0" relativeHeight="251661312" behindDoc="0" locked="0" layoutInCell="1" allowOverlap="1" wp14:anchorId="48989D61" wp14:editId="21DA6C3B">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E39C" w14:textId="77777777" w:rsidR="00B97B53" w:rsidRDefault="00B97B53">
      <w:r>
        <w:separator/>
      </w:r>
    </w:p>
  </w:footnote>
  <w:footnote w:type="continuationSeparator" w:id="0">
    <w:p w14:paraId="66850F31" w14:textId="77777777" w:rsidR="00B97B53" w:rsidRDefault="00B9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B2E" w14:textId="77777777" w:rsidR="00A16EAE" w:rsidRDefault="00B97B53">
    <w:r>
      <w:rPr>
        <w:noProof/>
      </w:rPr>
      <w:drawing>
        <wp:anchor distT="0" distB="0" distL="114300" distR="114300" simplePos="0" relativeHeight="251660288" behindDoc="0" locked="0" layoutInCell="1" allowOverlap="1" wp14:anchorId="4EA6ED06" wp14:editId="74DFCBC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11A44"/>
    <w:multiLevelType w:val="singleLevel"/>
    <w:tmpl w:val="57A11A44"/>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42643E"/>
    <w:rsid w:val="00531EC9"/>
    <w:rsid w:val="00730259"/>
    <w:rsid w:val="009A28CF"/>
    <w:rsid w:val="00A16EAE"/>
    <w:rsid w:val="00B20159"/>
    <w:rsid w:val="00B97B53"/>
    <w:rsid w:val="00C63114"/>
    <w:rsid w:val="00E8038B"/>
    <w:rsid w:val="00ED4CD6"/>
    <w:rsid w:val="0267757A"/>
    <w:rsid w:val="036830F1"/>
    <w:rsid w:val="04792D5D"/>
    <w:rsid w:val="05C46530"/>
    <w:rsid w:val="05C96CA8"/>
    <w:rsid w:val="091D3400"/>
    <w:rsid w:val="0AD51955"/>
    <w:rsid w:val="0BFD609C"/>
    <w:rsid w:val="0CF55FAE"/>
    <w:rsid w:val="0D277BCB"/>
    <w:rsid w:val="0D604EB6"/>
    <w:rsid w:val="0F606193"/>
    <w:rsid w:val="10232A98"/>
    <w:rsid w:val="187E3DCC"/>
    <w:rsid w:val="193F3555"/>
    <w:rsid w:val="1B4B150A"/>
    <w:rsid w:val="202D73B8"/>
    <w:rsid w:val="24C33941"/>
    <w:rsid w:val="26644040"/>
    <w:rsid w:val="2B770EFD"/>
    <w:rsid w:val="2B9410EF"/>
    <w:rsid w:val="2D136D2B"/>
    <w:rsid w:val="32841E88"/>
    <w:rsid w:val="392E2379"/>
    <w:rsid w:val="39D44469"/>
    <w:rsid w:val="3F0F7301"/>
    <w:rsid w:val="3F58383E"/>
    <w:rsid w:val="41CB1A69"/>
    <w:rsid w:val="45720C84"/>
    <w:rsid w:val="45781606"/>
    <w:rsid w:val="4A88782A"/>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97005D"/>
  <w15:docId w15:val="{1D3C68E1-67AF-4451-9D3A-EAA4BAA9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5</cp:revision>
  <cp:lastPrinted>2020-02-18T09:19:00Z</cp:lastPrinted>
  <dcterms:created xsi:type="dcterms:W3CDTF">2019-01-15T03:14:00Z</dcterms:created>
  <dcterms:modified xsi:type="dcterms:W3CDTF">2020-02-18T09:24:00Z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