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right="0"/>
        <w:jc w:val="left"/>
        <w:textAlignment w:val="auto"/>
        <w:rPr>
          <w:rFonts w:hint="eastAsia" w:ascii="微软雅黑" w:hAnsi="微软雅黑" w:eastAsia="微软雅黑" w:cs="微软雅黑"/>
          <w:b/>
          <w:bCs w:val="0"/>
          <w:i w:val="0"/>
          <w:caps w:val="0"/>
          <w:color w:val="0070C0"/>
          <w:spacing w:val="0"/>
          <w:sz w:val="28"/>
          <w:szCs w:val="28"/>
        </w:rPr>
      </w:pPr>
      <w:r>
        <w:rPr>
          <w:rFonts w:hint="eastAsia" w:ascii="微软雅黑" w:hAnsi="微软雅黑" w:eastAsia="微软雅黑" w:cs="微软雅黑"/>
          <w:b/>
          <w:bCs w:val="0"/>
          <w:i w:val="0"/>
          <w:caps w:val="0"/>
          <w:color w:val="0070C0"/>
          <w:spacing w:val="0"/>
          <w:kern w:val="0"/>
          <w:sz w:val="28"/>
          <w:szCs w:val="28"/>
          <w:shd w:val="clear" w:fill="FFFFFF"/>
          <w:lang w:val="en-US" w:eastAsia="zh-CN" w:bidi="ar"/>
        </w:rPr>
        <w:t>HR4000光谱仪</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F3F3F"/>
          <w:spacing w:val="0"/>
          <w:kern w:val="0"/>
          <w:sz w:val="20"/>
          <w:szCs w:val="20"/>
          <w:shd w:val="clear" w:fill="FFFFFF"/>
          <w:lang w:val="en-US" w:eastAsia="zh-CN" w:bidi="ar"/>
        </w:rPr>
        <w:t>HR4000是高分辨率光谱仪，全新的光学和电子学器件组合。适合应用于激光特征分析，气体吸光度测量和确定原子散射线等领域。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F3F3F"/>
          <w:spacing w:val="0"/>
          <w:kern w:val="0"/>
          <w:sz w:val="20"/>
          <w:szCs w:val="20"/>
          <w:shd w:val="clear" w:fill="FFFFFF"/>
          <w:lang w:val="en-US" w:eastAsia="zh-CN" w:bidi="ar"/>
        </w:rPr>
        <w:t>HR4000配有全新的Toshiba3648像素CCD阵列探测器，光学分辨率可达0.2nm(FWHM)</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right="0"/>
        <w:jc w:val="left"/>
        <w:textAlignment w:val="auto"/>
        <w:rPr>
          <w:rFonts w:hint="eastAsia" w:ascii="微软雅黑" w:hAnsi="微软雅黑" w:eastAsia="微软雅黑" w:cs="微软雅黑"/>
          <w:b w:val="0"/>
          <w:bCs/>
          <w:i w:val="0"/>
          <w:caps w:val="0"/>
          <w:color w:val="0070C0"/>
          <w:spacing w:val="0"/>
          <w:sz w:val="20"/>
          <w:szCs w:val="20"/>
        </w:rPr>
      </w:pPr>
      <w:r>
        <w:drawing>
          <wp:anchor distT="0" distB="0" distL="114300" distR="114300" simplePos="0" relativeHeight="252009472" behindDoc="0" locked="0" layoutInCell="1" allowOverlap="1">
            <wp:simplePos x="0" y="0"/>
            <wp:positionH relativeFrom="column">
              <wp:posOffset>3107055</wp:posOffset>
            </wp:positionH>
            <wp:positionV relativeFrom="paragraph">
              <wp:posOffset>54610</wp:posOffset>
            </wp:positionV>
            <wp:extent cx="2065655" cy="1540510"/>
            <wp:effectExtent l="0" t="0" r="10795" b="2540"/>
            <wp:wrapSquare wrapText="bothSides"/>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6"/>
                    <a:stretch>
                      <a:fillRect/>
                    </a:stretch>
                  </pic:blipFill>
                  <pic:spPr>
                    <a:xfrm>
                      <a:off x="0" y="0"/>
                      <a:ext cx="2065655" cy="1540510"/>
                    </a:xfrm>
                    <a:prstGeom prst="rect">
                      <a:avLst/>
                    </a:prstGeom>
                    <a:noFill/>
                    <a:ln>
                      <a:noFill/>
                    </a:ln>
                  </pic:spPr>
                </pic:pic>
              </a:graphicData>
            </a:graphic>
          </wp:anchor>
        </w:drawing>
      </w:r>
      <w:r>
        <w:rPr>
          <w:rFonts w:hint="eastAsia" w:ascii="微软雅黑" w:hAnsi="微软雅黑" w:eastAsia="微软雅黑" w:cs="微软雅黑"/>
          <w:b w:val="0"/>
          <w:bCs/>
          <w:i w:val="0"/>
          <w:caps w:val="0"/>
          <w:color w:val="0070C0"/>
          <w:spacing w:val="0"/>
          <w:kern w:val="0"/>
          <w:sz w:val="20"/>
          <w:szCs w:val="20"/>
          <w:shd w:val="clear" w:fill="FFFFFF"/>
          <w:lang w:val="en-US" w:eastAsia="zh-CN" w:bidi="ar"/>
        </w:rPr>
        <w:t>主要特点</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Autospacing="0" w:line="360" w:lineRule="exact"/>
        <w:ind w:left="420" w:leftChars="0" w:right="0" w:hanging="420" w:firstLineChars="0"/>
        <w:jc w:val="left"/>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F3F3F"/>
          <w:spacing w:val="0"/>
          <w:kern w:val="0"/>
          <w:sz w:val="20"/>
          <w:szCs w:val="20"/>
          <w:shd w:val="clear" w:fill="FFFFFF"/>
          <w:lang w:val="en-US" w:eastAsia="zh-CN" w:bidi="ar"/>
        </w:rPr>
        <w:t>光学分辨率（FWHM可达0.02nm</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Autospacing="0" w:line="360" w:lineRule="exact"/>
        <w:ind w:left="420" w:leftChars="0" w:right="0" w:hanging="420" w:firstLineChars="0"/>
        <w:jc w:val="left"/>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F3F3F"/>
          <w:spacing w:val="0"/>
          <w:kern w:val="0"/>
          <w:sz w:val="20"/>
          <w:szCs w:val="20"/>
          <w:shd w:val="clear" w:fill="FFFFFF"/>
          <w:lang w:val="en-US" w:eastAsia="zh-CN" w:bidi="ar"/>
        </w:rPr>
        <w:t>板载微控器</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Autospacing="0" w:line="360" w:lineRule="exact"/>
        <w:ind w:left="420" w:leftChars="0" w:right="0" w:hanging="420" w:firstLineChars="0"/>
        <w:jc w:val="left"/>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F3F3F"/>
          <w:spacing w:val="0"/>
          <w:kern w:val="0"/>
          <w:sz w:val="20"/>
          <w:szCs w:val="20"/>
          <w:shd w:val="clear" w:fill="FFFFFF"/>
          <w:lang w:val="en-US" w:eastAsia="zh-CN" w:bidi="ar"/>
        </w:rPr>
        <w:t>即插即用USB接口</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Autospacing="0" w:line="360" w:lineRule="exact"/>
        <w:ind w:left="420" w:leftChars="0" w:right="0" w:hanging="420" w:firstLineChars="0"/>
        <w:jc w:val="left"/>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F3F3F"/>
          <w:spacing w:val="0"/>
          <w:kern w:val="0"/>
          <w:sz w:val="20"/>
          <w:szCs w:val="20"/>
          <w:shd w:val="clear" w:fill="FFFFFF"/>
          <w:lang w:val="en-US" w:eastAsia="zh-CN" w:bidi="ar"/>
        </w:rPr>
        <w:t>光学平台</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Autospacing="0" w:line="360" w:lineRule="exact"/>
        <w:ind w:left="420" w:leftChars="0" w:right="0" w:hanging="420" w:firstLineChars="0"/>
        <w:jc w:val="left"/>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F3F3F"/>
          <w:spacing w:val="0"/>
          <w:kern w:val="0"/>
          <w:sz w:val="20"/>
          <w:szCs w:val="20"/>
          <w:shd w:val="clear" w:fill="FFFFFF"/>
          <w:lang w:val="en-US" w:eastAsia="zh-CN" w:bidi="ar"/>
        </w:rPr>
        <w:t>安装和使用手册</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Autospacing="0" w:line="360" w:lineRule="exact"/>
        <w:ind w:left="420" w:leftChars="0" w:right="0" w:hanging="420" w:firstLineChars="0"/>
        <w:jc w:val="left"/>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F3F3F"/>
          <w:spacing w:val="0"/>
          <w:kern w:val="0"/>
          <w:sz w:val="20"/>
          <w:szCs w:val="20"/>
          <w:shd w:val="clear" w:fill="FFFFFF"/>
          <w:lang w:val="en-US" w:eastAsia="zh-CN" w:bidi="ar"/>
        </w:rPr>
        <w:t>采样附件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right="0"/>
        <w:jc w:val="left"/>
        <w:textAlignment w:val="auto"/>
        <w:rPr>
          <w:rFonts w:hint="eastAsia" w:ascii="微软雅黑" w:hAnsi="微软雅黑" w:eastAsia="微软雅黑" w:cs="微软雅黑"/>
          <w:b w:val="0"/>
          <w:bCs/>
          <w:i w:val="0"/>
          <w:caps w:val="0"/>
          <w:color w:val="0070C0"/>
          <w:spacing w:val="0"/>
          <w:sz w:val="20"/>
          <w:szCs w:val="20"/>
        </w:rPr>
      </w:pPr>
      <w:r>
        <w:rPr>
          <w:rFonts w:hint="eastAsia" w:ascii="微软雅黑" w:hAnsi="微软雅黑" w:eastAsia="微软雅黑" w:cs="微软雅黑"/>
          <w:b w:val="0"/>
          <w:bCs/>
          <w:i w:val="0"/>
          <w:caps w:val="0"/>
          <w:color w:val="0070C0"/>
          <w:spacing w:val="0"/>
          <w:kern w:val="0"/>
          <w:sz w:val="20"/>
          <w:szCs w:val="20"/>
          <w:shd w:val="clear" w:fill="FFFFFF"/>
          <w:lang w:val="en-US" w:eastAsia="zh-CN" w:bidi="ar"/>
        </w:rPr>
        <w:t>技术参数</w:t>
      </w:r>
    </w:p>
    <w:tbl>
      <w:tblPr>
        <w:tblW w:w="834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713"/>
        <w:gridCol w:w="5587"/>
        <w:gridCol w:w="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wAfter w:w="0" w:type="auto"/>
        </w:trPr>
        <w:tc>
          <w:tcPr>
            <w:tcW w:w="8345" w:type="dxa"/>
            <w:gridSpan w:val="3"/>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b/>
                <w:caps w:val="0"/>
                <w:color w:val="3F3F3F"/>
                <w:spacing w:val="0"/>
                <w:kern w:val="0"/>
                <w:sz w:val="20"/>
                <w:szCs w:val="20"/>
                <w:lang w:val="en-US" w:eastAsia="zh-CN" w:bidi="ar"/>
              </w:rPr>
              <w:t>物理特性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尺寸:</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148.6 mm x 104.8 mm x 45.1 mm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重量:</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570 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8345" w:type="dxa"/>
            <w:gridSpan w:val="3"/>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b/>
                <w:caps w:val="0"/>
                <w:color w:val="3F3F3F"/>
                <w:spacing w:val="0"/>
                <w:kern w:val="0"/>
                <w:sz w:val="20"/>
                <w:szCs w:val="20"/>
                <w:lang w:val="en-US" w:eastAsia="zh-CN" w:bidi="ar"/>
              </w:rPr>
              <w:t>探测器特性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探测器:</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Toshiba TCD1304AP线阵CCD</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探测器范围:</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200-1100 nm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像素:</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3648像元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像素尺寸:</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8 μm x 200 μm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像素阱深:</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100,000 电子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灵敏度:</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130图片@400nm; 60图片@600 nm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8345" w:type="dxa"/>
            <w:gridSpan w:val="3"/>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b/>
                <w:caps w:val="0"/>
                <w:color w:val="3F3F3F"/>
                <w:spacing w:val="0"/>
                <w:kern w:val="0"/>
                <w:sz w:val="20"/>
                <w:szCs w:val="20"/>
                <w:lang w:val="en-US" w:eastAsia="zh-CN" w:bidi="ar"/>
              </w:rPr>
              <w:t>光学平台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设计:</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f/4, 对称交差Czerny-Turner光路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焦距:</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输入输出101.6 mm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入口:</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5, 10, 25, 50, 100 or 200μm宽狭缝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光栅选择:</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14种光栅，涵盖紫外到近红外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HC-1光栅选择:</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200-1100 nm光谱范围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探测器收集镜头选择:</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L4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OFLV过滤器选择:</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OFLV-H4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其它平台过滤器选择:</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长通OF-1滤光片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校准和聚焦镜:</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标准聚焦镜或SAG+UPG-HR</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UV放大窗:</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UV4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光纤连接:</w:t>
            </w:r>
          </w:p>
        </w:tc>
        <w:tc>
          <w:tcPr>
            <w:tcW w:w="5632"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SMA 905，0.22数值孔径单模光纤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45" w:type="dxa"/>
        </w:trPr>
        <w:tc>
          <w:tcPr>
            <w:tcW w:w="8300" w:type="dxa"/>
            <w:gridSpan w:val="2"/>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b/>
                <w:caps w:val="0"/>
                <w:color w:val="3F3F3F"/>
                <w:spacing w:val="0"/>
                <w:kern w:val="0"/>
                <w:sz w:val="20"/>
                <w:szCs w:val="20"/>
                <w:lang w:val="en-US" w:eastAsia="zh-CN" w:bidi="ar"/>
              </w:rPr>
              <w:t>光学特性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45" w:type="dxa"/>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波长范围:</w:t>
            </w:r>
          </w:p>
        </w:tc>
        <w:tc>
          <w:tcPr>
            <w:tcW w:w="5587" w:type="dxa"/>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依赖于光栅选择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45" w:type="dxa"/>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光学分辨率:</w:t>
            </w:r>
          </w:p>
        </w:tc>
        <w:tc>
          <w:tcPr>
            <w:tcW w:w="5587" w:type="dxa"/>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0.02-8.4 nm FWHM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45" w:type="dxa"/>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信噪比:</w:t>
            </w:r>
          </w:p>
        </w:tc>
        <w:tc>
          <w:tcPr>
            <w:tcW w:w="5587" w:type="dxa"/>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300:1 (全信号)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45" w:type="dxa"/>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A/D分辨率:</w:t>
            </w:r>
          </w:p>
        </w:tc>
        <w:tc>
          <w:tcPr>
            <w:tcW w:w="5587" w:type="dxa"/>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14 bit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45" w:type="dxa"/>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黑暗噪音:</w:t>
            </w:r>
          </w:p>
        </w:tc>
        <w:tc>
          <w:tcPr>
            <w:tcW w:w="5587" w:type="dxa"/>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12 RMS counts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45" w:type="dxa"/>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动力范围:</w:t>
            </w:r>
          </w:p>
        </w:tc>
        <w:tc>
          <w:tcPr>
            <w:tcW w:w="5587" w:type="dxa"/>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2 x 10^9;1300:1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45" w:type="dxa"/>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积分时间:</w:t>
            </w:r>
          </w:p>
        </w:tc>
        <w:tc>
          <w:tcPr>
            <w:tcW w:w="5587" w:type="dxa"/>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3.8 ms 至 65 seconds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45" w:type="dxa"/>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杂散光:</w:t>
            </w:r>
          </w:p>
        </w:tc>
        <w:tc>
          <w:tcPr>
            <w:tcW w:w="5587" w:type="dxa"/>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&lt;0.05%@600 nm; &lt;0.10%@435 nm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45" w:type="dxa"/>
        </w:trPr>
        <w:tc>
          <w:tcPr>
            <w:tcW w:w="271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校正后线性度:</w:t>
            </w:r>
          </w:p>
        </w:tc>
        <w:tc>
          <w:tcPr>
            <w:tcW w:w="5587" w:type="dxa"/>
            <w:tcBorders>
              <w:top w:val="single" w:color="auto" w:sz="8" w:space="0"/>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&gt;99.8%</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i w:val="0"/>
          <w:caps w:val="0"/>
          <w:color w:val="0070C0"/>
          <w:spacing w:val="0"/>
          <w:sz w:val="28"/>
          <w:szCs w:val="28"/>
        </w:rPr>
      </w:pPr>
      <w:r>
        <w:rPr>
          <w:rFonts w:hint="eastAsia" w:ascii="微软雅黑" w:hAnsi="微软雅黑" w:eastAsia="微软雅黑" w:cs="微软雅黑"/>
          <w:b/>
          <w:i w:val="0"/>
          <w:caps w:val="0"/>
          <w:color w:val="3F3F3F"/>
          <w:spacing w:val="0"/>
          <w:kern w:val="0"/>
          <w:sz w:val="20"/>
          <w:szCs w:val="20"/>
          <w:shd w:val="clear" w:fill="FFFFFF"/>
          <w:lang w:val="en-US" w:eastAsia="zh-CN" w:bidi="ar"/>
        </w:rPr>
        <w:br w:type="textWrapping"/>
      </w:r>
      <w:r>
        <w:rPr>
          <w:rFonts w:hint="eastAsia" w:ascii="微软雅黑" w:hAnsi="微软雅黑" w:eastAsia="微软雅黑" w:cs="微软雅黑"/>
          <w:b/>
          <w:i w:val="0"/>
          <w:caps w:val="0"/>
          <w:color w:val="0070C0"/>
          <w:spacing w:val="0"/>
          <w:kern w:val="0"/>
          <w:sz w:val="28"/>
          <w:szCs w:val="28"/>
          <w:shd w:val="clear" w:fill="FFFFFF"/>
          <w:lang w:val="en-US" w:eastAsia="zh-CN" w:bidi="ar"/>
        </w:rPr>
        <w:t>定制高分辨率光谱仪</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left="0" w:right="0" w:firstLine="420" w:firstLineChars="200"/>
        <w:jc w:val="left"/>
        <w:textAlignment w:val="auto"/>
        <w:rPr>
          <w:rFonts w:hint="eastAsia" w:ascii="微软雅黑" w:hAnsi="微软雅黑" w:eastAsia="微软雅黑" w:cs="微软雅黑"/>
          <w:i w:val="0"/>
          <w:caps w:val="0"/>
          <w:color w:val="333333"/>
          <w:spacing w:val="0"/>
          <w:sz w:val="20"/>
          <w:szCs w:val="20"/>
        </w:rPr>
      </w:pPr>
      <w:r>
        <w:drawing>
          <wp:anchor distT="0" distB="0" distL="114300" distR="114300" simplePos="0" relativeHeight="252358656" behindDoc="0" locked="0" layoutInCell="1" allowOverlap="1">
            <wp:simplePos x="0" y="0"/>
            <wp:positionH relativeFrom="column">
              <wp:posOffset>3515995</wp:posOffset>
            </wp:positionH>
            <wp:positionV relativeFrom="paragraph">
              <wp:posOffset>28575</wp:posOffset>
            </wp:positionV>
            <wp:extent cx="1447800" cy="1447800"/>
            <wp:effectExtent l="0" t="0" r="0" b="0"/>
            <wp:wrapSquare wrapText="bothSides"/>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7"/>
                    <a:stretch>
                      <a:fillRect/>
                    </a:stretch>
                  </pic:blipFill>
                  <pic:spPr>
                    <a:xfrm>
                      <a:off x="0" y="0"/>
                      <a:ext cx="1447800" cy="1447800"/>
                    </a:xfrm>
                    <a:prstGeom prst="rect">
                      <a:avLst/>
                    </a:prstGeom>
                    <a:noFill/>
                    <a:ln>
                      <a:noFill/>
                    </a:ln>
                  </pic:spPr>
                </pic:pic>
              </a:graphicData>
            </a:graphic>
          </wp:anchor>
        </w:drawing>
      </w:r>
      <w:r>
        <w:rPr>
          <w:rFonts w:hint="eastAsia" w:ascii="微软雅黑" w:hAnsi="微软雅黑" w:eastAsia="微软雅黑" w:cs="微软雅黑"/>
          <w:b/>
          <w:i w:val="0"/>
          <w:caps w:val="0"/>
          <w:color w:val="3F3F3F"/>
          <w:spacing w:val="0"/>
          <w:kern w:val="0"/>
          <w:sz w:val="20"/>
          <w:szCs w:val="20"/>
          <w:bdr w:val="none" w:color="auto" w:sz="0" w:space="0"/>
          <w:shd w:val="clear" w:fill="FFFFFF"/>
          <w:lang w:val="en-US" w:eastAsia="zh-CN" w:bidi="ar"/>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i w:val="0"/>
          <w:caps w:val="0"/>
          <w:color w:val="3F3F3F"/>
          <w:spacing w:val="0"/>
          <w:kern w:val="0"/>
          <w:sz w:val="20"/>
          <w:szCs w:val="20"/>
          <w:shd w:val="clear" w:fill="FFFFFF"/>
          <w:lang w:val="en-US" w:eastAsia="zh-CN" w:bidi="ar"/>
        </w:rPr>
      </w:pPr>
      <w:r>
        <w:rPr>
          <w:rFonts w:hint="eastAsia" w:ascii="微软雅黑" w:hAnsi="微软雅黑" w:eastAsia="微软雅黑" w:cs="微软雅黑"/>
          <w:i w:val="0"/>
          <w:caps w:val="0"/>
          <w:color w:val="3F3F3F"/>
          <w:spacing w:val="0"/>
          <w:kern w:val="0"/>
          <w:sz w:val="20"/>
          <w:szCs w:val="20"/>
          <w:shd w:val="clear" w:fill="FFFFFF"/>
          <w:lang w:val="en-US" w:eastAsia="zh-CN" w:bidi="ar"/>
        </w:rPr>
        <w:t>HR2000+定制光谱仪是一种小体积的高分辨率光谱仪，非常适合诸如以下的应用激光和LED的波长表征，气体和单色光源监测，以及基本原子透射谱线的测量。 根据光谱仪的配置，光学分辨率可准确到约0.035纳米（半峰宽）。 此外，用户还可添加海洋光学配件，如 光源，探头和 光纤，以配置各种应用特定的系统。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i w:val="0"/>
          <w:caps w:val="0"/>
          <w:color w:val="3F3F3F"/>
          <w:spacing w:val="0"/>
          <w:kern w:val="0"/>
          <w:sz w:val="20"/>
          <w:szCs w:val="20"/>
          <w:shd w:val="clear" w:fill="FFFFFF"/>
          <w:lang w:val="en-US" w:eastAsia="zh-CN" w:bidi="ar"/>
        </w:rPr>
      </w:pPr>
    </w:p>
    <w:tbl>
      <w:tblPr>
        <w:tblW w:w="837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702"/>
        <w:gridCol w:w="5639"/>
        <w:gridCol w:w="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wAfter w:w="0" w:type="auto"/>
        </w:trPr>
        <w:tc>
          <w:tcPr>
            <w:tcW w:w="270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b/>
                <w:caps w:val="0"/>
                <w:color w:val="3F3F3F"/>
                <w:spacing w:val="0"/>
                <w:kern w:val="0"/>
                <w:sz w:val="20"/>
                <w:szCs w:val="20"/>
                <w:lang w:val="en-US" w:eastAsia="zh-CN" w:bidi="ar"/>
              </w:rPr>
              <w:t>工程规格</w:t>
            </w:r>
          </w:p>
        </w:tc>
        <w:tc>
          <w:tcPr>
            <w:tcW w:w="5676" w:type="dxa"/>
            <w:gridSpan w:val="2"/>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b/>
                <w:caps w:val="0"/>
                <w:color w:val="3F3F3F"/>
                <w:spacing w:val="0"/>
                <w:kern w:val="0"/>
                <w:sz w:val="20"/>
                <w:szCs w:val="20"/>
                <w:lang w:val="en-US" w:eastAsia="zh-CN" w:bidi="ar"/>
              </w:rPr>
              <w:t>HR2000+定制（用户配置）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02"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caps w:val="0"/>
                <w:color w:val="3F3F3F"/>
                <w:spacing w:val="0"/>
                <w:kern w:val="0"/>
                <w:sz w:val="20"/>
                <w:szCs w:val="20"/>
                <w:lang w:val="en-US" w:eastAsia="zh-CN" w:bidi="ar"/>
              </w:rPr>
            </w:pPr>
            <w:r>
              <w:rPr>
                <w:rFonts w:hint="eastAsia" w:ascii="微软雅黑" w:hAnsi="微软雅黑" w:eastAsia="微软雅黑" w:cs="微软雅黑"/>
                <w:caps w:val="0"/>
                <w:color w:val="3F3F3F"/>
                <w:spacing w:val="0"/>
                <w:kern w:val="0"/>
                <w:sz w:val="20"/>
                <w:szCs w:val="20"/>
                <w:lang w:val="en-US" w:eastAsia="zh-CN" w:bidi="ar"/>
              </w:rPr>
              <w:t>尺寸（长 x 宽 x 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毫米和英寸</w:t>
            </w:r>
          </w:p>
        </w:tc>
        <w:tc>
          <w:tcPr>
            <w:tcW w:w="5676" w:type="dxa"/>
            <w:gridSpan w:val="2"/>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148.6 x 104.8  x 45.1毫米（5.9 x 4.1 x 1.8英寸）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02"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重量千克和磅</w:t>
            </w:r>
          </w:p>
        </w:tc>
        <w:tc>
          <w:tcPr>
            <w:tcW w:w="5676" w:type="dxa"/>
            <w:gridSpan w:val="2"/>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0.57千克（1.26磅）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02"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检测器</w:t>
            </w:r>
          </w:p>
        </w:tc>
        <w:tc>
          <w:tcPr>
            <w:tcW w:w="5676" w:type="dxa"/>
            <w:gridSpan w:val="2"/>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Sony ILX511B</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02"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波长范围</w:t>
            </w:r>
          </w:p>
        </w:tc>
        <w:tc>
          <w:tcPr>
            <w:tcW w:w="5676" w:type="dxa"/>
            <w:gridSpan w:val="2"/>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190至1100纳米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02"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积分时间</w:t>
            </w:r>
          </w:p>
        </w:tc>
        <w:tc>
          <w:tcPr>
            <w:tcW w:w="5676" w:type="dxa"/>
            <w:gridSpan w:val="2"/>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1毫秒 - 65秒（通常为20秒）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02"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动态范围</w:t>
            </w:r>
          </w:p>
        </w:tc>
        <w:tc>
          <w:tcPr>
            <w:tcW w:w="5676" w:type="dxa"/>
            <w:gridSpan w:val="2"/>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2 x 108（系统）；单次采集1300:1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02"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信噪比             </w:t>
            </w:r>
          </w:p>
        </w:tc>
        <w:tc>
          <w:tcPr>
            <w:tcW w:w="5676" w:type="dxa"/>
            <w:gridSpan w:val="2"/>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250:1（全信号）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02"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光栅</w:t>
            </w:r>
          </w:p>
        </w:tc>
        <w:tc>
          <w:tcPr>
            <w:tcW w:w="5676" w:type="dxa"/>
            <w:gridSpan w:val="2"/>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H1 – H14; HC-1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02"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狭缝</w:t>
            </w:r>
          </w:p>
        </w:tc>
        <w:tc>
          <w:tcPr>
            <w:tcW w:w="5676" w:type="dxa"/>
            <w:gridSpan w:val="2"/>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5，10，25，50，100、200微米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02"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光学分辨率</w:t>
            </w:r>
          </w:p>
        </w:tc>
        <w:tc>
          <w:tcPr>
            <w:tcW w:w="5676" w:type="dxa"/>
            <w:gridSpan w:val="2"/>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约0.035 至 6.8纳米（半峰宽）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02"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杂散光</w:t>
            </w:r>
          </w:p>
        </w:tc>
        <w:tc>
          <w:tcPr>
            <w:tcW w:w="5676" w:type="dxa"/>
            <w:gridSpan w:val="2"/>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600纳米时小于0.05%；435纳米时小于0.10%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02"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缓冲</w:t>
            </w:r>
          </w:p>
        </w:tc>
        <w:tc>
          <w:tcPr>
            <w:tcW w:w="5676" w:type="dxa"/>
            <w:gridSpan w:val="2"/>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02"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光纤连接器</w:t>
            </w:r>
          </w:p>
        </w:tc>
        <w:tc>
          <w:tcPr>
            <w:tcW w:w="5676" w:type="dxa"/>
            <w:gridSpan w:val="2"/>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default" w:ascii="微软雅黑" w:hAnsi="微软雅黑" w:eastAsia="微软雅黑" w:cs="微软雅黑"/>
                <w:sz w:val="20"/>
                <w:szCs w:val="20"/>
                <w:lang w:val="en-US"/>
              </w:rPr>
            </w:pPr>
            <w:r>
              <w:rPr>
                <w:rFonts w:hint="eastAsia" w:ascii="微软雅黑" w:hAnsi="微软雅黑" w:eastAsia="微软雅黑" w:cs="微软雅黑"/>
                <w:caps w:val="0"/>
                <w:color w:val="3F3F3F"/>
                <w:spacing w:val="0"/>
                <w:kern w:val="0"/>
                <w:sz w:val="20"/>
                <w:szCs w:val="20"/>
                <w:lang w:val="en-US" w:eastAsia="zh-CN" w:bidi="ar"/>
              </w:rPr>
              <w:t xml:space="preserve">SMA 905至单根光纤（0.22 NA）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trPr>
        <w:tc>
          <w:tcPr>
            <w:tcW w:w="2702"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耗电量                  </w:t>
            </w:r>
          </w:p>
        </w:tc>
        <w:tc>
          <w:tcPr>
            <w:tcW w:w="5676" w:type="dxa"/>
            <w:gridSpan w:val="2"/>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220毫安，+5伏直流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37" w:type="dxa"/>
        </w:trPr>
        <w:tc>
          <w:tcPr>
            <w:tcW w:w="2702"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频闪功能</w:t>
            </w:r>
          </w:p>
        </w:tc>
        <w:tc>
          <w:tcPr>
            <w:tcW w:w="56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2个可编程的选通信号（单个/连续）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37" w:type="dxa"/>
        </w:trPr>
        <w:tc>
          <w:tcPr>
            <w:tcW w:w="2702"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接口</w:t>
            </w:r>
          </w:p>
        </w:tc>
        <w:tc>
          <w:tcPr>
            <w:tcW w:w="56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USB 2.0，480Mbps；双线RS-232；I2C双线串行总线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37" w:type="dxa"/>
        </w:trPr>
        <w:tc>
          <w:tcPr>
            <w:tcW w:w="2702"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温度</w:t>
            </w:r>
          </w:p>
        </w:tc>
        <w:tc>
          <w:tcPr>
            <w:tcW w:w="56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储存温度-30°C至+70°C，运行温度-10°C至50°C</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37" w:type="dxa"/>
        </w:trPr>
        <w:tc>
          <w:tcPr>
            <w:tcW w:w="2702"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湿度</w:t>
            </w:r>
          </w:p>
        </w:tc>
        <w:tc>
          <w:tcPr>
            <w:tcW w:w="56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0%-90%（无冷凝）</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F3F3F"/>
          <w:spacing w:val="0"/>
          <w:kern w:val="0"/>
          <w:sz w:val="20"/>
          <w:szCs w:val="20"/>
          <w:shd w:val="clear" w:fill="FFFFFF"/>
          <w:lang w:val="en-US" w:eastAsia="zh-CN" w:bidi="ar"/>
        </w:rPr>
        <w:br w:type="textWrapping"/>
      </w:r>
      <w:r>
        <w:rPr>
          <w:rFonts w:hint="eastAsia" w:ascii="微软雅黑" w:hAnsi="微软雅黑" w:eastAsia="微软雅黑" w:cs="微软雅黑"/>
          <w:b/>
          <w:i w:val="0"/>
          <w:caps w:val="0"/>
          <w:color w:val="0070C0"/>
          <w:spacing w:val="0"/>
          <w:kern w:val="0"/>
          <w:sz w:val="28"/>
          <w:szCs w:val="28"/>
          <w:shd w:val="clear" w:fill="FFFFFF"/>
          <w:lang w:val="en-US" w:eastAsia="zh-CN" w:bidi="ar"/>
        </w:rPr>
        <w:t>QE Pro 高性能光谱仪</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right="0"/>
        <w:jc w:val="both"/>
        <w:textAlignment w:val="auto"/>
        <w:rPr>
          <w:rFonts w:hint="eastAsia" w:ascii="微软雅黑" w:hAnsi="微软雅黑" w:eastAsia="微软雅黑" w:cs="微软雅黑"/>
          <w:i w:val="0"/>
          <w:caps w:val="0"/>
          <w:color w:val="0070C0"/>
          <w:spacing w:val="0"/>
          <w:kern w:val="0"/>
          <w:sz w:val="20"/>
          <w:szCs w:val="20"/>
          <w:shd w:val="clear" w:fill="FFFFFF"/>
          <w:lang w:val="en-US" w:eastAsia="zh-CN" w:bidi="ar"/>
        </w:rPr>
      </w:pPr>
      <w:r>
        <w:rPr>
          <w:rFonts w:hint="eastAsia" w:ascii="微软雅黑" w:hAnsi="微软雅黑" w:eastAsia="微软雅黑" w:cs="微软雅黑"/>
          <w:i w:val="0"/>
          <w:caps w:val="0"/>
          <w:color w:val="0070C0"/>
          <w:spacing w:val="0"/>
          <w:kern w:val="0"/>
          <w:sz w:val="20"/>
          <w:szCs w:val="20"/>
          <w:shd w:val="clear" w:fill="FFFFFF"/>
          <w:lang w:val="en-US" w:eastAsia="zh-CN" w:bidi="ar"/>
        </w:rPr>
        <w:t>QE Pro的高灵敏度使其成为芳香烃类样品如甲苯等的拉曼检测的更好选择</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left="0" w:right="0" w:firstLine="420" w:firstLineChars="200"/>
        <w:jc w:val="left"/>
        <w:textAlignment w:val="auto"/>
        <w:rPr>
          <w:rFonts w:hint="eastAsia" w:ascii="微软雅黑" w:hAnsi="微软雅黑" w:eastAsia="微软雅黑" w:cs="微软雅黑"/>
          <w:i w:val="0"/>
          <w:caps w:val="0"/>
          <w:color w:val="333333"/>
          <w:spacing w:val="0"/>
          <w:sz w:val="20"/>
          <w:szCs w:val="20"/>
        </w:rPr>
      </w:pPr>
      <w:r>
        <w:drawing>
          <wp:anchor distT="0" distB="0" distL="114300" distR="114300" simplePos="0" relativeHeight="254112768" behindDoc="0" locked="0" layoutInCell="1" allowOverlap="1">
            <wp:simplePos x="0" y="0"/>
            <wp:positionH relativeFrom="column">
              <wp:posOffset>3201670</wp:posOffset>
            </wp:positionH>
            <wp:positionV relativeFrom="paragraph">
              <wp:posOffset>116205</wp:posOffset>
            </wp:positionV>
            <wp:extent cx="1641475" cy="1438910"/>
            <wp:effectExtent l="0" t="0" r="15875" b="8890"/>
            <wp:wrapTopAndBottom/>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9"/>
                    <a:stretch>
                      <a:fillRect/>
                    </a:stretch>
                  </pic:blipFill>
                  <pic:spPr>
                    <a:xfrm>
                      <a:off x="0" y="0"/>
                      <a:ext cx="1641475" cy="1438910"/>
                    </a:xfrm>
                    <a:prstGeom prst="rect">
                      <a:avLst/>
                    </a:prstGeom>
                    <a:noFill/>
                    <a:ln>
                      <a:noFill/>
                    </a:ln>
                  </pic:spPr>
                </pic:pic>
              </a:graphicData>
            </a:graphic>
          </wp:anchor>
        </w:drawing>
      </w:r>
      <w:r>
        <w:drawing>
          <wp:anchor distT="0" distB="0" distL="114300" distR="114300" simplePos="0" relativeHeight="252709888" behindDoc="0" locked="0" layoutInCell="1" allowOverlap="1">
            <wp:simplePos x="0" y="0"/>
            <wp:positionH relativeFrom="column">
              <wp:posOffset>-7620</wp:posOffset>
            </wp:positionH>
            <wp:positionV relativeFrom="paragraph">
              <wp:posOffset>125095</wp:posOffset>
            </wp:positionV>
            <wp:extent cx="2933700" cy="1657985"/>
            <wp:effectExtent l="0" t="0" r="0" b="18415"/>
            <wp:wrapTopAndBottom/>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0"/>
                    <a:stretch>
                      <a:fillRect/>
                    </a:stretch>
                  </pic:blipFill>
                  <pic:spPr>
                    <a:xfrm>
                      <a:off x="0" y="0"/>
                      <a:ext cx="2933700" cy="1657985"/>
                    </a:xfrm>
                    <a:prstGeom prst="rect">
                      <a:avLst/>
                    </a:prstGeom>
                    <a:noFill/>
                    <a:ln>
                      <a:noFill/>
                    </a:ln>
                  </pic:spPr>
                </pic:pic>
              </a:graphicData>
            </a:graphic>
          </wp:anchor>
        </w:drawing>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F3F3F"/>
          <w:spacing w:val="0"/>
          <w:kern w:val="0"/>
          <w:sz w:val="20"/>
          <w:szCs w:val="20"/>
          <w:shd w:val="clear" w:fill="FFFFFF"/>
          <w:lang w:val="en-US" w:eastAsia="zh-CN" w:bidi="ar"/>
        </w:rPr>
        <w:t>QE Pro具有的高灵敏度与宽动态范围的特性使其成为了同等级中性能*高的微型光谱仪。其超高的性能可以大大提高吸光度、反射率、荧光与拉曼检测的精 确度。而对于一些更高要求的测试，其可容纳15，000张光谱的缓冲区可以在高速采集中保证数据的完整性，同时其先进的光学设计与热电致冷器件可以大大提高长时间检测的热稳定性。因此无论是高速测量或宽浓度范围的检测，QE Pro都能为您的实验室或在线应用提供无与伦比的性能表现。</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F3F3F"/>
          <w:spacing w:val="0"/>
          <w:kern w:val="0"/>
          <w:sz w:val="20"/>
          <w:szCs w:val="20"/>
          <w:shd w:val="clear" w:fill="FFFFFF"/>
          <w:lang w:val="en-US" w:eastAsia="zh-CN" w:bidi="ar"/>
        </w:rPr>
        <w:t>宽动态范围</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400" w:firstLineChars="200"/>
        <w:jc w:val="left"/>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F3F3F"/>
          <w:spacing w:val="0"/>
          <w:kern w:val="0"/>
          <w:sz w:val="20"/>
          <w:szCs w:val="20"/>
          <w:shd w:val="clear" w:fill="FFFFFF"/>
          <w:lang w:val="en-US" w:eastAsia="zh-CN" w:bidi="ar"/>
        </w:rPr>
        <w:t>由于采用了低噪音的电子部分与18位A/D转换器，QE Pro的动态范围是常见的背照薄型CCD阵列微型光谱仪的2倍，同时其灵敏度也提高了2倍。这些改进可以为实际应用带了很多好处，如可以使得吸光度或荧光检测的检出限更低，并可以在更宽的浓度范围内进行检测。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right="0"/>
        <w:jc w:val="both"/>
        <w:textAlignment w:val="auto"/>
        <w:rPr>
          <w:rFonts w:hint="eastAsia" w:ascii="微软雅黑" w:hAnsi="微软雅黑" w:eastAsia="微软雅黑" w:cs="微软雅黑"/>
          <w:i w:val="0"/>
          <w:caps w:val="0"/>
          <w:color w:val="0070C0"/>
          <w:spacing w:val="0"/>
          <w:kern w:val="0"/>
          <w:sz w:val="20"/>
          <w:szCs w:val="20"/>
          <w:shd w:val="clear" w:fill="FFFFFF"/>
          <w:lang w:val="en-US" w:eastAsia="zh-CN" w:bidi="ar"/>
        </w:rPr>
      </w:pPr>
    </w:p>
    <w:tbl>
      <w:tblPr>
        <w:tblW w:w="851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026"/>
        <w:gridCol w:w="64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2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波长范围</w:t>
            </w:r>
          </w:p>
        </w:tc>
        <w:tc>
          <w:tcPr>
            <w:tcW w:w="6490"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可在185-1100nm范围内配置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516" w:type="dxa"/>
            <w:gridSpan w:val="2"/>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可更换狭缝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026"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光学分辨率</w:t>
            </w:r>
          </w:p>
        </w:tc>
        <w:tc>
          <w:tcPr>
            <w:tcW w:w="6490"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0.14-7.7nm(FWHM)，取决于具体配置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026"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系统信噪比</w:t>
            </w:r>
          </w:p>
        </w:tc>
        <w:tc>
          <w:tcPr>
            <w:tcW w:w="6490"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10001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026"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A/D分辨率</w:t>
            </w:r>
          </w:p>
        </w:tc>
        <w:tc>
          <w:tcPr>
            <w:tcW w:w="6490"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18bit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026"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动态范围</w:t>
            </w:r>
          </w:p>
        </w:tc>
        <w:tc>
          <w:tcPr>
            <w:tcW w:w="6490"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85，000（典型）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026"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杂散光</w:t>
            </w:r>
          </w:p>
        </w:tc>
        <w:tc>
          <w:tcPr>
            <w:tcW w:w="6490"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&lt;0.08% at 600 nm;0.4% at 435 nm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026"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缓冲区</w:t>
            </w:r>
          </w:p>
        </w:tc>
        <w:tc>
          <w:tcPr>
            <w:tcW w:w="6490"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可容纳15，000张谱图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026"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TE制冷</w:t>
            </w:r>
          </w:p>
        </w:tc>
        <w:tc>
          <w:tcPr>
            <w:tcW w:w="6490"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最低可致冷至比室温低40摄氏度。使用温度范围-40度至50度。  </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F3F3F"/>
          <w:spacing w:val="0"/>
          <w:kern w:val="0"/>
          <w:sz w:val="20"/>
          <w:szCs w:val="20"/>
          <w:shd w:val="clear" w:fill="FFFFFF"/>
          <w:lang w:val="en-US" w:eastAsia="zh-CN" w:bidi="ar"/>
        </w:rPr>
        <w:br w:type="textWrapping"/>
      </w:r>
      <w:r>
        <w:rPr>
          <w:rFonts w:hint="eastAsia" w:ascii="微软雅黑" w:hAnsi="微软雅黑" w:eastAsia="微软雅黑" w:cs="微软雅黑"/>
          <w:b/>
          <w:i w:val="0"/>
          <w:caps w:val="0"/>
          <w:color w:val="0070C0"/>
          <w:spacing w:val="0"/>
          <w:kern w:val="0"/>
          <w:sz w:val="28"/>
          <w:szCs w:val="28"/>
          <w:shd w:val="clear" w:fill="FFFFFF"/>
          <w:lang w:val="en-US" w:eastAsia="zh-CN" w:bidi="ar"/>
        </w:rPr>
        <w:t>高灵敏度紫外光/可见光光谱仪</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left="0" w:right="0" w:firstLine="420" w:firstLineChars="200"/>
        <w:jc w:val="left"/>
        <w:textAlignment w:val="auto"/>
        <w:rPr>
          <w:rFonts w:hint="eastAsia" w:ascii="微软雅黑" w:hAnsi="微软雅黑" w:eastAsia="微软雅黑" w:cs="微软雅黑"/>
          <w:i w:val="0"/>
          <w:caps w:val="0"/>
          <w:color w:val="333333"/>
          <w:spacing w:val="0"/>
          <w:sz w:val="20"/>
          <w:szCs w:val="20"/>
        </w:rPr>
      </w:pPr>
      <w:r>
        <w:drawing>
          <wp:anchor distT="0" distB="0" distL="114300" distR="114300" simplePos="0" relativeHeight="254466048" behindDoc="0" locked="0" layoutInCell="1" allowOverlap="1">
            <wp:simplePos x="0" y="0"/>
            <wp:positionH relativeFrom="column">
              <wp:posOffset>3486150</wp:posOffset>
            </wp:positionH>
            <wp:positionV relativeFrom="paragraph">
              <wp:posOffset>100965</wp:posOffset>
            </wp:positionV>
            <wp:extent cx="1671320" cy="1671320"/>
            <wp:effectExtent l="0" t="0" r="5080" b="5080"/>
            <wp:wrapSquare wrapText="bothSides"/>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1"/>
                    <a:stretch>
                      <a:fillRect/>
                    </a:stretch>
                  </pic:blipFill>
                  <pic:spPr>
                    <a:xfrm>
                      <a:off x="0" y="0"/>
                      <a:ext cx="1671320" cy="1671320"/>
                    </a:xfrm>
                    <a:prstGeom prst="rect">
                      <a:avLst/>
                    </a:prstGeom>
                    <a:noFill/>
                    <a:ln>
                      <a:noFill/>
                    </a:ln>
                  </pic:spPr>
                </pic:pic>
              </a:graphicData>
            </a:graphic>
          </wp:anchor>
        </w:drawing>
      </w:r>
      <w:r>
        <w:rPr>
          <w:rFonts w:hint="eastAsia" w:ascii="微软雅黑" w:hAnsi="微软雅黑" w:eastAsia="微软雅黑" w:cs="微软雅黑"/>
          <w:b/>
          <w:i w:val="0"/>
          <w:caps w:val="0"/>
          <w:color w:val="3F3F3F"/>
          <w:spacing w:val="0"/>
          <w:kern w:val="0"/>
          <w:sz w:val="20"/>
          <w:szCs w:val="20"/>
          <w:bdr w:val="none" w:color="auto" w:sz="0" w:space="0"/>
          <w:shd w:val="clear" w:fill="FFFFFF"/>
          <w:lang w:val="en-US" w:eastAsia="zh-CN" w:bidi="ar"/>
        </w:rPr>
        <w:drawing>
          <wp:inline distT="0" distB="0" distL="114300" distR="114300">
            <wp:extent cx="304800" cy="3048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F3F3F"/>
          <w:spacing w:val="0"/>
          <w:kern w:val="0"/>
          <w:sz w:val="20"/>
          <w:szCs w:val="20"/>
          <w:shd w:val="clear" w:fill="FFFFFF"/>
          <w:lang w:val="en-US" w:eastAsia="zh-CN" w:bidi="ar"/>
        </w:rPr>
        <w:t>USB2000+UV-VIS-ES是一款针对一般紫外光和可见光测量应用的预配置型微型光谱仪。此款高性能光谱仪覆盖了200 - 850nm的波长范围，其尺寸只有手掌大小。将这款预置的光谱仪同海洋光学的光源产品及采样附件相结合，可以充分发挥出我们的模块化设计的优势。常见应用包括表面吸光度和反射率测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F3F3F"/>
          <w:spacing w:val="0"/>
          <w:kern w:val="0"/>
          <w:sz w:val="20"/>
          <w:szCs w:val="20"/>
          <w:shd w:val="clear" w:fill="FFFFFF"/>
          <w:lang w:val="en-US" w:eastAsia="zh-CN" w:bidi="ar"/>
        </w:rPr>
        <w:t>、</w:t>
      </w:r>
    </w:p>
    <w:tbl>
      <w:tblPr>
        <w:tblW w:w="811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179"/>
        <w:gridCol w:w="59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1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尺寸</w:t>
            </w:r>
          </w:p>
        </w:tc>
        <w:tc>
          <w:tcPr>
            <w:tcW w:w="59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89.1 mm x 63.3 mm x 34.4 mm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79"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重量</w:t>
            </w:r>
          </w:p>
        </w:tc>
        <w:tc>
          <w:tcPr>
            <w:tcW w:w="59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190 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79"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default" w:ascii="微软雅黑" w:hAnsi="微软雅黑" w:eastAsia="微软雅黑" w:cs="微软雅黑"/>
                <w:sz w:val="20"/>
                <w:szCs w:val="20"/>
                <w:lang w:val="en-US"/>
              </w:rPr>
            </w:pPr>
            <w:r>
              <w:rPr>
                <w:rFonts w:hint="eastAsia" w:ascii="微软雅黑" w:hAnsi="微软雅黑" w:eastAsia="微软雅黑" w:cs="微软雅黑"/>
                <w:caps w:val="0"/>
                <w:color w:val="3F3F3F"/>
                <w:spacing w:val="0"/>
                <w:kern w:val="0"/>
                <w:sz w:val="20"/>
                <w:szCs w:val="20"/>
                <w:lang w:val="en-US" w:eastAsia="zh-CN" w:bidi="ar"/>
              </w:rPr>
              <w:t xml:space="preserve">探测器 </w:t>
            </w:r>
          </w:p>
        </w:tc>
        <w:tc>
          <w:tcPr>
            <w:tcW w:w="59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Sony ILX511B（2048像元硅基CCD线阵）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79"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波长范围</w:t>
            </w:r>
          </w:p>
        </w:tc>
        <w:tc>
          <w:tcPr>
            <w:tcW w:w="59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200-850 nm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79"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积分时间</w:t>
            </w:r>
          </w:p>
        </w:tc>
        <w:tc>
          <w:tcPr>
            <w:tcW w:w="59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1 毫秒 - 65秒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79"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动态范围</w:t>
            </w:r>
          </w:p>
        </w:tc>
        <w:tc>
          <w:tcPr>
            <w:tcW w:w="59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8.5 x 10^7（系统）；1300:1（单次采集）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79"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信噪比</w:t>
            </w:r>
          </w:p>
        </w:tc>
        <w:tc>
          <w:tcPr>
            <w:tcW w:w="59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250:1（全信号）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79"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暗噪声</w:t>
            </w:r>
          </w:p>
        </w:tc>
        <w:tc>
          <w:tcPr>
            <w:tcW w:w="59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50 RMS counts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79"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光栅</w:t>
            </w:r>
          </w:p>
        </w:tc>
        <w:tc>
          <w:tcPr>
            <w:tcW w:w="59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600刻线/mm，设为200-850 nm（闪耀波长300 nm）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79"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狭缝</w:t>
            </w:r>
          </w:p>
        </w:tc>
        <w:tc>
          <w:tcPr>
            <w:tcW w:w="59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25 µm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79"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Detector collection lens:</w:t>
            </w:r>
          </w:p>
        </w:tc>
        <w:tc>
          <w:tcPr>
            <w:tcW w:w="59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L2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79"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定制滤光片:</w:t>
            </w:r>
          </w:p>
        </w:tc>
        <w:tc>
          <w:tcPr>
            <w:tcW w:w="59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OFLV-200-850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79"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br w:type="textWrapping"/>
            </w:r>
            <w:r>
              <w:rPr>
                <w:rFonts w:hint="eastAsia" w:ascii="微软雅黑" w:hAnsi="微软雅黑" w:eastAsia="微软雅黑" w:cs="微软雅黑"/>
                <w:caps w:val="0"/>
                <w:color w:val="3F3F3F"/>
                <w:spacing w:val="0"/>
                <w:kern w:val="0"/>
                <w:sz w:val="20"/>
                <w:szCs w:val="20"/>
                <w:lang w:val="en-US" w:eastAsia="zh-CN" w:bidi="ar"/>
              </w:rPr>
              <w:t>光学分辨率</w:t>
            </w:r>
          </w:p>
        </w:tc>
        <w:tc>
          <w:tcPr>
            <w:tcW w:w="59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1.5 nm FWHM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79"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杂散光</w:t>
            </w:r>
          </w:p>
        </w:tc>
        <w:tc>
          <w:tcPr>
            <w:tcW w:w="59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&lt;0.05% at 600 nm; &lt;0.10% at 435 nm; &lt;10% at 250 nm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79"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光纤连接器</w:t>
            </w:r>
          </w:p>
        </w:tc>
        <w:tc>
          <w:tcPr>
            <w:tcW w:w="5939" w:type="dxa"/>
            <w:tcBorders>
              <w:top w:val="outset" w:color="auto" w:sz="8" w:space="0"/>
              <w:left w:val="outset" w:color="auto" w:sz="8" w:space="0"/>
              <w:bottom w:val="outset" w:color="auto" w:sz="8"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aps w:val="0"/>
                <w:color w:val="3F3F3F"/>
                <w:spacing w:val="0"/>
                <w:kern w:val="0"/>
                <w:sz w:val="20"/>
                <w:szCs w:val="20"/>
                <w:lang w:val="en-US" w:eastAsia="zh-CN" w:bidi="ar"/>
              </w:rPr>
              <w:t>SMA 905 - 0.22数值孔径单股光纤</w:t>
            </w:r>
          </w:p>
        </w:tc>
      </w:tr>
    </w:tbl>
    <w:p>
      <w:pPr>
        <w:keepNext w:val="0"/>
        <w:keepLines w:val="0"/>
        <w:pageBreakBefore w:val="0"/>
        <w:kinsoku/>
        <w:wordWrap/>
        <w:overflowPunct/>
        <w:topLinePunct w:val="0"/>
        <w:autoSpaceDE/>
        <w:autoSpaceDN/>
        <w:bidi w:val="0"/>
        <w:adjustRightInd/>
        <w:snapToGrid/>
        <w:spacing w:line="360" w:lineRule="exact"/>
        <w:ind w:left="0" w:firstLine="400" w:firstLineChars="200"/>
        <w:textAlignment w:val="auto"/>
        <w:rPr>
          <w:rFonts w:hint="eastAsia" w:ascii="微软雅黑" w:hAnsi="微软雅黑" w:eastAsia="微软雅黑" w:cs="微软雅黑"/>
          <w:sz w:val="20"/>
          <w:szCs w:val="20"/>
        </w:rPr>
      </w:pPr>
      <w:bookmarkStart w:id="0" w:name="_GoBack"/>
      <w:bookmarkEnd w:id="0"/>
    </w:p>
    <w:sectPr>
      <w:headerReference r:id="rId3" w:type="default"/>
      <w:footerReference r:id="rId4" w:type="default"/>
      <w:pgSz w:w="11906" w:h="16838"/>
      <w:pgMar w:top="1701" w:right="1797" w:bottom="1985"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61312" behindDoc="0" locked="0" layoutInCell="1" allowOverlap="1">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423B"/>
    <w:multiLevelType w:val="singleLevel"/>
    <w:tmpl w:val="2F50423B"/>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0108"/>
    <w:rsid w:val="00172975"/>
    <w:rsid w:val="00290108"/>
    <w:rsid w:val="002B136F"/>
    <w:rsid w:val="0036539B"/>
    <w:rsid w:val="0042643E"/>
    <w:rsid w:val="00513E4F"/>
    <w:rsid w:val="00531EC9"/>
    <w:rsid w:val="00730259"/>
    <w:rsid w:val="008D2AC9"/>
    <w:rsid w:val="00C63114"/>
    <w:rsid w:val="00E8038B"/>
    <w:rsid w:val="00ED4CD6"/>
    <w:rsid w:val="01A81D68"/>
    <w:rsid w:val="020A5435"/>
    <w:rsid w:val="0267757A"/>
    <w:rsid w:val="02DC6A70"/>
    <w:rsid w:val="036830F1"/>
    <w:rsid w:val="03FD64B1"/>
    <w:rsid w:val="04C9154C"/>
    <w:rsid w:val="04DE278E"/>
    <w:rsid w:val="04E368F0"/>
    <w:rsid w:val="055C0E67"/>
    <w:rsid w:val="058F38FC"/>
    <w:rsid w:val="05C46530"/>
    <w:rsid w:val="05C96CA8"/>
    <w:rsid w:val="06220247"/>
    <w:rsid w:val="064C1ABC"/>
    <w:rsid w:val="06C57DE8"/>
    <w:rsid w:val="075764EB"/>
    <w:rsid w:val="088364C8"/>
    <w:rsid w:val="091D3400"/>
    <w:rsid w:val="0946340D"/>
    <w:rsid w:val="09CA55C3"/>
    <w:rsid w:val="0A3C0B36"/>
    <w:rsid w:val="0A8B5790"/>
    <w:rsid w:val="0AD51955"/>
    <w:rsid w:val="0BFD609C"/>
    <w:rsid w:val="0CF55FAE"/>
    <w:rsid w:val="0D0B352B"/>
    <w:rsid w:val="0D277BCB"/>
    <w:rsid w:val="0D604EB6"/>
    <w:rsid w:val="0DA74A6A"/>
    <w:rsid w:val="0DCB17A6"/>
    <w:rsid w:val="0E132EC5"/>
    <w:rsid w:val="0E1647C4"/>
    <w:rsid w:val="0E670A0C"/>
    <w:rsid w:val="0F606193"/>
    <w:rsid w:val="0F9459E4"/>
    <w:rsid w:val="0FA36518"/>
    <w:rsid w:val="10182268"/>
    <w:rsid w:val="10232A98"/>
    <w:rsid w:val="10C940D6"/>
    <w:rsid w:val="11F24A68"/>
    <w:rsid w:val="12900283"/>
    <w:rsid w:val="129A1AD6"/>
    <w:rsid w:val="12D702B7"/>
    <w:rsid w:val="148E45FE"/>
    <w:rsid w:val="14AC32E1"/>
    <w:rsid w:val="15186ED0"/>
    <w:rsid w:val="156E4BC6"/>
    <w:rsid w:val="15850804"/>
    <w:rsid w:val="15C2456D"/>
    <w:rsid w:val="15C27612"/>
    <w:rsid w:val="15E97882"/>
    <w:rsid w:val="16D94A65"/>
    <w:rsid w:val="17805157"/>
    <w:rsid w:val="187E3DCC"/>
    <w:rsid w:val="19EC0135"/>
    <w:rsid w:val="19FA0B33"/>
    <w:rsid w:val="1A236E41"/>
    <w:rsid w:val="1A544EF1"/>
    <w:rsid w:val="1B3B3B04"/>
    <w:rsid w:val="1B4B150A"/>
    <w:rsid w:val="1DE44D79"/>
    <w:rsid w:val="1E660423"/>
    <w:rsid w:val="1EF2734B"/>
    <w:rsid w:val="1F315807"/>
    <w:rsid w:val="202D73B8"/>
    <w:rsid w:val="203B74A0"/>
    <w:rsid w:val="204E29C6"/>
    <w:rsid w:val="2064282C"/>
    <w:rsid w:val="20F506A1"/>
    <w:rsid w:val="21061652"/>
    <w:rsid w:val="21546AD1"/>
    <w:rsid w:val="21F415BB"/>
    <w:rsid w:val="23657325"/>
    <w:rsid w:val="249F3BE9"/>
    <w:rsid w:val="24B75903"/>
    <w:rsid w:val="24BE4CE9"/>
    <w:rsid w:val="24C33941"/>
    <w:rsid w:val="24D6043D"/>
    <w:rsid w:val="2627418B"/>
    <w:rsid w:val="26444BCD"/>
    <w:rsid w:val="265A0BFE"/>
    <w:rsid w:val="26644040"/>
    <w:rsid w:val="26D00EF5"/>
    <w:rsid w:val="271E5EF1"/>
    <w:rsid w:val="27671DA4"/>
    <w:rsid w:val="2800788E"/>
    <w:rsid w:val="28777FFC"/>
    <w:rsid w:val="299F5CD9"/>
    <w:rsid w:val="29C23657"/>
    <w:rsid w:val="2A3049B2"/>
    <w:rsid w:val="2B9410EF"/>
    <w:rsid w:val="2BE101E6"/>
    <w:rsid w:val="2C26706B"/>
    <w:rsid w:val="2D136D2B"/>
    <w:rsid w:val="2D3F6383"/>
    <w:rsid w:val="2D5E0439"/>
    <w:rsid w:val="2E92422D"/>
    <w:rsid w:val="2ECB23E7"/>
    <w:rsid w:val="2F7843A7"/>
    <w:rsid w:val="2F983743"/>
    <w:rsid w:val="30744067"/>
    <w:rsid w:val="31EA3980"/>
    <w:rsid w:val="325246BB"/>
    <w:rsid w:val="32841E88"/>
    <w:rsid w:val="34077A6C"/>
    <w:rsid w:val="34225E05"/>
    <w:rsid w:val="34644090"/>
    <w:rsid w:val="34EC53C0"/>
    <w:rsid w:val="36364250"/>
    <w:rsid w:val="364718FC"/>
    <w:rsid w:val="3647666C"/>
    <w:rsid w:val="374B502D"/>
    <w:rsid w:val="378D066C"/>
    <w:rsid w:val="383C5A02"/>
    <w:rsid w:val="388948FD"/>
    <w:rsid w:val="38EF17F8"/>
    <w:rsid w:val="39025CAC"/>
    <w:rsid w:val="39136172"/>
    <w:rsid w:val="392E2379"/>
    <w:rsid w:val="39D44469"/>
    <w:rsid w:val="39F84235"/>
    <w:rsid w:val="3AB0701C"/>
    <w:rsid w:val="3AB57821"/>
    <w:rsid w:val="3BE15B68"/>
    <w:rsid w:val="3C5A2B6B"/>
    <w:rsid w:val="3F0F7301"/>
    <w:rsid w:val="3F58383E"/>
    <w:rsid w:val="3F7E7605"/>
    <w:rsid w:val="40040F8E"/>
    <w:rsid w:val="402325FF"/>
    <w:rsid w:val="40A85BD2"/>
    <w:rsid w:val="41A27493"/>
    <w:rsid w:val="41CB1A69"/>
    <w:rsid w:val="42EE49ED"/>
    <w:rsid w:val="432D0406"/>
    <w:rsid w:val="44A75B19"/>
    <w:rsid w:val="45720C84"/>
    <w:rsid w:val="45781606"/>
    <w:rsid w:val="45AB140E"/>
    <w:rsid w:val="46594623"/>
    <w:rsid w:val="46A108C7"/>
    <w:rsid w:val="46CC7A3E"/>
    <w:rsid w:val="46D05B03"/>
    <w:rsid w:val="47B55DC2"/>
    <w:rsid w:val="48983ABE"/>
    <w:rsid w:val="497A4AAC"/>
    <w:rsid w:val="49B37DCA"/>
    <w:rsid w:val="49FA68DA"/>
    <w:rsid w:val="4A2D7F12"/>
    <w:rsid w:val="4A6C32C7"/>
    <w:rsid w:val="4A842469"/>
    <w:rsid w:val="4AEF6AD3"/>
    <w:rsid w:val="4C4C1871"/>
    <w:rsid w:val="4C834FFB"/>
    <w:rsid w:val="4CD02DE5"/>
    <w:rsid w:val="4D126F89"/>
    <w:rsid w:val="4FC924D0"/>
    <w:rsid w:val="4FFD06E4"/>
    <w:rsid w:val="4FFD4631"/>
    <w:rsid w:val="506E178A"/>
    <w:rsid w:val="50EB2940"/>
    <w:rsid w:val="53867141"/>
    <w:rsid w:val="53C52DBE"/>
    <w:rsid w:val="541C27F8"/>
    <w:rsid w:val="551B32D8"/>
    <w:rsid w:val="55392A2E"/>
    <w:rsid w:val="56D52986"/>
    <w:rsid w:val="572E5C28"/>
    <w:rsid w:val="5765793D"/>
    <w:rsid w:val="57B0783D"/>
    <w:rsid w:val="57E153A0"/>
    <w:rsid w:val="57E60047"/>
    <w:rsid w:val="592A28DA"/>
    <w:rsid w:val="599C5054"/>
    <w:rsid w:val="5B151F57"/>
    <w:rsid w:val="5BD94C1B"/>
    <w:rsid w:val="5BE5502C"/>
    <w:rsid w:val="5C184938"/>
    <w:rsid w:val="5CCB0590"/>
    <w:rsid w:val="5D8B04FD"/>
    <w:rsid w:val="5DDC7D91"/>
    <w:rsid w:val="5E730534"/>
    <w:rsid w:val="5F082C1D"/>
    <w:rsid w:val="5F940945"/>
    <w:rsid w:val="60346689"/>
    <w:rsid w:val="606527DB"/>
    <w:rsid w:val="61462BC5"/>
    <w:rsid w:val="6146498E"/>
    <w:rsid w:val="619E20CF"/>
    <w:rsid w:val="62903058"/>
    <w:rsid w:val="63AB1FF9"/>
    <w:rsid w:val="64192F7B"/>
    <w:rsid w:val="64917A33"/>
    <w:rsid w:val="66085008"/>
    <w:rsid w:val="66330B70"/>
    <w:rsid w:val="667558D3"/>
    <w:rsid w:val="679D5876"/>
    <w:rsid w:val="67E93377"/>
    <w:rsid w:val="68736ED4"/>
    <w:rsid w:val="68BB1949"/>
    <w:rsid w:val="69132EFA"/>
    <w:rsid w:val="698B3D17"/>
    <w:rsid w:val="6991465D"/>
    <w:rsid w:val="6A225A5E"/>
    <w:rsid w:val="6A830F36"/>
    <w:rsid w:val="6A886C83"/>
    <w:rsid w:val="6ACD5B9A"/>
    <w:rsid w:val="6B486D38"/>
    <w:rsid w:val="6B6A458D"/>
    <w:rsid w:val="6B801E9B"/>
    <w:rsid w:val="6CC44F4A"/>
    <w:rsid w:val="6D005DF3"/>
    <w:rsid w:val="6D01442F"/>
    <w:rsid w:val="6EAC1D6C"/>
    <w:rsid w:val="6EFA083C"/>
    <w:rsid w:val="6FB2005C"/>
    <w:rsid w:val="6FD13BA6"/>
    <w:rsid w:val="7092127E"/>
    <w:rsid w:val="70B061B0"/>
    <w:rsid w:val="710D751D"/>
    <w:rsid w:val="7119710C"/>
    <w:rsid w:val="716E23FF"/>
    <w:rsid w:val="718C6D0E"/>
    <w:rsid w:val="71A47A92"/>
    <w:rsid w:val="72950A18"/>
    <w:rsid w:val="72AA1733"/>
    <w:rsid w:val="73351F14"/>
    <w:rsid w:val="73382EA6"/>
    <w:rsid w:val="738D5EBE"/>
    <w:rsid w:val="73956E4F"/>
    <w:rsid w:val="73BC6F40"/>
    <w:rsid w:val="745815B2"/>
    <w:rsid w:val="74700496"/>
    <w:rsid w:val="74F57E74"/>
    <w:rsid w:val="755E7850"/>
    <w:rsid w:val="76170C44"/>
    <w:rsid w:val="76264C32"/>
    <w:rsid w:val="76A359B4"/>
    <w:rsid w:val="77A5749F"/>
    <w:rsid w:val="781670B8"/>
    <w:rsid w:val="785E6017"/>
    <w:rsid w:val="787D747A"/>
    <w:rsid w:val="78A01355"/>
    <w:rsid w:val="78D55542"/>
    <w:rsid w:val="790233AA"/>
    <w:rsid w:val="79AD3802"/>
    <w:rsid w:val="79B7788F"/>
    <w:rsid w:val="79C96C23"/>
    <w:rsid w:val="7A1269B3"/>
    <w:rsid w:val="7A215CDD"/>
    <w:rsid w:val="7A8935EB"/>
    <w:rsid w:val="7AE06395"/>
    <w:rsid w:val="7AEF7563"/>
    <w:rsid w:val="7C0717D8"/>
    <w:rsid w:val="7CBB2365"/>
    <w:rsid w:val="7D1A07CF"/>
    <w:rsid w:val="7D820CC0"/>
    <w:rsid w:val="7EC93AA5"/>
    <w:rsid w:val="7F410A01"/>
    <w:rsid w:val="7F576C48"/>
    <w:rsid w:val="7F795C29"/>
    <w:rsid w:val="7FD477C6"/>
    <w:rsid w:val="7FF47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jc w:val="left"/>
      <w:outlineLvl w:val="0"/>
    </w:pPr>
    <w:rPr>
      <w:rFonts w:ascii="微软雅黑" w:hAnsi="微软雅黑" w:eastAsia="微软雅黑" w:cs="Times New Roman"/>
      <w:color w:val="0188DE"/>
      <w:kern w:val="44"/>
      <w:sz w:val="66"/>
      <w:szCs w:val="6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jc w:val="left"/>
    </w:pPr>
    <w:rPr>
      <w:rFonts w:cs="Times New Roman"/>
      <w:kern w:val="0"/>
      <w:sz w:val="24"/>
    </w:rPr>
  </w:style>
  <w:style w:type="character" w:styleId="9">
    <w:name w:val="Strong"/>
    <w:basedOn w:val="8"/>
    <w:qFormat/>
    <w:uiPriority w:val="22"/>
    <w:rPr>
      <w:b/>
    </w:rPr>
  </w:style>
  <w:style w:type="character" w:styleId="10">
    <w:name w:val="FollowedHyperlink"/>
    <w:basedOn w:val="8"/>
    <w:semiHidden/>
    <w:unhideWhenUsed/>
    <w:qFormat/>
    <w:uiPriority w:val="99"/>
    <w:rPr>
      <w:color w:val="1064A0"/>
      <w:u w:val="none"/>
    </w:rPr>
  </w:style>
  <w:style w:type="character" w:styleId="11">
    <w:name w:val="Emphasis"/>
    <w:basedOn w:val="8"/>
    <w:qFormat/>
    <w:uiPriority w:val="20"/>
  </w:style>
  <w:style w:type="character" w:styleId="12">
    <w:name w:val="Hyperlink"/>
    <w:basedOn w:val="8"/>
    <w:semiHidden/>
    <w:unhideWhenUsed/>
    <w:qFormat/>
    <w:uiPriority w:val="99"/>
    <w:rPr>
      <w:color w:val="1064A0"/>
      <w:u w:val="none"/>
    </w:r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NUL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1274</Words>
  <Characters>7264</Characters>
  <Lines>60</Lines>
  <Paragraphs>17</Paragraphs>
  <TotalTime>0</TotalTime>
  <ScaleCrop>false</ScaleCrop>
  <LinksUpToDate>false</LinksUpToDate>
  <CharactersWithSpaces>8521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2019-01-15T03:14:00Z</dcterms:created>
  <dc:creator>lidan</dc:creator>
  <cp:lastModifiedBy>Administrator</cp:lastModifiedBy>
  <dcterms:modified xsi:type="dcterms:W3CDTF">2020-02-13T08:25:04Z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