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7E1B" w14:textId="77777777" w:rsidR="00D67D7E" w:rsidRDefault="00544CE1">
      <w:pPr>
        <w:widowControl/>
        <w:spacing w:line="360" w:lineRule="exact"/>
        <w:jc w:val="left"/>
        <w:rPr>
          <w:rFonts w:ascii="微软雅黑" w:eastAsia="微软雅黑" w:hAnsi="微软雅黑" w:cs="微软雅黑"/>
          <w:b/>
          <w:bCs/>
          <w:color w:val="0070C0"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color w:val="0070C0"/>
          <w:sz w:val="28"/>
          <w:szCs w:val="28"/>
        </w:rPr>
        <w:t>SkyVUEPRO</w:t>
      </w:r>
      <w:r>
        <w:rPr>
          <w:rFonts w:ascii="微软雅黑" w:eastAsia="微软雅黑" w:hAnsi="微软雅黑" w:cs="微软雅黑"/>
          <w:b/>
          <w:bCs/>
          <w:color w:val="0070C0"/>
          <w:sz w:val="28"/>
          <w:szCs w:val="28"/>
        </w:rPr>
        <w:t>云高仪</w:t>
      </w:r>
    </w:p>
    <w:p w14:paraId="1FAA92C6" w14:textId="77777777" w:rsidR="00D67D7E" w:rsidRDefault="00544CE1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5FF23F" wp14:editId="5FDD19D3">
            <wp:simplePos x="0" y="0"/>
            <wp:positionH relativeFrom="column">
              <wp:posOffset>3717290</wp:posOffset>
            </wp:positionH>
            <wp:positionV relativeFrom="paragraph">
              <wp:posOffset>-62230</wp:posOffset>
            </wp:positionV>
            <wp:extent cx="1515745" cy="2451735"/>
            <wp:effectExtent l="0" t="0" r="8255" b="5715"/>
            <wp:wrapTopAndBottom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D7BE9" w14:textId="77777777" w:rsidR="00D67D7E" w:rsidRDefault="00544CE1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SkyVUEPRO</w:t>
      </w:r>
      <w:r>
        <w:rPr>
          <w:rFonts w:ascii="微软雅黑" w:eastAsia="微软雅黑" w:hAnsi="微软雅黑" w:cs="微软雅黑"/>
          <w:sz w:val="20"/>
          <w:szCs w:val="20"/>
        </w:rPr>
        <w:t>云高仪可</w:t>
      </w:r>
      <w:r>
        <w:rPr>
          <w:rFonts w:ascii="微软雅黑" w:eastAsia="微软雅黑" w:hAnsi="微软雅黑" w:cs="微软雅黑" w:hint="eastAsia"/>
          <w:sz w:val="20"/>
          <w:szCs w:val="20"/>
        </w:rPr>
        <w:t>以</w:t>
      </w:r>
      <w:r>
        <w:rPr>
          <w:rFonts w:ascii="微软雅黑" w:eastAsia="微软雅黑" w:hAnsi="微软雅黑" w:cs="微软雅黑"/>
          <w:sz w:val="20"/>
          <w:szCs w:val="20"/>
        </w:rPr>
        <w:t>应用于气象和航空领域，</w:t>
      </w:r>
      <w:r>
        <w:rPr>
          <w:rFonts w:ascii="微软雅黑" w:eastAsia="微软雅黑" w:hAnsi="微软雅黑" w:cs="微软雅黑" w:hint="eastAsia"/>
          <w:sz w:val="20"/>
          <w:szCs w:val="20"/>
        </w:rPr>
        <w:t>用来</w:t>
      </w:r>
      <w:r>
        <w:rPr>
          <w:rFonts w:ascii="微软雅黑" w:eastAsia="微软雅黑" w:hAnsi="微软雅黑" w:cs="微软雅黑"/>
          <w:sz w:val="20"/>
          <w:szCs w:val="20"/>
        </w:rPr>
        <w:t>测量云高和垂直能见度。</w:t>
      </w:r>
      <w:r>
        <w:rPr>
          <w:rFonts w:ascii="微软雅黑" w:eastAsia="微软雅黑" w:hAnsi="微软雅黑" w:cs="微软雅黑" w:hint="eastAsia"/>
          <w:sz w:val="20"/>
          <w:szCs w:val="20"/>
        </w:rPr>
        <w:t>它</w:t>
      </w:r>
      <w:r>
        <w:rPr>
          <w:rFonts w:ascii="微软雅黑" w:eastAsia="微软雅黑" w:hAnsi="微软雅黑" w:cs="微软雅黑"/>
          <w:sz w:val="20"/>
          <w:szCs w:val="20"/>
        </w:rPr>
        <w:t>利用激光雷达（激光探测和测距）技术，</w:t>
      </w:r>
      <w:r>
        <w:rPr>
          <w:rFonts w:ascii="微软雅黑" w:eastAsia="微软雅黑" w:hAnsi="微软雅黑" w:cs="微软雅黑" w:hint="eastAsia"/>
          <w:sz w:val="20"/>
          <w:szCs w:val="20"/>
        </w:rPr>
        <w:t>通过</w:t>
      </w:r>
      <w:r>
        <w:rPr>
          <w:rFonts w:ascii="微软雅黑" w:eastAsia="微软雅黑" w:hAnsi="微软雅黑" w:cs="微软雅黑"/>
          <w:sz w:val="20"/>
          <w:szCs w:val="20"/>
        </w:rPr>
        <w:t>发射快速、低能量的激光脉冲到大气中，探测仪器上方</w:t>
      </w:r>
      <w:r>
        <w:rPr>
          <w:rFonts w:ascii="微软雅黑" w:eastAsia="微软雅黑" w:hAnsi="微软雅黑" w:cs="微软雅黑" w:hint="eastAsia"/>
          <w:sz w:val="20"/>
          <w:szCs w:val="20"/>
        </w:rPr>
        <w:t>接受</w:t>
      </w:r>
      <w:r>
        <w:rPr>
          <w:rFonts w:ascii="微软雅黑" w:eastAsia="微软雅黑" w:hAnsi="微软雅黑" w:cs="微软雅黑"/>
          <w:sz w:val="20"/>
          <w:szCs w:val="20"/>
        </w:rPr>
        <w:t>来自云和气溶胶的后向散射</w:t>
      </w:r>
      <w:r>
        <w:rPr>
          <w:rFonts w:ascii="微软雅黑" w:eastAsia="微软雅黑" w:hAnsi="微软雅黑" w:cs="微软雅黑" w:hint="eastAsia"/>
          <w:sz w:val="20"/>
          <w:szCs w:val="20"/>
        </w:rPr>
        <w:t>，通过内部运算，进而得出所测数据</w:t>
      </w:r>
      <w:r>
        <w:rPr>
          <w:rFonts w:ascii="微软雅黑" w:eastAsia="微软雅黑" w:hAnsi="微软雅黑" w:cs="微软雅黑"/>
          <w:sz w:val="20"/>
          <w:szCs w:val="20"/>
        </w:rPr>
        <w:t>。</w:t>
      </w:r>
    </w:p>
    <w:p w14:paraId="7F178C82" w14:textId="77777777" w:rsidR="00D67D7E" w:rsidRDefault="00544CE1">
      <w:pPr>
        <w:widowControl/>
        <w:spacing w:line="360" w:lineRule="exact"/>
        <w:ind w:firstLineChars="200" w:firstLine="40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sz w:val="20"/>
          <w:szCs w:val="20"/>
        </w:rPr>
        <w:t>该云高仪</w:t>
      </w:r>
      <w:r>
        <w:rPr>
          <w:rFonts w:ascii="微软雅黑" w:eastAsia="微软雅黑" w:hAnsi="微软雅黑" w:cs="微软雅黑"/>
          <w:sz w:val="20"/>
          <w:szCs w:val="20"/>
        </w:rPr>
        <w:t>应用精密的分镜头设计，与其它仪器相比，</w:t>
      </w:r>
      <w:r>
        <w:rPr>
          <w:rFonts w:ascii="微软雅黑" w:eastAsia="微软雅黑" w:hAnsi="微软雅黑" w:cs="微软雅黑" w:hint="eastAsia"/>
          <w:sz w:val="20"/>
          <w:szCs w:val="20"/>
        </w:rPr>
        <w:t>它</w:t>
      </w:r>
      <w:r>
        <w:rPr>
          <w:rFonts w:ascii="微软雅黑" w:eastAsia="微软雅黑" w:hAnsi="微软雅黑" w:cs="微软雅黑"/>
          <w:sz w:val="20"/>
          <w:szCs w:val="20"/>
        </w:rPr>
        <w:t>增加了光信号的信噪比，保证了测量精度，并通过将大光学元件集成在紧凑的设计中，保证</w:t>
      </w:r>
      <w:r>
        <w:rPr>
          <w:rFonts w:ascii="微软雅黑" w:eastAsia="微软雅黑" w:hAnsi="微软雅黑" w:cs="微软雅黑"/>
          <w:sz w:val="20"/>
          <w:szCs w:val="20"/>
        </w:rPr>
        <w:t>1M</w:t>
      </w:r>
      <w:r>
        <w:rPr>
          <w:rFonts w:ascii="微软雅黑" w:eastAsia="微软雅黑" w:hAnsi="微软雅黑" w:cs="微软雅黑"/>
          <w:sz w:val="20"/>
          <w:szCs w:val="20"/>
        </w:rPr>
        <w:t>级人眼安全。这种光学设计可取代传统的双轴或普通光学设计。传统的双轴系统光学隔离设计是为了增强探测器的灵敏度，而</w:t>
      </w:r>
      <w:r>
        <w:rPr>
          <w:rFonts w:ascii="微软雅黑" w:eastAsia="微软雅黑" w:hAnsi="微软雅黑" w:cs="微软雅黑"/>
          <w:sz w:val="20"/>
          <w:szCs w:val="20"/>
        </w:rPr>
        <w:t>SkyVUEPRO</w:t>
      </w:r>
      <w:r>
        <w:rPr>
          <w:rFonts w:ascii="微软雅黑" w:eastAsia="微软雅黑" w:hAnsi="微软雅黑" w:cs="微软雅黑"/>
          <w:sz w:val="20"/>
          <w:szCs w:val="20"/>
        </w:rPr>
        <w:t>云高仪</w:t>
      </w:r>
      <w:r>
        <w:rPr>
          <w:rFonts w:ascii="微软雅黑" w:eastAsia="微软雅黑" w:hAnsi="微软雅黑" w:cs="微软雅黑" w:hint="eastAsia"/>
          <w:sz w:val="20"/>
          <w:szCs w:val="20"/>
        </w:rPr>
        <w:t>光学设计</w:t>
      </w:r>
      <w:r>
        <w:rPr>
          <w:rFonts w:ascii="微软雅黑" w:eastAsia="微软雅黑" w:hAnsi="微软雅黑" w:cs="微软雅黑"/>
          <w:sz w:val="20"/>
          <w:szCs w:val="20"/>
        </w:rPr>
        <w:t>以较低的重叠高度</w:t>
      </w:r>
      <w:r>
        <w:rPr>
          <w:rFonts w:ascii="微软雅黑" w:eastAsia="微软雅黑" w:hAnsi="微软雅黑" w:cs="微软雅黑" w:hint="eastAsia"/>
          <w:sz w:val="20"/>
          <w:szCs w:val="20"/>
        </w:rPr>
        <w:t>，</w:t>
      </w:r>
      <w:r>
        <w:rPr>
          <w:rFonts w:ascii="微软雅黑" w:eastAsia="微软雅黑" w:hAnsi="微软雅黑" w:cs="微软雅黑"/>
          <w:sz w:val="20"/>
          <w:szCs w:val="20"/>
        </w:rPr>
        <w:t>实现</w:t>
      </w:r>
      <w:r>
        <w:rPr>
          <w:rFonts w:ascii="微软雅黑" w:eastAsia="微软雅黑" w:hAnsi="微软雅黑" w:cs="微软雅黑" w:hint="eastAsia"/>
          <w:sz w:val="20"/>
          <w:szCs w:val="20"/>
        </w:rPr>
        <w:t>了</w:t>
      </w:r>
      <w:r>
        <w:rPr>
          <w:rFonts w:ascii="微软雅黑" w:eastAsia="微软雅黑" w:hAnsi="微软雅黑" w:cs="微软雅黑"/>
          <w:sz w:val="20"/>
          <w:szCs w:val="20"/>
        </w:rPr>
        <w:t>近距离范围的测量。</w:t>
      </w:r>
    </w:p>
    <w:p w14:paraId="45764299" w14:textId="77777777" w:rsidR="00D67D7E" w:rsidRDefault="00544CE1">
      <w:pPr>
        <w:widowControl/>
        <w:shd w:val="clear" w:color="auto" w:fill="FFFFFF"/>
        <w:spacing w:line="360" w:lineRule="atLeast"/>
        <w:rPr>
          <w:rFonts w:ascii="微软雅黑" w:eastAsia="微软雅黑" w:hAnsi="微软雅黑" w:cs="微软雅黑"/>
          <w:color w:val="0070C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70C0"/>
          <w:sz w:val="24"/>
          <w:szCs w:val="24"/>
        </w:rPr>
        <w:t>产品特点</w:t>
      </w:r>
    </w:p>
    <w:p w14:paraId="64E5CCA9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精密的分光镜设计，获得高信噪比，最大化探测灵敏度，扩展了观测范围</w:t>
      </w:r>
    </w:p>
    <w:p w14:paraId="5EE94A81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坚固可靠的</w:t>
      </w:r>
      <w:r>
        <w:rPr>
          <w:rFonts w:ascii="微软雅黑" w:eastAsia="微软雅黑" w:hAnsi="微软雅黑" w:cs="微软雅黑"/>
          <w:sz w:val="20"/>
          <w:szCs w:val="20"/>
        </w:rPr>
        <w:t>CSI</w:t>
      </w:r>
      <w:r>
        <w:rPr>
          <w:rFonts w:ascii="微软雅黑" w:eastAsia="微软雅黑" w:hAnsi="微软雅黑" w:cs="微软雅黑"/>
          <w:sz w:val="20"/>
          <w:szCs w:val="20"/>
        </w:rPr>
        <w:t>电子器件</w:t>
      </w:r>
    </w:p>
    <w:p w14:paraId="36DC3245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先进的信号处理技术</w:t>
      </w:r>
    </w:p>
    <w:p w14:paraId="38816120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自带吹风和加热功能，内置加热器、风扇和防辐射罩</w:t>
      </w:r>
    </w:p>
    <w:p w14:paraId="5677DD38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防辐射罩和光学过滤避免太阳直接曝射</w:t>
      </w:r>
    </w:p>
    <w:p w14:paraId="4F6E89F4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自动报告观测窗口的状态</w:t>
      </w:r>
    </w:p>
    <w:p w14:paraId="5EAF42F6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自动测量仪器内部温湿度</w:t>
      </w:r>
    </w:p>
    <w:p w14:paraId="04A8B1BC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整合双轴倾角罗盘，保证测量高度的准确度</w:t>
      </w:r>
    </w:p>
    <w:p w14:paraId="56B72F05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可调倾角垂直、</w:t>
      </w:r>
      <w:r>
        <w:rPr>
          <w:rFonts w:ascii="微软雅黑" w:eastAsia="微软雅黑" w:hAnsi="微软雅黑" w:cs="微软雅黑"/>
          <w:sz w:val="20"/>
          <w:szCs w:val="20"/>
        </w:rPr>
        <w:t>12</w:t>
      </w:r>
      <w:r>
        <w:rPr>
          <w:rFonts w:ascii="微软雅黑" w:eastAsia="微软雅黑" w:hAnsi="微软雅黑" w:cs="微软雅黑"/>
          <w:sz w:val="20"/>
          <w:szCs w:val="20"/>
        </w:rPr>
        <w:t>度和</w:t>
      </w:r>
      <w:r>
        <w:rPr>
          <w:rFonts w:ascii="微软雅黑" w:eastAsia="微软雅黑" w:hAnsi="微软雅黑" w:cs="微软雅黑"/>
          <w:sz w:val="20"/>
          <w:szCs w:val="20"/>
        </w:rPr>
        <w:t>6</w:t>
      </w:r>
      <w:r>
        <w:rPr>
          <w:rFonts w:ascii="微软雅黑" w:eastAsia="微软雅黑" w:hAnsi="微软雅黑" w:cs="微软雅黑"/>
          <w:sz w:val="20"/>
          <w:szCs w:val="20"/>
        </w:rPr>
        <w:t>度</w:t>
      </w:r>
    </w:p>
    <w:p w14:paraId="4C93B5B9" w14:textId="77777777" w:rsidR="00D67D7E" w:rsidRDefault="00544CE1" w:rsidP="00D44A1D">
      <w:pPr>
        <w:widowControl/>
        <w:numPr>
          <w:ilvl w:val="0"/>
          <w:numId w:val="1"/>
        </w:numPr>
        <w:spacing w:line="360" w:lineRule="exact"/>
        <w:ind w:leftChars="200" w:left="840"/>
        <w:jc w:val="left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/>
          <w:sz w:val="20"/>
          <w:szCs w:val="20"/>
        </w:rPr>
        <w:t>后散射廓线输出</w:t>
      </w:r>
    </w:p>
    <w:p w14:paraId="59AF4B0E" w14:textId="77777777" w:rsidR="00D67D7E" w:rsidRDefault="00544CE1">
      <w:pPr>
        <w:widowControl/>
        <w:shd w:val="clear" w:color="auto" w:fill="FFFFFF"/>
        <w:spacing w:line="360" w:lineRule="atLeast"/>
        <w:rPr>
          <w:rFonts w:ascii="微软雅黑" w:eastAsia="微软雅黑" w:hAnsi="微软雅黑" w:cs="微软雅黑"/>
          <w:color w:val="0070C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70C0"/>
          <w:sz w:val="24"/>
          <w:szCs w:val="24"/>
        </w:rPr>
        <w:t>技术参数：</w:t>
      </w:r>
    </w:p>
    <w:tbl>
      <w:tblPr>
        <w:tblW w:w="4999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6230"/>
      </w:tblGrid>
      <w:tr w:rsidR="00D67D7E" w14:paraId="5A61A780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4DF318D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SkyVUEPRO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云高仪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17CC36A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技术参数</w:t>
            </w:r>
          </w:p>
        </w:tc>
      </w:tr>
      <w:tr w:rsidR="00D67D7E" w14:paraId="6ABDEB08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F63CC36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最大量程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29E3757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10km</w:t>
            </w:r>
          </w:p>
        </w:tc>
      </w:tr>
      <w:tr w:rsidR="00D67D7E" w14:paraId="1BB645E5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2EE775D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lastRenderedPageBreak/>
              <w:t>分辨率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165DC03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米</w:t>
            </w:r>
          </w:p>
        </w:tc>
      </w:tr>
      <w:tr w:rsidR="00D67D7E" w14:paraId="0BF27B55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AA41DC3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云层报告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51684D3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高达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层报告信息</w:t>
            </w:r>
          </w:p>
        </w:tc>
      </w:tr>
      <w:tr w:rsidR="00D67D7E" w14:paraId="578BD248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07215D6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垂直能见度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3BCA827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无云时输出</w:t>
            </w:r>
          </w:p>
        </w:tc>
      </w:tr>
      <w:tr w:rsidR="00D67D7E" w14:paraId="4974EF56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A0F0680" w14:textId="3E6D0385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目标测量精度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D791705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±0.25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或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±4.6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米</w:t>
            </w:r>
          </w:p>
        </w:tc>
      </w:tr>
      <w:tr w:rsidR="00D67D7E" w14:paraId="40E7047C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60E8BE3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报告周期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7194E8C" w14:textId="5A6A6D76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2~</w:t>
            </w:r>
            <w:r w:rsidR="00D44A1D">
              <w:rPr>
                <w:rFonts w:ascii="微软雅黑" w:eastAsia="微软雅黑" w:hAnsi="微软雅黑" w:cs="微软雅黑"/>
                <w:sz w:val="20"/>
                <w:szCs w:val="20"/>
              </w:rPr>
              <w:t>600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s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，可设置</w:t>
            </w:r>
          </w:p>
        </w:tc>
      </w:tr>
      <w:tr w:rsidR="00D67D7E" w14:paraId="61F11053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9A3E8A7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接口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021462E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数据：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RS232/RS484</w:t>
            </w:r>
          </w:p>
          <w:p w14:paraId="378E21C3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维护：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USB 2.0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（兼容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USB1.1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）</w:t>
            </w:r>
          </w:p>
          <w:p w14:paraId="62B20184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波特率：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 300~115000</w:t>
            </w:r>
          </w:p>
        </w:tc>
      </w:tr>
      <w:tr w:rsidR="00D67D7E" w14:paraId="10031D17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80C2527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激光安全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04FA43AE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 xml:space="preserve">Class 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1M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EN60825-1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：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2001</w:t>
            </w:r>
          </w:p>
        </w:tc>
      </w:tr>
      <w:tr w:rsidR="00D67D7E" w14:paraId="331BCE6B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27FBBA4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激光波长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594E7CEF" w14:textId="76EFA81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9</w:t>
            </w:r>
            <w:r w:rsidR="00D44A1D">
              <w:rPr>
                <w:rFonts w:ascii="微软雅黑" w:eastAsia="微软雅黑" w:hAnsi="微软雅黑" w:cs="微软雅黑"/>
                <w:sz w:val="20"/>
                <w:szCs w:val="20"/>
              </w:rPr>
              <w:t>12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nm</w:t>
            </w:r>
            <w:r w:rsidR="00D44A1D">
              <w:rPr>
                <w:rFonts w:ascii="微软雅黑" w:eastAsia="微软雅黑" w:hAnsi="微软雅黑" w:cs="微软雅黑" w:hint="eastAsia"/>
                <w:sz w:val="20"/>
                <w:szCs w:val="20"/>
              </w:rPr>
              <w:t>（±5nm）</w:t>
            </w:r>
          </w:p>
        </w:tc>
      </w:tr>
      <w:tr w:rsidR="00D67D7E" w14:paraId="1809ED33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CCAA06F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供电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47999B2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110/115/230VAC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 50-60Hz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，最大功率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470W</w:t>
            </w:r>
          </w:p>
        </w:tc>
      </w:tr>
      <w:tr w:rsidR="00D67D7E" w14:paraId="74F5EFCF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FDD8575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电池：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0055C1BC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内部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12V 2AH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电池提供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小时的测量能力（无吹分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加热）</w:t>
            </w:r>
          </w:p>
        </w:tc>
      </w:tr>
      <w:tr w:rsidR="00D67D7E" w14:paraId="33406F6E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9FDBFFB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工作温度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6BAB1B6" w14:textId="5D7DAAA9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-40℃~+60℃</w:t>
            </w:r>
            <w:r w:rsidR="00D44A1D">
              <w:rPr>
                <w:rFonts w:ascii="微软雅黑" w:eastAsia="微软雅黑" w:hAnsi="微软雅黑" w:cs="微软雅黑" w:hint="eastAsia"/>
                <w:sz w:val="20"/>
                <w:szCs w:val="20"/>
              </w:rPr>
              <w:t>（扩展电池）；</w:t>
            </w:r>
            <w:r w:rsidR="00D44A1D">
              <w:rPr>
                <w:rFonts w:ascii="微软雅黑" w:eastAsia="微软雅黑" w:hAnsi="微软雅黑" w:cs="微软雅黑"/>
                <w:sz w:val="20"/>
                <w:szCs w:val="20"/>
              </w:rPr>
              <w:t>-</w:t>
            </w:r>
            <w:r w:rsidR="00D44A1D">
              <w:rPr>
                <w:rFonts w:ascii="微软雅黑" w:eastAsia="微软雅黑" w:hAnsi="微软雅黑" w:cs="微软雅黑"/>
                <w:sz w:val="20"/>
                <w:szCs w:val="20"/>
              </w:rPr>
              <w:t>2</w:t>
            </w:r>
            <w:r w:rsidR="00D44A1D">
              <w:rPr>
                <w:rFonts w:ascii="微软雅黑" w:eastAsia="微软雅黑" w:hAnsi="微软雅黑" w:cs="微软雅黑"/>
                <w:sz w:val="20"/>
                <w:szCs w:val="20"/>
              </w:rPr>
              <w:t>0℃~+60℃</w:t>
            </w:r>
            <w:r w:rsidR="00D44A1D">
              <w:rPr>
                <w:rFonts w:ascii="微软雅黑" w:eastAsia="微软雅黑" w:hAnsi="微软雅黑" w:cs="微软雅黑" w:hint="eastAsia"/>
                <w:sz w:val="20"/>
                <w:szCs w:val="20"/>
              </w:rPr>
              <w:t>（标准电池）</w:t>
            </w:r>
          </w:p>
        </w:tc>
      </w:tr>
      <w:tr w:rsidR="00D67D7E" w14:paraId="62541B13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9FFA068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环境湿度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6EB9A0A0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0~100% RH</w:t>
            </w:r>
          </w:p>
        </w:tc>
      </w:tr>
      <w:tr w:rsidR="00D44A1D" w14:paraId="6410AEBC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C5CFA99" w14:textId="46F273C7" w:rsidR="00D44A1D" w:rsidRDefault="00D44A1D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最大风速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26068B09" w14:textId="0E84082B" w:rsidR="00D44A1D" w:rsidRDefault="00D44A1D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m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/s</w:t>
            </w:r>
            <w:bookmarkStart w:id="0" w:name="_GoBack"/>
            <w:bookmarkEnd w:id="0"/>
          </w:p>
        </w:tc>
      </w:tr>
      <w:tr w:rsidR="00D67D7E" w14:paraId="28E0EB29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F9F98F8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尺寸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8BC3F9B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1000x330x316 mm</w:t>
            </w:r>
          </w:p>
        </w:tc>
      </w:tr>
      <w:tr w:rsidR="00D67D7E" w14:paraId="66A7C3AE" w14:textId="77777777">
        <w:trPr>
          <w:trHeight w:val="221"/>
        </w:trPr>
        <w:tc>
          <w:tcPr>
            <w:tcW w:w="125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57AA532B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重量</w:t>
            </w:r>
          </w:p>
        </w:tc>
        <w:tc>
          <w:tcPr>
            <w:tcW w:w="374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3C457934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32Kg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（不带线缆总重）</w:t>
            </w:r>
          </w:p>
          <w:p w14:paraId="50479EE6" w14:textId="77777777" w:rsidR="00D67D7E" w:rsidRDefault="00544CE1">
            <w:pPr>
              <w:widowControl/>
              <w:spacing w:line="360" w:lineRule="exact"/>
              <w:ind w:leftChars="100" w:left="210"/>
              <w:jc w:val="left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0"/>
                <w:szCs w:val="20"/>
              </w:rPr>
              <w:t>25Kg</w:t>
            </w:r>
            <w:r>
              <w:rPr>
                <w:rFonts w:ascii="微软雅黑" w:eastAsia="微软雅黑" w:hAnsi="微软雅黑" w:cs="微软雅黑"/>
                <w:sz w:val="20"/>
                <w:szCs w:val="20"/>
              </w:rPr>
              <w:t>（不带外壳和机罩）</w:t>
            </w:r>
          </w:p>
        </w:tc>
      </w:tr>
    </w:tbl>
    <w:p w14:paraId="4D0ADA27" w14:textId="77777777" w:rsidR="00D67D7E" w:rsidRDefault="00D67D7E">
      <w:pPr>
        <w:widowControl/>
        <w:spacing w:line="360" w:lineRule="exact"/>
        <w:jc w:val="left"/>
        <w:rPr>
          <w:rFonts w:ascii="微软雅黑" w:eastAsia="微软雅黑" w:hAnsi="微软雅黑" w:cs="微软雅黑"/>
          <w:sz w:val="20"/>
          <w:szCs w:val="20"/>
        </w:rPr>
      </w:pPr>
    </w:p>
    <w:sectPr w:rsidR="00D67D7E">
      <w:headerReference w:type="default" r:id="rId9"/>
      <w:footerReference w:type="default" r:id="rId10"/>
      <w:pgSz w:w="11906" w:h="16838"/>
      <w:pgMar w:top="1701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90D11" w14:textId="77777777" w:rsidR="00544CE1" w:rsidRDefault="00544CE1">
      <w:r>
        <w:separator/>
      </w:r>
    </w:p>
  </w:endnote>
  <w:endnote w:type="continuationSeparator" w:id="0">
    <w:p w14:paraId="5541191A" w14:textId="77777777" w:rsidR="00544CE1" w:rsidRDefault="005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51A3E" w14:textId="77777777" w:rsidR="00D67D7E" w:rsidRDefault="00544CE1">
    <w:pPr>
      <w:pStyle w:val="a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1E5EBE" wp14:editId="09258275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8A284" w14:textId="77777777" w:rsidR="00544CE1" w:rsidRDefault="00544CE1">
      <w:r>
        <w:separator/>
      </w:r>
    </w:p>
  </w:footnote>
  <w:footnote w:type="continuationSeparator" w:id="0">
    <w:p w14:paraId="2F1C7631" w14:textId="77777777" w:rsidR="00544CE1" w:rsidRDefault="0054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E1507" w14:textId="77777777" w:rsidR="00D67D7E" w:rsidRDefault="00544CE1">
    <w:r>
      <w:rPr>
        <w:noProof/>
      </w:rPr>
      <w:drawing>
        <wp:anchor distT="0" distB="0" distL="114300" distR="114300" simplePos="0" relativeHeight="251660288" behindDoc="0" locked="0" layoutInCell="1" allowOverlap="1" wp14:anchorId="0FF63BA4" wp14:editId="745AA950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A7FB3"/>
    <w:multiLevelType w:val="singleLevel"/>
    <w:tmpl w:val="594A7FB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108"/>
    <w:rsid w:val="00172975"/>
    <w:rsid w:val="00290108"/>
    <w:rsid w:val="002B136F"/>
    <w:rsid w:val="0036539B"/>
    <w:rsid w:val="0042643E"/>
    <w:rsid w:val="00531EC9"/>
    <w:rsid w:val="00544CE1"/>
    <w:rsid w:val="00730259"/>
    <w:rsid w:val="00C63114"/>
    <w:rsid w:val="00D44A1D"/>
    <w:rsid w:val="00D67D7E"/>
    <w:rsid w:val="00E8038B"/>
    <w:rsid w:val="00ED4CD6"/>
    <w:rsid w:val="018E0B7B"/>
    <w:rsid w:val="0267757A"/>
    <w:rsid w:val="036830F1"/>
    <w:rsid w:val="04792D5D"/>
    <w:rsid w:val="05994D3B"/>
    <w:rsid w:val="05C46530"/>
    <w:rsid w:val="05C96CA8"/>
    <w:rsid w:val="091D3400"/>
    <w:rsid w:val="0AD51955"/>
    <w:rsid w:val="0BFD609C"/>
    <w:rsid w:val="0CF55FAE"/>
    <w:rsid w:val="0D277BCB"/>
    <w:rsid w:val="0D604EB6"/>
    <w:rsid w:val="0D936437"/>
    <w:rsid w:val="0F606193"/>
    <w:rsid w:val="10232A98"/>
    <w:rsid w:val="11C61A9B"/>
    <w:rsid w:val="14FF4CC8"/>
    <w:rsid w:val="157B6083"/>
    <w:rsid w:val="16B97A3C"/>
    <w:rsid w:val="187E3DCC"/>
    <w:rsid w:val="193F3555"/>
    <w:rsid w:val="1B4B150A"/>
    <w:rsid w:val="202D73B8"/>
    <w:rsid w:val="24C33941"/>
    <w:rsid w:val="26644040"/>
    <w:rsid w:val="2AD65262"/>
    <w:rsid w:val="2B9410EF"/>
    <w:rsid w:val="2D136D2B"/>
    <w:rsid w:val="32841E88"/>
    <w:rsid w:val="392E2379"/>
    <w:rsid w:val="39D44469"/>
    <w:rsid w:val="3A9E2B99"/>
    <w:rsid w:val="3F0F7301"/>
    <w:rsid w:val="3F58383E"/>
    <w:rsid w:val="41CB1A69"/>
    <w:rsid w:val="45720C84"/>
    <w:rsid w:val="45781606"/>
    <w:rsid w:val="4A88782A"/>
    <w:rsid w:val="50EB2940"/>
    <w:rsid w:val="596A229B"/>
    <w:rsid w:val="59C203AB"/>
    <w:rsid w:val="5B151F57"/>
    <w:rsid w:val="5BD94C1B"/>
    <w:rsid w:val="5E730534"/>
    <w:rsid w:val="61462BC5"/>
    <w:rsid w:val="619E20CF"/>
    <w:rsid w:val="64DB7D95"/>
    <w:rsid w:val="66085008"/>
    <w:rsid w:val="67E93377"/>
    <w:rsid w:val="68BB1949"/>
    <w:rsid w:val="6A830F36"/>
    <w:rsid w:val="6FD4741C"/>
    <w:rsid w:val="70B061B0"/>
    <w:rsid w:val="71A47A92"/>
    <w:rsid w:val="72950A18"/>
    <w:rsid w:val="738D5EBE"/>
    <w:rsid w:val="73BC6F40"/>
    <w:rsid w:val="755E7850"/>
    <w:rsid w:val="76170C44"/>
    <w:rsid w:val="76A359B4"/>
    <w:rsid w:val="77A5749F"/>
    <w:rsid w:val="785E6017"/>
    <w:rsid w:val="787379D5"/>
    <w:rsid w:val="78A01355"/>
    <w:rsid w:val="79AD3802"/>
    <w:rsid w:val="79C96C23"/>
    <w:rsid w:val="7AE06395"/>
    <w:rsid w:val="7D8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938D66"/>
  <w15:docId w15:val="{E0DDC81D-A24D-4412-BC1C-B672410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微软雅黑" w:eastAsia="微软雅黑" w:hAnsi="微软雅黑" w:cs="Times New Roman"/>
      <w:color w:val="0188DE"/>
      <w:kern w:val="44"/>
      <w:sz w:val="66"/>
      <w:szCs w:val="66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1064A0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semiHidden/>
    <w:unhideWhenUsed/>
    <w:qFormat/>
    <w:rPr>
      <w:color w:val="1064A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不忘初心</cp:lastModifiedBy>
  <cp:revision>4</cp:revision>
  <dcterms:created xsi:type="dcterms:W3CDTF">2019-01-15T03:14:00Z</dcterms:created>
  <dcterms:modified xsi:type="dcterms:W3CDTF">2020-02-18T09:35:00Z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