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E7504" w14:textId="2FD7C9A4" w:rsidR="00431647" w:rsidRPr="00431647" w:rsidRDefault="00431647" w:rsidP="00431647">
      <w:pPr>
        <w:spacing w:line="360" w:lineRule="exact"/>
        <w:rPr>
          <w:rStyle w:val="10"/>
          <w:rFonts w:cs="微软雅黑" w:hint="eastAsia"/>
          <w:b/>
          <w:sz w:val="28"/>
          <w:szCs w:val="28"/>
        </w:rPr>
      </w:pPr>
      <w:bookmarkStart w:id="0" w:name="_Toc15742"/>
      <w:r w:rsidRPr="00431647">
        <w:rPr>
          <w:rStyle w:val="10"/>
          <w:rFonts w:cs="微软雅黑"/>
          <w:b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11BC6C7E" wp14:editId="4929C918">
            <wp:simplePos x="0" y="0"/>
            <wp:positionH relativeFrom="column">
              <wp:posOffset>2983230</wp:posOffset>
            </wp:positionH>
            <wp:positionV relativeFrom="paragraph">
              <wp:posOffset>-1929</wp:posOffset>
            </wp:positionV>
            <wp:extent cx="2291715" cy="206121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647">
        <w:rPr>
          <w:rStyle w:val="10"/>
          <w:rFonts w:cs="微软雅黑" w:hint="eastAsia"/>
          <w:b/>
          <w:sz w:val="28"/>
          <w:szCs w:val="28"/>
        </w:rPr>
        <w:t>ONETEST-500XP大气负离子观测系统</w:t>
      </w:r>
      <w:bookmarkEnd w:id="0"/>
    </w:p>
    <w:p w14:paraId="228BFD5C" w14:textId="77777777" w:rsidR="00431647" w:rsidRPr="00431647" w:rsidRDefault="00431647" w:rsidP="00431647">
      <w:pPr>
        <w:spacing w:line="360" w:lineRule="exact"/>
        <w:ind w:firstLineChars="200" w:firstLine="400"/>
        <w:rPr>
          <w:rFonts w:ascii="微软雅黑" w:eastAsia="微软雅黑" w:hAnsi="微软雅黑" w:cs="微软雅黑" w:hint="eastAsia"/>
          <w:sz w:val="20"/>
          <w:szCs w:val="20"/>
        </w:rPr>
      </w:pPr>
      <w:r w:rsidRPr="00431647">
        <w:rPr>
          <w:rFonts w:ascii="微软雅黑" w:eastAsia="微软雅黑" w:hAnsi="微软雅黑" w:cs="微软雅黑" w:hint="eastAsia"/>
          <w:sz w:val="20"/>
          <w:szCs w:val="20"/>
        </w:rPr>
        <w:t>ONETEST-500XP大气负离子自动观测系统是测量环境空气中负氧离子、温度、湿度实时浓度及变化的系统设备，适应环境气象观测的业务需求，满足观测数据的高精度和高稳定性要求。它需具备高可靠性、高准确性、易维护、易备份等特点。</w:t>
      </w:r>
    </w:p>
    <w:p w14:paraId="6F838344" w14:textId="77777777" w:rsidR="00431647" w:rsidRPr="00431647" w:rsidRDefault="00431647" w:rsidP="00431647">
      <w:pPr>
        <w:spacing w:line="360" w:lineRule="exact"/>
        <w:rPr>
          <w:rFonts w:ascii="微软雅黑" w:eastAsia="微软雅黑" w:hAnsi="微软雅黑" w:cs="微软雅黑" w:hint="eastAsia"/>
          <w:color w:val="5B9BD5" w:themeColor="accent5"/>
          <w:sz w:val="20"/>
          <w:szCs w:val="20"/>
        </w:rPr>
      </w:pPr>
      <w:r w:rsidRPr="00431647">
        <w:rPr>
          <w:rFonts w:ascii="微软雅黑" w:eastAsia="微软雅黑" w:hAnsi="微软雅黑" w:cs="微软雅黑" w:hint="eastAsia"/>
          <w:color w:val="5B9BD5" w:themeColor="accent5"/>
          <w:sz w:val="20"/>
          <w:szCs w:val="20"/>
        </w:rPr>
        <w:t>系统特点</w:t>
      </w:r>
    </w:p>
    <w:p w14:paraId="234FC788" w14:textId="48024327" w:rsidR="00431647" w:rsidRPr="00431647" w:rsidRDefault="00431647" w:rsidP="00431647">
      <w:pPr>
        <w:pStyle w:val="af0"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 w:cs="微软雅黑" w:hint="eastAsia"/>
          <w:sz w:val="20"/>
          <w:szCs w:val="20"/>
        </w:rPr>
      </w:pPr>
      <w:r w:rsidRPr="00431647">
        <w:rPr>
          <w:rFonts w:ascii="微软雅黑" w:eastAsia="微软雅黑" w:hAnsi="微软雅黑" w:cs="微软雅黑" w:hint="eastAsia"/>
          <w:sz w:val="20"/>
          <w:szCs w:val="20"/>
        </w:rPr>
        <w:t>采用最先进的双重同心圆筒技术（日本机能性离子协会为同一标准）</w:t>
      </w:r>
    </w:p>
    <w:p w14:paraId="46A681C0" w14:textId="4BEC03DC" w:rsidR="00431647" w:rsidRPr="00431647" w:rsidRDefault="00431647" w:rsidP="00431647">
      <w:pPr>
        <w:pStyle w:val="af0"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 w:cs="微软雅黑" w:hint="eastAsia"/>
          <w:sz w:val="20"/>
          <w:szCs w:val="20"/>
        </w:rPr>
      </w:pPr>
      <w:r w:rsidRPr="00431647">
        <w:rPr>
          <w:rFonts w:ascii="微软雅黑" w:eastAsia="微软雅黑" w:hAnsi="微软雅黑" w:cs="微软雅黑" w:hint="eastAsia"/>
          <w:sz w:val="20"/>
          <w:szCs w:val="20"/>
        </w:rPr>
        <w:t>能全天候、实时（最快5秒钟一个数据）的自动在线监测</w:t>
      </w:r>
    </w:p>
    <w:p w14:paraId="7CCC7851" w14:textId="09E51FF5" w:rsidR="00431647" w:rsidRPr="00431647" w:rsidRDefault="00431647" w:rsidP="00431647">
      <w:pPr>
        <w:pStyle w:val="af0"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 w:cs="微软雅黑" w:hint="eastAsia"/>
          <w:sz w:val="20"/>
          <w:szCs w:val="20"/>
        </w:rPr>
      </w:pPr>
      <w:r w:rsidRPr="00431647">
        <w:rPr>
          <w:rFonts w:ascii="微软雅黑" w:eastAsia="微软雅黑" w:hAnsi="微软雅黑" w:cs="微软雅黑" w:hint="eastAsia"/>
          <w:sz w:val="20"/>
          <w:szCs w:val="20"/>
        </w:rPr>
        <w:t>能在环境温度-50度至70度，相对湿度100%RH环境下稳定运行</w:t>
      </w:r>
    </w:p>
    <w:p w14:paraId="4B30A5E6" w14:textId="1F53A9FC" w:rsidR="00431647" w:rsidRPr="00431647" w:rsidRDefault="00431647" w:rsidP="00431647">
      <w:pPr>
        <w:pStyle w:val="af0"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 w:cs="微软雅黑" w:hint="eastAsia"/>
          <w:sz w:val="20"/>
          <w:szCs w:val="20"/>
        </w:rPr>
      </w:pPr>
      <w:r w:rsidRPr="00431647">
        <w:rPr>
          <w:rFonts w:ascii="微软雅黑" w:eastAsia="微软雅黑" w:hAnsi="微软雅黑" w:cs="微软雅黑" w:hint="eastAsia"/>
          <w:sz w:val="20"/>
          <w:szCs w:val="20"/>
        </w:rPr>
        <w:t>测量环境空气中对人体有益的</w:t>
      </w:r>
      <w:proofErr w:type="gramStart"/>
      <w:r w:rsidRPr="00431647">
        <w:rPr>
          <w:rFonts w:ascii="微软雅黑" w:eastAsia="微软雅黑" w:hAnsi="微软雅黑" w:cs="微软雅黑" w:hint="eastAsia"/>
          <w:sz w:val="20"/>
          <w:szCs w:val="20"/>
        </w:rPr>
        <w:t>的</w:t>
      </w:r>
      <w:proofErr w:type="gramEnd"/>
      <w:r w:rsidRPr="00431647">
        <w:rPr>
          <w:rFonts w:ascii="微软雅黑" w:eastAsia="微软雅黑" w:hAnsi="微软雅黑" w:cs="微软雅黑" w:hint="eastAsia"/>
          <w:sz w:val="20"/>
          <w:szCs w:val="20"/>
        </w:rPr>
        <w:t>小粒径负离子浓度</w:t>
      </w:r>
    </w:p>
    <w:p w14:paraId="245946BE" w14:textId="58BEF891" w:rsidR="00431647" w:rsidRPr="00431647" w:rsidRDefault="00431647" w:rsidP="00431647">
      <w:pPr>
        <w:pStyle w:val="af0"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 w:cs="微软雅黑" w:hint="eastAsia"/>
          <w:sz w:val="20"/>
          <w:szCs w:val="20"/>
        </w:rPr>
      </w:pPr>
      <w:r w:rsidRPr="00431647">
        <w:rPr>
          <w:rFonts w:ascii="微软雅黑" w:eastAsia="微软雅黑" w:hAnsi="微软雅黑" w:cs="微软雅黑" w:hint="eastAsia"/>
          <w:sz w:val="20"/>
          <w:szCs w:val="20"/>
        </w:rPr>
        <w:t>采用防风、风雨、防虫、防雷设计</w:t>
      </w:r>
    </w:p>
    <w:p w14:paraId="0FFBA6DE" w14:textId="047E9E0F" w:rsidR="00431647" w:rsidRPr="00431647" w:rsidRDefault="00431647" w:rsidP="00431647">
      <w:pPr>
        <w:pStyle w:val="af0"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 w:cs="微软雅黑" w:hint="eastAsia"/>
          <w:sz w:val="20"/>
          <w:szCs w:val="20"/>
        </w:rPr>
      </w:pPr>
      <w:r w:rsidRPr="00431647">
        <w:rPr>
          <w:rFonts w:ascii="微软雅黑" w:eastAsia="微软雅黑" w:hAnsi="微软雅黑" w:cs="微软雅黑" w:hint="eastAsia"/>
          <w:sz w:val="20"/>
          <w:szCs w:val="20"/>
        </w:rPr>
        <w:t>采用模块化结构设计，便于扩展、更换部件及维护维修</w:t>
      </w:r>
    </w:p>
    <w:p w14:paraId="443D3CD5" w14:textId="44899FA2" w:rsidR="00431647" w:rsidRPr="00431647" w:rsidRDefault="00431647" w:rsidP="00431647">
      <w:pPr>
        <w:pStyle w:val="af0"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 w:cs="微软雅黑" w:hint="eastAsia"/>
          <w:sz w:val="20"/>
          <w:szCs w:val="20"/>
        </w:rPr>
      </w:pPr>
      <w:r w:rsidRPr="00431647">
        <w:rPr>
          <w:rFonts w:ascii="微软雅黑" w:eastAsia="微软雅黑" w:hAnsi="微软雅黑" w:cs="微软雅黑" w:hint="eastAsia"/>
          <w:sz w:val="20"/>
          <w:szCs w:val="20"/>
        </w:rPr>
        <w:t>具备功能参数要素、通信方式扩展的功能</w:t>
      </w:r>
    </w:p>
    <w:p w14:paraId="7C539B54" w14:textId="5B7EC523" w:rsidR="00431647" w:rsidRPr="00431647" w:rsidRDefault="00431647" w:rsidP="00431647">
      <w:pPr>
        <w:pStyle w:val="af0"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 w:cs="微软雅黑" w:hint="eastAsia"/>
          <w:sz w:val="20"/>
          <w:szCs w:val="20"/>
        </w:rPr>
      </w:pPr>
      <w:r w:rsidRPr="00431647">
        <w:rPr>
          <w:rFonts w:ascii="微软雅黑" w:eastAsia="微软雅黑" w:hAnsi="微软雅黑" w:cs="微软雅黑" w:hint="eastAsia"/>
          <w:sz w:val="20"/>
          <w:szCs w:val="20"/>
        </w:rPr>
        <w:t>具备设备运行状态监控及报警功能（手机、短信报警）</w:t>
      </w:r>
    </w:p>
    <w:p w14:paraId="2E7AF18F" w14:textId="7C5FE362" w:rsidR="00431647" w:rsidRPr="00431647" w:rsidRDefault="00431647" w:rsidP="00431647">
      <w:pPr>
        <w:pStyle w:val="af0"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 w:cs="微软雅黑" w:hint="eastAsia"/>
          <w:sz w:val="20"/>
          <w:szCs w:val="20"/>
        </w:rPr>
      </w:pPr>
      <w:r w:rsidRPr="00431647">
        <w:rPr>
          <w:rFonts w:ascii="微软雅黑" w:eastAsia="微软雅黑" w:hAnsi="微软雅黑" w:cs="微软雅黑" w:hint="eastAsia"/>
          <w:sz w:val="20"/>
          <w:szCs w:val="20"/>
        </w:rPr>
        <w:t>具备</w:t>
      </w:r>
      <w:proofErr w:type="gramStart"/>
      <w:r w:rsidRPr="00431647">
        <w:rPr>
          <w:rFonts w:ascii="微软雅黑" w:eastAsia="微软雅黑" w:hAnsi="微软雅黑" w:cs="微软雅黑" w:hint="eastAsia"/>
          <w:sz w:val="20"/>
          <w:szCs w:val="20"/>
        </w:rPr>
        <w:t>云服务</w:t>
      </w:r>
      <w:proofErr w:type="gramEnd"/>
      <w:r w:rsidRPr="00431647">
        <w:rPr>
          <w:rFonts w:ascii="微软雅黑" w:eastAsia="微软雅黑" w:hAnsi="微软雅黑" w:cs="微软雅黑" w:hint="eastAsia"/>
          <w:sz w:val="20"/>
          <w:szCs w:val="20"/>
        </w:rPr>
        <w:t>平台数据管理和下载功能</w:t>
      </w:r>
    </w:p>
    <w:p w14:paraId="3D91C128" w14:textId="77777777" w:rsidR="00431647" w:rsidRPr="00431647" w:rsidRDefault="00431647" w:rsidP="00431647">
      <w:pPr>
        <w:spacing w:line="360" w:lineRule="exact"/>
        <w:rPr>
          <w:rFonts w:ascii="微软雅黑" w:eastAsia="微软雅黑" w:hAnsi="微软雅黑" w:cs="微软雅黑" w:hint="eastAsia"/>
          <w:color w:val="5B9BD5" w:themeColor="accent5"/>
          <w:sz w:val="20"/>
          <w:szCs w:val="20"/>
        </w:rPr>
      </w:pPr>
      <w:r w:rsidRPr="00431647">
        <w:rPr>
          <w:rFonts w:ascii="微软雅黑" w:eastAsia="微软雅黑" w:hAnsi="微软雅黑" w:cs="微软雅黑" w:hint="eastAsia"/>
          <w:color w:val="5B9BD5" w:themeColor="accent5"/>
          <w:sz w:val="20"/>
          <w:szCs w:val="20"/>
        </w:rPr>
        <w:t>技术优势</w:t>
      </w:r>
    </w:p>
    <w:p w14:paraId="1BABFCF1" w14:textId="77777777" w:rsidR="00431647" w:rsidRPr="00431647" w:rsidRDefault="00431647" w:rsidP="00431647">
      <w:pPr>
        <w:pStyle w:val="af0"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 w:cs="微软雅黑" w:hint="eastAsia"/>
          <w:sz w:val="20"/>
          <w:szCs w:val="20"/>
        </w:rPr>
      </w:pPr>
      <w:r w:rsidRPr="00431647">
        <w:rPr>
          <w:rFonts w:ascii="微软雅黑" w:eastAsia="微软雅黑" w:hAnsi="微软雅黑" w:cs="微软雅黑" w:hint="eastAsia"/>
          <w:sz w:val="20"/>
          <w:szCs w:val="20"/>
        </w:rPr>
        <w:t>·实时显示 ·无距离限制 ·安全性强 ·先进可靠</w:t>
      </w:r>
    </w:p>
    <w:p w14:paraId="3013621F" w14:textId="6835CD40" w:rsidR="00431647" w:rsidRPr="00431647" w:rsidRDefault="00431647" w:rsidP="00431647">
      <w:pPr>
        <w:spacing w:line="360" w:lineRule="exact"/>
        <w:rPr>
          <w:rFonts w:ascii="微软雅黑" w:eastAsia="微软雅黑" w:hAnsi="微软雅黑" w:cs="微软雅黑" w:hint="eastAsia"/>
          <w:color w:val="5B9BD5" w:themeColor="accent5"/>
          <w:sz w:val="20"/>
          <w:szCs w:val="20"/>
        </w:rPr>
      </w:pPr>
      <w:r w:rsidRPr="00431647">
        <w:rPr>
          <w:rFonts w:ascii="微软雅黑" w:eastAsia="微软雅黑" w:hAnsi="微软雅黑" w:cs="微软雅黑" w:hint="eastAsia"/>
          <w:color w:val="5B9BD5" w:themeColor="accent5"/>
          <w:sz w:val="20"/>
          <w:szCs w:val="20"/>
        </w:rPr>
        <w:t>检测原理</w:t>
      </w:r>
    </w:p>
    <w:p w14:paraId="72A81E6B" w14:textId="73100942" w:rsidR="00431647" w:rsidRPr="00431647" w:rsidRDefault="00431647" w:rsidP="00431647">
      <w:pPr>
        <w:spacing w:line="360" w:lineRule="exact"/>
        <w:ind w:firstLineChars="200" w:firstLine="400"/>
        <w:rPr>
          <w:rFonts w:ascii="微软雅黑" w:eastAsia="微软雅黑" w:hAnsi="微软雅黑" w:cs="微软雅黑" w:hint="eastAsia"/>
          <w:sz w:val="20"/>
          <w:szCs w:val="20"/>
        </w:rPr>
      </w:pPr>
      <w:r w:rsidRPr="00431647">
        <w:rPr>
          <w:rFonts w:ascii="微软雅黑" w:eastAsia="微软雅黑" w:hAnsi="微软雅黑" w:cs="微软雅黑"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049AD1C7" wp14:editId="1CD7C3F7">
            <wp:simplePos x="0" y="0"/>
            <wp:positionH relativeFrom="column">
              <wp:posOffset>760831</wp:posOffset>
            </wp:positionH>
            <wp:positionV relativeFrom="paragraph">
              <wp:posOffset>508914</wp:posOffset>
            </wp:positionV>
            <wp:extent cx="3750310" cy="1906905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1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647">
        <w:rPr>
          <w:rFonts w:ascii="微软雅黑" w:eastAsia="微软雅黑" w:hAnsi="微软雅黑" w:cs="微软雅黑" w:hint="eastAsia"/>
          <w:sz w:val="20"/>
          <w:szCs w:val="20"/>
        </w:rPr>
        <w:t>大气负氧离子自动监测系统采用“双重同心圆筒之电容式吸入法”原理进行负离子检测，设计标准满足GB/T 18809-2002《空气离子测量仪通用规范》，满足日本“JISB”草案要求。</w:t>
      </w:r>
    </w:p>
    <w:p w14:paraId="36A3E2F0" w14:textId="1C859913" w:rsidR="00431647" w:rsidRPr="00431647" w:rsidRDefault="00431647" w:rsidP="00431647">
      <w:pPr>
        <w:spacing w:line="360" w:lineRule="exact"/>
        <w:ind w:firstLineChars="200" w:firstLine="400"/>
        <w:jc w:val="center"/>
        <w:rPr>
          <w:rFonts w:ascii="微软雅黑" w:eastAsia="微软雅黑" w:hAnsi="微软雅黑" w:cs="微软雅黑" w:hint="eastAsia"/>
          <w:sz w:val="20"/>
          <w:szCs w:val="20"/>
        </w:rPr>
      </w:pPr>
      <w:r w:rsidRPr="00431647">
        <w:rPr>
          <w:rFonts w:ascii="微软雅黑" w:eastAsia="微软雅黑" w:hAnsi="微软雅黑" w:cs="微软雅黑" w:hint="eastAsia"/>
          <w:sz w:val="20"/>
          <w:szCs w:val="20"/>
        </w:rPr>
        <w:lastRenderedPageBreak/>
        <w:t>（·</w:t>
      </w:r>
      <w:proofErr w:type="spellStart"/>
      <w:r w:rsidRPr="00431647">
        <w:rPr>
          <w:rFonts w:ascii="微软雅黑" w:eastAsia="微软雅黑" w:hAnsi="微软雅黑" w:cs="微软雅黑" w:hint="eastAsia"/>
          <w:sz w:val="20"/>
          <w:szCs w:val="20"/>
        </w:rPr>
        <w:t>ro</w:t>
      </w:r>
      <w:proofErr w:type="spellEnd"/>
      <w:r w:rsidRPr="00431647">
        <w:rPr>
          <w:rFonts w:ascii="微软雅黑" w:eastAsia="微软雅黑" w:hAnsi="微软雅黑" w:cs="微软雅黑" w:hint="eastAsia"/>
          <w:sz w:val="20"/>
          <w:szCs w:val="20"/>
        </w:rPr>
        <w:t xml:space="preserve"> =外筒的内径 ·</w:t>
      </w:r>
      <w:proofErr w:type="spellStart"/>
      <w:r w:rsidRPr="00431647">
        <w:rPr>
          <w:rFonts w:ascii="微软雅黑" w:eastAsia="微软雅黑" w:hAnsi="微软雅黑" w:cs="微软雅黑" w:hint="eastAsia"/>
          <w:sz w:val="20"/>
          <w:szCs w:val="20"/>
        </w:rPr>
        <w:t>ri</w:t>
      </w:r>
      <w:proofErr w:type="spellEnd"/>
      <w:r w:rsidRPr="00431647">
        <w:rPr>
          <w:rFonts w:ascii="微软雅黑" w:eastAsia="微软雅黑" w:hAnsi="微软雅黑" w:cs="微软雅黑" w:hint="eastAsia"/>
          <w:sz w:val="20"/>
          <w:szCs w:val="20"/>
        </w:rPr>
        <w:t>=内筒的半径·L=圆筒的长</w:t>
      </w:r>
    </w:p>
    <w:p w14:paraId="4845D29A" w14:textId="4AA7B8CE" w:rsidR="00431647" w:rsidRPr="00431647" w:rsidRDefault="00431647" w:rsidP="00431647">
      <w:pPr>
        <w:spacing w:line="360" w:lineRule="exact"/>
        <w:ind w:firstLineChars="200" w:firstLine="400"/>
        <w:jc w:val="center"/>
        <w:rPr>
          <w:rFonts w:ascii="微软雅黑" w:eastAsia="微软雅黑" w:hAnsi="微软雅黑" w:cs="微软雅黑" w:hint="eastAsia"/>
          <w:sz w:val="20"/>
          <w:szCs w:val="20"/>
        </w:rPr>
      </w:pPr>
      <w:r w:rsidRPr="00431647">
        <w:rPr>
          <w:rFonts w:ascii="微软雅黑" w:eastAsia="微软雅黑" w:hAnsi="微软雅黑" w:cs="微软雅黑" w:hint="eastAsia"/>
          <w:sz w:val="20"/>
          <w:szCs w:val="20"/>
        </w:rPr>
        <w:t>Φ=单位时间内圆筒内的空气流量·V=外筒的外设电压）</w:t>
      </w:r>
    </w:p>
    <w:p w14:paraId="39AD2760" w14:textId="77777777" w:rsidR="00431647" w:rsidRPr="00431647" w:rsidRDefault="00431647" w:rsidP="00431647">
      <w:pPr>
        <w:spacing w:line="360" w:lineRule="exact"/>
        <w:rPr>
          <w:rFonts w:ascii="微软雅黑" w:eastAsia="微软雅黑" w:hAnsi="微软雅黑" w:cs="微软雅黑" w:hint="eastAsia"/>
          <w:color w:val="5B9BD5" w:themeColor="accent5"/>
          <w:sz w:val="20"/>
          <w:szCs w:val="20"/>
        </w:rPr>
      </w:pPr>
      <w:r w:rsidRPr="00431647">
        <w:rPr>
          <w:rFonts w:ascii="微软雅黑" w:eastAsia="微软雅黑" w:hAnsi="微软雅黑" w:cs="微软雅黑" w:hint="eastAsia"/>
          <w:color w:val="5B9BD5" w:themeColor="accent5"/>
          <w:sz w:val="20"/>
          <w:szCs w:val="20"/>
        </w:rPr>
        <w:t>技术参数</w:t>
      </w:r>
    </w:p>
    <w:tbl>
      <w:tblPr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1517"/>
        <w:gridCol w:w="1780"/>
        <w:gridCol w:w="4456"/>
      </w:tblGrid>
      <w:tr w:rsidR="00431647" w:rsidRPr="00431647" w14:paraId="7BD2F993" w14:textId="77777777" w:rsidTr="00431647">
        <w:trPr>
          <w:trHeight w:val="270"/>
        </w:trPr>
        <w:tc>
          <w:tcPr>
            <w:tcW w:w="6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C6804" w14:textId="77777777" w:rsidR="00431647" w:rsidRPr="00431647" w:rsidRDefault="00431647" w:rsidP="00431647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A</w:t>
            </w:r>
          </w:p>
        </w:tc>
        <w:tc>
          <w:tcPr>
            <w:tcW w:w="15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F28A3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负氧离子主机</w:t>
            </w:r>
          </w:p>
        </w:tc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6BE1E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ONETEST-500XP</w:t>
            </w:r>
          </w:p>
        </w:tc>
        <w:tc>
          <w:tcPr>
            <w:tcW w:w="44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9DE8B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测定范围0-500万ions/cm³</w:t>
            </w:r>
          </w:p>
          <w:p w14:paraId="4DFB76FD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分辨率：1个/cm³、</w:t>
            </w:r>
          </w:p>
          <w:p w14:paraId="4400A83F" w14:textId="617B305E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 xml:space="preserve">精度：±5%  </w:t>
            </w:r>
          </w:p>
          <w:p w14:paraId="72387AFC" w14:textId="6C1A3218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显示、负离子、温度、 湿度 、PM2.5、PM10</w:t>
            </w:r>
          </w:p>
        </w:tc>
      </w:tr>
      <w:tr w:rsidR="00431647" w:rsidRPr="00431647" w14:paraId="3FFAFA81" w14:textId="77777777" w:rsidTr="00431647">
        <w:trPr>
          <w:trHeight w:val="270"/>
        </w:trPr>
        <w:tc>
          <w:tcPr>
            <w:tcW w:w="6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D691F" w14:textId="77777777" w:rsidR="00431647" w:rsidRPr="00431647" w:rsidRDefault="00431647" w:rsidP="00431647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B</w:t>
            </w:r>
          </w:p>
        </w:tc>
        <w:tc>
          <w:tcPr>
            <w:tcW w:w="15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6B9AE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负氧离子分体</w:t>
            </w:r>
          </w:p>
        </w:tc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E25DF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ONETEST-505XP</w:t>
            </w:r>
          </w:p>
        </w:tc>
        <w:tc>
          <w:tcPr>
            <w:tcW w:w="44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172F6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 xml:space="preserve">测定范围0-500万ions/cm³ </w:t>
            </w:r>
          </w:p>
          <w:p w14:paraId="32813649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分辨率：1个/cm³、</w:t>
            </w:r>
          </w:p>
          <w:p w14:paraId="50B3471A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精度：±10%</w:t>
            </w:r>
          </w:p>
          <w:p w14:paraId="72BFB7CC" w14:textId="220C660A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负离子、温度、 湿度 、PM2.5、</w:t>
            </w:r>
          </w:p>
        </w:tc>
      </w:tr>
      <w:tr w:rsidR="00431647" w:rsidRPr="00431647" w14:paraId="56AA6E8D" w14:textId="77777777" w:rsidTr="00431647">
        <w:trPr>
          <w:trHeight w:val="270"/>
        </w:trPr>
        <w:tc>
          <w:tcPr>
            <w:tcW w:w="6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90833" w14:textId="77777777" w:rsidR="00431647" w:rsidRPr="00431647" w:rsidRDefault="00431647" w:rsidP="00431647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1</w:t>
            </w:r>
          </w:p>
        </w:tc>
        <w:tc>
          <w:tcPr>
            <w:tcW w:w="15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C3E21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PM2.5</w:t>
            </w:r>
          </w:p>
        </w:tc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85B45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ONETEST-DT-100</w:t>
            </w:r>
          </w:p>
        </w:tc>
        <w:tc>
          <w:tcPr>
            <w:tcW w:w="44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6F1D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 xml:space="preserve">测量范围：PM2.5 0-500ug/m³          </w:t>
            </w:r>
          </w:p>
          <w:p w14:paraId="05A20815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分辨率：1ug/m³</w:t>
            </w:r>
          </w:p>
          <w:p w14:paraId="4C461035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 xml:space="preserve">PM; 10  0-1000ug/m³          </w:t>
            </w:r>
          </w:p>
          <w:p w14:paraId="30F23365" w14:textId="341CB485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精  度：±20%</w:t>
            </w:r>
          </w:p>
        </w:tc>
      </w:tr>
      <w:tr w:rsidR="00431647" w:rsidRPr="00431647" w14:paraId="10666C30" w14:textId="77777777" w:rsidTr="00431647">
        <w:trPr>
          <w:trHeight w:val="270"/>
        </w:trPr>
        <w:tc>
          <w:tcPr>
            <w:tcW w:w="6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FEE4A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2</w:t>
            </w:r>
          </w:p>
        </w:tc>
        <w:tc>
          <w:tcPr>
            <w:tcW w:w="15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56944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户外屏幕</w:t>
            </w:r>
          </w:p>
        </w:tc>
        <w:tc>
          <w:tcPr>
            <w:tcW w:w="1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4547B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ONETEST</w:t>
            </w:r>
          </w:p>
        </w:tc>
        <w:tc>
          <w:tcPr>
            <w:tcW w:w="44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67711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显示参数 单色； 景区名称、负氧离子、温度、湿度、PM2.5</w:t>
            </w:r>
          </w:p>
          <w:p w14:paraId="5208A6B8" w14:textId="77777777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屏幕尺寸：1.35X0.87米 LED 、可选彩屏</w:t>
            </w:r>
          </w:p>
          <w:p w14:paraId="3189D969" w14:textId="1CD27CC1" w:rsidR="00431647" w:rsidRPr="00431647" w:rsidRDefault="00431647" w:rsidP="00431647">
            <w:pPr>
              <w:spacing w:line="360" w:lineRule="exact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proofErr w:type="gramStart"/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屏幕双</w:t>
            </w:r>
            <w:proofErr w:type="gramEnd"/>
            <w:r w:rsidRPr="00431647">
              <w:rPr>
                <w:rFonts w:ascii="微软雅黑" w:eastAsia="微软雅黑" w:hAnsi="微软雅黑" w:cs="微软雅黑" w:hint="eastAsia"/>
                <w:sz w:val="20"/>
                <w:szCs w:val="20"/>
              </w:rPr>
              <w:t>立柱；1.5米高(2个)</w:t>
            </w:r>
          </w:p>
        </w:tc>
      </w:tr>
    </w:tbl>
    <w:p w14:paraId="5060AF7B" w14:textId="7B9D097E" w:rsidR="000051E7" w:rsidRPr="00932F2D" w:rsidRDefault="000051E7">
      <w:pPr>
        <w:rPr>
          <w:rFonts w:ascii="微软雅黑" w:eastAsia="微软雅黑" w:hAnsi="微软雅黑" w:hint="eastAsia"/>
          <w:sz w:val="20"/>
          <w:szCs w:val="20"/>
        </w:rPr>
      </w:pPr>
      <w:bookmarkStart w:id="1" w:name="_GoBack"/>
      <w:bookmarkEnd w:id="1"/>
    </w:p>
    <w:sectPr w:rsidR="000051E7" w:rsidRPr="00932F2D">
      <w:headerReference w:type="default" r:id="rId10"/>
      <w:footerReference w:type="default" r:id="rId11"/>
      <w:pgSz w:w="11906" w:h="16838"/>
      <w:pgMar w:top="1701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D3ACA" w14:textId="77777777" w:rsidR="00504FBD" w:rsidRDefault="00504FBD">
      <w:r>
        <w:separator/>
      </w:r>
    </w:p>
  </w:endnote>
  <w:endnote w:type="continuationSeparator" w:id="0">
    <w:p w14:paraId="1FA2B633" w14:textId="77777777" w:rsidR="00504FBD" w:rsidRDefault="005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D0516" w14:textId="77777777" w:rsidR="000051E7" w:rsidRDefault="00504FBD">
    <w:pPr>
      <w:pStyle w:val="a7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6CA999" wp14:editId="4DB351E2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E510B" w14:textId="77777777" w:rsidR="00504FBD" w:rsidRDefault="00504FBD">
      <w:r>
        <w:separator/>
      </w:r>
    </w:p>
  </w:footnote>
  <w:footnote w:type="continuationSeparator" w:id="0">
    <w:p w14:paraId="37EA55D8" w14:textId="77777777" w:rsidR="00504FBD" w:rsidRDefault="0050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701E" w14:textId="77777777" w:rsidR="000051E7" w:rsidRDefault="00504FBD">
    <w:r>
      <w:rPr>
        <w:noProof/>
      </w:rPr>
      <w:drawing>
        <wp:anchor distT="0" distB="0" distL="114300" distR="114300" simplePos="0" relativeHeight="251660288" behindDoc="0" locked="0" layoutInCell="1" allowOverlap="1" wp14:anchorId="5EE110F5" wp14:editId="7B54772B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BAE"/>
    <w:multiLevelType w:val="hybridMultilevel"/>
    <w:tmpl w:val="740A3146"/>
    <w:lvl w:ilvl="0" w:tplc="1A82520E">
      <w:numFmt w:val="bullet"/>
      <w:lvlText w:val="·"/>
      <w:lvlJc w:val="left"/>
      <w:pPr>
        <w:ind w:left="760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30FD0DCA"/>
    <w:multiLevelType w:val="hybridMultilevel"/>
    <w:tmpl w:val="86200AEA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6E84021E"/>
    <w:multiLevelType w:val="hybridMultilevel"/>
    <w:tmpl w:val="C88A0178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108"/>
    <w:rsid w:val="000051E7"/>
    <w:rsid w:val="00071C72"/>
    <w:rsid w:val="000B71FF"/>
    <w:rsid w:val="000D23D2"/>
    <w:rsid w:val="00172975"/>
    <w:rsid w:val="001B76E3"/>
    <w:rsid w:val="001E5D00"/>
    <w:rsid w:val="00290108"/>
    <w:rsid w:val="00293EBE"/>
    <w:rsid w:val="002B09DE"/>
    <w:rsid w:val="002B136F"/>
    <w:rsid w:val="002E4DE1"/>
    <w:rsid w:val="0036539B"/>
    <w:rsid w:val="00401609"/>
    <w:rsid w:val="0042643E"/>
    <w:rsid w:val="00431647"/>
    <w:rsid w:val="00460182"/>
    <w:rsid w:val="004743A6"/>
    <w:rsid w:val="0047741D"/>
    <w:rsid w:val="00504FBD"/>
    <w:rsid w:val="00531EC9"/>
    <w:rsid w:val="005E121B"/>
    <w:rsid w:val="00644174"/>
    <w:rsid w:val="006E3195"/>
    <w:rsid w:val="006E7A70"/>
    <w:rsid w:val="00730259"/>
    <w:rsid w:val="00812C92"/>
    <w:rsid w:val="00932F2D"/>
    <w:rsid w:val="00B41BA2"/>
    <w:rsid w:val="00BB4661"/>
    <w:rsid w:val="00C63114"/>
    <w:rsid w:val="00E8038B"/>
    <w:rsid w:val="00ED4CD6"/>
    <w:rsid w:val="00F97B1F"/>
    <w:rsid w:val="0267757A"/>
    <w:rsid w:val="036830F1"/>
    <w:rsid w:val="05C46530"/>
    <w:rsid w:val="05C96CA8"/>
    <w:rsid w:val="091D3400"/>
    <w:rsid w:val="0AD51955"/>
    <w:rsid w:val="0BDC2604"/>
    <w:rsid w:val="0BFD609C"/>
    <w:rsid w:val="0CF55FAE"/>
    <w:rsid w:val="0D277BCB"/>
    <w:rsid w:val="0D604EB6"/>
    <w:rsid w:val="0F606193"/>
    <w:rsid w:val="10232A98"/>
    <w:rsid w:val="187E3DCC"/>
    <w:rsid w:val="1B4B150A"/>
    <w:rsid w:val="202D73B8"/>
    <w:rsid w:val="24C33941"/>
    <w:rsid w:val="26644040"/>
    <w:rsid w:val="2B9410EF"/>
    <w:rsid w:val="2D136D2B"/>
    <w:rsid w:val="32841E88"/>
    <w:rsid w:val="392E2379"/>
    <w:rsid w:val="39D44469"/>
    <w:rsid w:val="3F0F7301"/>
    <w:rsid w:val="3F58383E"/>
    <w:rsid w:val="41CB1A69"/>
    <w:rsid w:val="45720C84"/>
    <w:rsid w:val="45781606"/>
    <w:rsid w:val="50EB2940"/>
    <w:rsid w:val="54F77E50"/>
    <w:rsid w:val="5B151F57"/>
    <w:rsid w:val="5BD94C1B"/>
    <w:rsid w:val="5E730534"/>
    <w:rsid w:val="61462BC5"/>
    <w:rsid w:val="619E20CF"/>
    <w:rsid w:val="62BE4EFC"/>
    <w:rsid w:val="66085008"/>
    <w:rsid w:val="67E93377"/>
    <w:rsid w:val="68BB1949"/>
    <w:rsid w:val="6A830F36"/>
    <w:rsid w:val="70B061B0"/>
    <w:rsid w:val="71A47A92"/>
    <w:rsid w:val="72950A18"/>
    <w:rsid w:val="738D5EBE"/>
    <w:rsid w:val="73BC6F40"/>
    <w:rsid w:val="755E7850"/>
    <w:rsid w:val="76170C44"/>
    <w:rsid w:val="76A359B4"/>
    <w:rsid w:val="77A5749F"/>
    <w:rsid w:val="785E6017"/>
    <w:rsid w:val="78A01355"/>
    <w:rsid w:val="79AD3802"/>
    <w:rsid w:val="79C96C23"/>
    <w:rsid w:val="7AE06395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BDAE0"/>
  <w15:docId w15:val="{1E51E3BA-29D3-4CFC-803B-690B60FB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jc w:val="left"/>
      <w:outlineLvl w:val="0"/>
    </w:pPr>
    <w:rPr>
      <w:rFonts w:ascii="微软雅黑" w:eastAsia="微软雅黑" w:hAnsi="微软雅黑" w:cs="Times New Roman"/>
      <w:color w:val="0188DE"/>
      <w:kern w:val="44"/>
      <w:sz w:val="66"/>
      <w:szCs w:val="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10"/>
      <w:jc w:val="left"/>
    </w:pPr>
    <w:rPr>
      <w:rFonts w:ascii="Arial" w:eastAsia="Arial" w:hAnsi="Arial" w:cs="Arial"/>
      <w:kern w:val="0"/>
      <w:sz w:val="24"/>
      <w:szCs w:val="24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FollowedHyperlink"/>
    <w:basedOn w:val="a0"/>
    <w:uiPriority w:val="99"/>
    <w:semiHidden/>
    <w:unhideWhenUsed/>
    <w:qFormat/>
    <w:rPr>
      <w:color w:val="1064A0"/>
      <w:u w:val="none"/>
    </w:rPr>
  </w:style>
  <w:style w:type="character" w:styleId="ae">
    <w:name w:val="Emphasis"/>
    <w:basedOn w:val="a0"/>
    <w:uiPriority w:val="20"/>
    <w:qFormat/>
  </w:style>
  <w:style w:type="character" w:styleId="af">
    <w:name w:val="Hyperlink"/>
    <w:basedOn w:val="a0"/>
    <w:uiPriority w:val="99"/>
    <w:semiHidden/>
    <w:unhideWhenUsed/>
    <w:qFormat/>
    <w:rPr>
      <w:color w:val="1064A0"/>
      <w:u w:val="non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Arial" w:eastAsia="Arial" w:hAnsi="Arial" w:cs="Arial"/>
      <w:sz w:val="24"/>
      <w:szCs w:val="24"/>
      <w:lang w:eastAsia="en-US" w:bidi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line="241" w:lineRule="exact"/>
      <w:ind w:left="54"/>
      <w:jc w:val="left"/>
    </w:pPr>
    <w:rPr>
      <w:rFonts w:ascii="Arial" w:eastAsia="Arial" w:hAnsi="Arial" w:cs="Arial"/>
      <w:kern w:val="0"/>
      <w:sz w:val="22"/>
      <w:lang w:eastAsia="en-US" w:bidi="en-US"/>
    </w:rPr>
  </w:style>
  <w:style w:type="character" w:customStyle="1" w:styleId="10">
    <w:name w:val="标题 1 字符"/>
    <w:link w:val="1"/>
    <w:uiPriority w:val="9"/>
    <w:rsid w:val="00431647"/>
    <w:rPr>
      <w:rFonts w:ascii="微软雅黑" w:eastAsia="微软雅黑" w:hAnsi="微软雅黑"/>
      <w:color w:val="0188DE"/>
      <w:kern w:val="44"/>
      <w:sz w:val="66"/>
      <w:szCs w:val="66"/>
    </w:rPr>
  </w:style>
  <w:style w:type="paragraph" w:styleId="af0">
    <w:name w:val="List Paragraph"/>
    <w:basedOn w:val="a"/>
    <w:uiPriority w:val="99"/>
    <w:rsid w:val="004316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不忘初心</cp:lastModifiedBy>
  <cp:revision>8</cp:revision>
  <cp:lastPrinted>2020-02-19T12:31:00Z</cp:lastPrinted>
  <dcterms:created xsi:type="dcterms:W3CDTF">2020-02-11T03:20:00Z</dcterms:created>
  <dcterms:modified xsi:type="dcterms:W3CDTF">2020-02-19T12:32:00Z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